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2156"/>
        <w:outlineLvl w:val="0"/>
        <w:rPr>
          <w:rFonts w:ascii="黑体" w:hAnsi="黑体" w:eastAsia="黑体" w:cs="黑体"/>
          <w:sz w:val="31"/>
          <w:szCs w:val="31"/>
        </w:rPr>
      </w:pPr>
      <w:r>
        <w:rPr>
          <w:rFonts w:ascii="Times New Roman" w:hAnsi="Times New Roman" w:eastAsia="Times New Roman" w:cs="Times New Roman"/>
          <w:b/>
          <w:bCs/>
          <w:spacing w:val="5"/>
          <w:sz w:val="31"/>
          <w:szCs w:val="31"/>
        </w:rPr>
        <w:t>202</w:t>
      </w:r>
      <w:r>
        <w:rPr>
          <w:rFonts w:hint="eastAsia" w:ascii="Times New Roman" w:hAnsi="Times New Roman" w:eastAsia="宋体" w:cs="Times New Roman"/>
          <w:b/>
          <w:bCs/>
          <w:spacing w:val="5"/>
          <w:sz w:val="31"/>
          <w:szCs w:val="31"/>
          <w:lang w:val="en-US" w:eastAsia="zh-CN"/>
        </w:rPr>
        <w:t>6</w:t>
      </w:r>
      <w:r>
        <w:rPr>
          <w:rFonts w:ascii="Times New Roman" w:hAnsi="Times New Roman" w:eastAsia="Times New Roman" w:cs="Times New Roman"/>
          <w:b/>
          <w:bCs/>
          <w:spacing w:val="25"/>
          <w:sz w:val="31"/>
          <w:szCs w:val="31"/>
        </w:rPr>
        <w:t xml:space="preserve"> </w:t>
      </w:r>
      <w:r>
        <w:rPr>
          <w:rFonts w:ascii="黑体" w:hAnsi="黑体" w:eastAsia="黑体" w:cs="黑体"/>
          <w:b/>
          <w:bCs/>
          <w:spacing w:val="5"/>
          <w:sz w:val="31"/>
          <w:szCs w:val="31"/>
        </w:rPr>
        <w:t>年新疆维吾尔自治区袜子</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8"/>
        </w:rPr>
        <w:t>抽样领域为新疆维吾尔自治区生产销售领域。</w:t>
      </w:r>
    </w:p>
    <w:p>
      <w:pPr>
        <w:pStyle w:val="2"/>
        <w:spacing w:before="162" w:line="227" w:lineRule="auto"/>
        <w:ind w:left="545"/>
      </w:pPr>
      <w:r>
        <w:rPr>
          <w:spacing w:val="7"/>
        </w:rPr>
        <w:t>抽查产品：袜子。</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163" w:line="226" w:lineRule="auto"/>
        <w:ind w:left="558"/>
      </w:pPr>
      <w:r>
        <w:rPr>
          <w:spacing w:val="7"/>
        </w:rPr>
        <w:t>随机数使用随机数表等方法产生。</w:t>
      </w:r>
    </w:p>
    <w:p>
      <w:pPr>
        <w:pStyle w:val="2"/>
        <w:spacing w:before="163" w:line="362" w:lineRule="auto"/>
        <w:ind w:left="129" w:right="239" w:firstLine="417"/>
      </w:pPr>
      <w:r>
        <w:rPr>
          <w:spacing w:val="10"/>
        </w:rPr>
        <w:t>根据产品的销售单元（双）抽取相同款式（货号或款号）、</w:t>
      </w:r>
      <w:r>
        <w:rPr>
          <w:spacing w:val="9"/>
        </w:rPr>
        <w:t>相同花型和相同颜色的同</w:t>
      </w:r>
      <w:r>
        <w:rPr>
          <w:spacing w:val="6"/>
        </w:rPr>
        <w:t>一批次的产品。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134"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3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4"/>
        <w:gridCol w:w="1039"/>
        <w:gridCol w:w="2613"/>
        <w:gridCol w:w="2007"/>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jc w:val="center"/>
        </w:trPr>
        <w:tc>
          <w:tcPr>
            <w:tcW w:w="1923" w:type="dxa"/>
            <w:gridSpan w:val="2"/>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2613" w:type="dxa"/>
            <w:vAlign w:val="top"/>
          </w:tcPr>
          <w:p>
            <w:pPr>
              <w:spacing w:before="122" w:line="219" w:lineRule="auto"/>
              <w:ind w:left="948"/>
              <w:rPr>
                <w:rFonts w:ascii="宋体" w:hAnsi="宋体" w:eastAsia="宋体" w:cs="宋体"/>
                <w:sz w:val="18"/>
                <w:szCs w:val="18"/>
              </w:rPr>
            </w:pPr>
            <w:r>
              <w:rPr>
                <w:rFonts w:ascii="宋体" w:hAnsi="宋体" w:eastAsia="宋体" w:cs="宋体"/>
                <w:spacing w:val="-2"/>
                <w:sz w:val="18"/>
                <w:szCs w:val="18"/>
              </w:rPr>
              <w:t>抽样数量</w:t>
            </w:r>
          </w:p>
        </w:tc>
        <w:tc>
          <w:tcPr>
            <w:tcW w:w="2007" w:type="dxa"/>
            <w:vAlign w:val="top"/>
          </w:tcPr>
          <w:p>
            <w:pPr>
              <w:spacing w:before="122" w:line="219" w:lineRule="auto"/>
              <w:ind w:left="650"/>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jc w:val="center"/>
        </w:trPr>
        <w:tc>
          <w:tcPr>
            <w:tcW w:w="884" w:type="dxa"/>
            <w:vMerge w:val="restart"/>
            <w:tcBorders>
              <w:bottom w:val="nil"/>
            </w:tcBorders>
            <w:vAlign w:val="top"/>
          </w:tcPr>
          <w:p>
            <w:pPr>
              <w:spacing w:before="201" w:line="219" w:lineRule="auto"/>
              <w:ind w:left="346"/>
              <w:rPr>
                <w:rFonts w:ascii="宋体" w:hAnsi="宋体" w:eastAsia="宋体" w:cs="宋体"/>
                <w:sz w:val="18"/>
                <w:szCs w:val="18"/>
              </w:rPr>
            </w:pPr>
            <w:r>
              <w:rPr>
                <w:rFonts w:ascii="宋体" w:hAnsi="宋体" w:eastAsia="宋体" w:cs="宋体"/>
                <w:spacing w:val="-4"/>
                <w:sz w:val="18"/>
                <w:szCs w:val="18"/>
              </w:rPr>
              <w:t>袜子</w:t>
            </w:r>
          </w:p>
        </w:tc>
        <w:tc>
          <w:tcPr>
            <w:tcW w:w="1039" w:type="dxa"/>
            <w:vAlign w:val="top"/>
          </w:tcPr>
          <w:p>
            <w:pPr>
              <w:spacing w:before="50" w:line="219" w:lineRule="auto"/>
              <w:ind w:left="253"/>
              <w:rPr>
                <w:rFonts w:ascii="宋体" w:hAnsi="宋体" w:eastAsia="宋体" w:cs="宋体"/>
                <w:sz w:val="18"/>
                <w:szCs w:val="18"/>
              </w:rPr>
            </w:pPr>
            <w:r>
              <w:rPr>
                <w:rFonts w:ascii="宋体" w:hAnsi="宋体" w:eastAsia="宋体" w:cs="宋体"/>
                <w:spacing w:val="-3"/>
                <w:sz w:val="18"/>
                <w:szCs w:val="18"/>
              </w:rPr>
              <w:t>针织袜</w:t>
            </w:r>
          </w:p>
        </w:tc>
        <w:tc>
          <w:tcPr>
            <w:tcW w:w="2613" w:type="dxa"/>
            <w:vAlign w:val="top"/>
          </w:tcPr>
          <w:p>
            <w:pPr>
              <w:pStyle w:val="6"/>
              <w:spacing w:before="20" w:line="267" w:lineRule="exact"/>
              <w:ind w:left="963"/>
              <w:rPr>
                <w:rFonts w:ascii="宋体" w:hAnsi="宋体" w:eastAsia="宋体" w:cs="宋体"/>
              </w:rPr>
            </w:pPr>
            <w:r>
              <w:rPr>
                <w:spacing w:val="-5"/>
                <w:position w:val="2"/>
              </w:rPr>
              <w:t>12</w:t>
            </w:r>
            <w:r>
              <w:rPr>
                <w:rFonts w:ascii="宋体" w:hAnsi="宋体" w:eastAsia="宋体" w:cs="宋体"/>
                <w:spacing w:val="-5"/>
                <w:position w:val="2"/>
              </w:rPr>
              <w:t>（双）</w:t>
            </w:r>
          </w:p>
        </w:tc>
        <w:tc>
          <w:tcPr>
            <w:tcW w:w="2007" w:type="dxa"/>
            <w:vAlign w:val="top"/>
          </w:tcPr>
          <w:p>
            <w:pPr>
              <w:pStyle w:val="6"/>
              <w:spacing w:before="49" w:line="224" w:lineRule="auto"/>
              <w:ind w:left="695"/>
              <w:rPr>
                <w:rFonts w:ascii="宋体" w:hAnsi="宋体" w:eastAsia="宋体" w:cs="宋体"/>
              </w:rPr>
            </w:pPr>
            <w:r>
              <w:rPr>
                <w:spacing w:val="-2"/>
              </w:rPr>
              <w:t>7</w:t>
            </w:r>
            <w:r>
              <w:rPr>
                <w:rFonts w:ascii="宋体" w:hAnsi="宋体" w:eastAsia="宋体" w:cs="宋体"/>
                <w:spacing w:val="-2"/>
              </w:rPr>
              <w:t>（双）</w:t>
            </w:r>
          </w:p>
        </w:tc>
        <w:tc>
          <w:tcPr>
            <w:tcW w:w="1839" w:type="dxa"/>
            <w:vAlign w:val="top"/>
          </w:tcPr>
          <w:p>
            <w:pPr>
              <w:pStyle w:val="6"/>
              <w:spacing w:before="49" w:line="224" w:lineRule="auto"/>
              <w:ind w:left="610"/>
              <w:rPr>
                <w:rFonts w:ascii="宋体" w:hAnsi="宋体" w:eastAsia="宋体" w:cs="宋体"/>
              </w:rPr>
            </w:pPr>
            <w:r>
              <w:rPr>
                <w:spacing w:val="-3"/>
              </w:rPr>
              <w:t>5</w:t>
            </w:r>
            <w:r>
              <w:rPr>
                <w:rFonts w:ascii="宋体" w:hAnsi="宋体" w:eastAsia="宋体" w:cs="宋体"/>
                <w:spacing w:val="-3"/>
              </w:rPr>
              <w:t>（双）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jc w:val="center"/>
        </w:trPr>
        <w:tc>
          <w:tcPr>
            <w:tcW w:w="884" w:type="dxa"/>
            <w:vMerge w:val="continue"/>
            <w:tcBorders>
              <w:top w:val="nil"/>
            </w:tcBorders>
            <w:vAlign w:val="top"/>
          </w:tcPr>
          <w:p>
            <w:pPr>
              <w:rPr>
                <w:rFonts w:ascii="Arial"/>
                <w:sz w:val="21"/>
              </w:rPr>
            </w:pPr>
          </w:p>
        </w:tc>
        <w:tc>
          <w:tcPr>
            <w:tcW w:w="1039" w:type="dxa"/>
            <w:vAlign w:val="top"/>
          </w:tcPr>
          <w:p>
            <w:pPr>
              <w:spacing w:before="53" w:line="219" w:lineRule="auto"/>
              <w:ind w:left="162"/>
              <w:rPr>
                <w:rFonts w:ascii="宋体" w:hAnsi="宋体" w:eastAsia="宋体" w:cs="宋体"/>
                <w:sz w:val="18"/>
                <w:szCs w:val="18"/>
              </w:rPr>
            </w:pPr>
            <w:r>
              <w:rPr>
                <w:rFonts w:ascii="宋体" w:hAnsi="宋体" w:eastAsia="宋体" w:cs="宋体"/>
                <w:spacing w:val="-2"/>
                <w:sz w:val="18"/>
                <w:szCs w:val="18"/>
              </w:rPr>
              <w:t>针织袜套</w:t>
            </w:r>
          </w:p>
        </w:tc>
        <w:tc>
          <w:tcPr>
            <w:tcW w:w="2613" w:type="dxa"/>
            <w:vAlign w:val="top"/>
          </w:tcPr>
          <w:p>
            <w:pPr>
              <w:pStyle w:val="6"/>
              <w:spacing w:before="23" w:line="269" w:lineRule="exact"/>
              <w:ind w:left="963"/>
              <w:rPr>
                <w:rFonts w:ascii="宋体" w:hAnsi="宋体" w:eastAsia="宋体" w:cs="宋体"/>
              </w:rPr>
            </w:pPr>
            <w:r>
              <w:rPr>
                <w:spacing w:val="-5"/>
                <w:position w:val="2"/>
              </w:rPr>
              <w:t>11</w:t>
            </w:r>
            <w:r>
              <w:rPr>
                <w:rFonts w:ascii="宋体" w:hAnsi="宋体" w:eastAsia="宋体" w:cs="宋体"/>
                <w:spacing w:val="-5"/>
                <w:position w:val="2"/>
              </w:rPr>
              <w:t>（双）</w:t>
            </w:r>
          </w:p>
        </w:tc>
        <w:tc>
          <w:tcPr>
            <w:tcW w:w="2007" w:type="dxa"/>
            <w:vAlign w:val="top"/>
          </w:tcPr>
          <w:p>
            <w:pPr>
              <w:pStyle w:val="6"/>
              <w:spacing w:before="23" w:line="269" w:lineRule="exact"/>
              <w:ind w:left="696"/>
              <w:rPr>
                <w:rFonts w:ascii="宋体" w:hAnsi="宋体" w:eastAsia="宋体" w:cs="宋体"/>
              </w:rPr>
            </w:pPr>
            <w:r>
              <w:rPr>
                <w:spacing w:val="-3"/>
                <w:position w:val="2"/>
              </w:rPr>
              <w:t>6</w:t>
            </w:r>
            <w:r>
              <w:rPr>
                <w:rFonts w:ascii="宋体" w:hAnsi="宋体" w:eastAsia="宋体" w:cs="宋体"/>
                <w:spacing w:val="-3"/>
                <w:position w:val="2"/>
              </w:rPr>
              <w:t>（双）</w:t>
            </w:r>
          </w:p>
        </w:tc>
        <w:tc>
          <w:tcPr>
            <w:tcW w:w="1839" w:type="dxa"/>
            <w:vAlign w:val="top"/>
          </w:tcPr>
          <w:p>
            <w:pPr>
              <w:pStyle w:val="6"/>
              <w:spacing w:before="52" w:line="224" w:lineRule="auto"/>
              <w:ind w:left="610"/>
              <w:rPr>
                <w:rFonts w:ascii="宋体" w:hAnsi="宋体" w:eastAsia="宋体" w:cs="宋体"/>
              </w:rPr>
            </w:pPr>
            <w:r>
              <w:rPr>
                <w:spacing w:val="-3"/>
              </w:rPr>
              <w:t>5</w:t>
            </w:r>
            <w:r>
              <w:rPr>
                <w:rFonts w:ascii="宋体" w:hAnsi="宋体" w:eastAsia="宋体" w:cs="宋体"/>
                <w:spacing w:val="-3"/>
              </w:rPr>
              <w:t>（双）</w:t>
            </w:r>
          </w:p>
        </w:tc>
      </w:tr>
    </w:tbl>
    <w:p>
      <w:pPr>
        <w:spacing w:line="328" w:lineRule="auto"/>
        <w:rPr>
          <w:rFonts w:ascii="Arial"/>
          <w:sz w:val="21"/>
        </w:rPr>
      </w:pPr>
    </w:p>
    <w:p>
      <w:pPr>
        <w:spacing w:before="65"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2"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4"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191"/>
        <w:gridCol w:w="35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jc w:val="center"/>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191" w:type="dxa"/>
            <w:vAlign w:val="top"/>
          </w:tcPr>
          <w:p>
            <w:pPr>
              <w:spacing w:before="125"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556" w:type="dxa"/>
            <w:vAlign w:val="top"/>
          </w:tcPr>
          <w:p>
            <w:pPr>
              <w:spacing w:before="125"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jc w:val="center"/>
        </w:trPr>
        <w:tc>
          <w:tcPr>
            <w:tcW w:w="1592" w:type="dxa"/>
            <w:vAlign w:val="top"/>
          </w:tcPr>
          <w:p>
            <w:pPr>
              <w:pStyle w:val="6"/>
              <w:spacing w:before="52" w:line="236" w:lineRule="exact"/>
              <w:jc w:val="center"/>
              <w:rPr>
                <w:position w:val="1"/>
              </w:rPr>
            </w:pPr>
          </w:p>
          <w:p>
            <w:pPr>
              <w:pStyle w:val="6"/>
              <w:spacing w:before="52" w:line="236" w:lineRule="exact"/>
              <w:jc w:val="center"/>
            </w:pPr>
            <w:r>
              <w:rPr>
                <w:position w:val="1"/>
              </w:rPr>
              <w:t>1</w:t>
            </w:r>
          </w:p>
        </w:tc>
        <w:tc>
          <w:tcPr>
            <w:tcW w:w="3191" w:type="dxa"/>
            <w:vAlign w:val="top"/>
          </w:tcPr>
          <w:p>
            <w:pPr>
              <w:spacing w:before="58" w:line="219" w:lineRule="auto"/>
              <w:jc w:val="center"/>
              <w:rPr>
                <w:rFonts w:hint="eastAsia" w:ascii="宋体" w:hAnsi="宋体" w:eastAsia="宋体" w:cs="宋体"/>
                <w:spacing w:val="-3"/>
                <w:sz w:val="18"/>
                <w:szCs w:val="18"/>
                <w:lang w:eastAsia="zh-CN"/>
              </w:rPr>
            </w:pPr>
          </w:p>
          <w:p>
            <w:pPr>
              <w:spacing w:before="58" w:line="219" w:lineRule="auto"/>
              <w:jc w:val="center"/>
              <w:rPr>
                <w:rFonts w:ascii="宋体" w:hAnsi="宋体" w:eastAsia="宋体" w:cs="宋体"/>
                <w:sz w:val="18"/>
                <w:szCs w:val="18"/>
              </w:rPr>
            </w:pPr>
            <w:r>
              <w:rPr>
                <w:rFonts w:hint="eastAsia" w:ascii="宋体" w:hAnsi="宋体" w:eastAsia="宋体" w:cs="宋体"/>
                <w:spacing w:val="-3"/>
                <w:sz w:val="18"/>
                <w:szCs w:val="18"/>
                <w:lang w:eastAsia="zh-CN"/>
              </w:rPr>
              <w:t>面料</w:t>
            </w:r>
            <w:r>
              <w:rPr>
                <w:rFonts w:ascii="宋体" w:hAnsi="宋体" w:eastAsia="宋体" w:cs="宋体"/>
                <w:spacing w:val="-3"/>
                <w:sz w:val="18"/>
                <w:szCs w:val="18"/>
              </w:rPr>
              <w:t>纤维含量</w:t>
            </w:r>
          </w:p>
        </w:tc>
        <w:tc>
          <w:tcPr>
            <w:tcW w:w="3556" w:type="dxa"/>
            <w:vAlign w:val="top"/>
          </w:tcPr>
          <w:p>
            <w:pPr>
              <w:pStyle w:val="6"/>
              <w:spacing w:before="1" w:line="235" w:lineRule="auto"/>
              <w:ind w:left="733" w:right="742" w:firstLine="97"/>
              <w:rPr>
                <w:rFonts w:ascii="宋体" w:hAnsi="宋体" w:eastAsia="宋体" w:cs="宋体"/>
              </w:rPr>
            </w:pPr>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before="1" w:line="234" w:lineRule="auto"/>
              <w:ind w:left="956" w:right="952" w:firstLine="18"/>
            </w:pPr>
            <w:r>
              <w:rPr>
                <w:spacing w:val="-1"/>
              </w:rPr>
              <w:t>FZ/T 01026-2017</w:t>
            </w:r>
            <w:r>
              <w:rPr>
                <w:spacing w:val="8"/>
              </w:rPr>
              <w:t xml:space="preserve"> </w:t>
            </w:r>
            <w:r>
              <w:rPr>
                <w:spacing w:val="-1"/>
              </w:rPr>
              <w:t>GB/T 38015-2019</w:t>
            </w:r>
            <w:r>
              <w:rPr>
                <w:rFonts w:hint="eastAsia" w:eastAsia="SimSun"/>
                <w:spacing w:val="-1"/>
                <w:lang w:eastAsia="zh-CN"/>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1592" w:type="dxa"/>
            <w:vAlign w:val="top"/>
          </w:tcPr>
          <w:p>
            <w:pPr>
              <w:pStyle w:val="6"/>
              <w:spacing w:before="100" w:line="236" w:lineRule="exact"/>
              <w:ind w:left="752"/>
            </w:pPr>
            <w:r>
              <w:rPr>
                <w:position w:val="1"/>
              </w:rPr>
              <w:t>2</w:t>
            </w:r>
          </w:p>
        </w:tc>
        <w:tc>
          <w:tcPr>
            <w:tcW w:w="3191" w:type="dxa"/>
            <w:vAlign w:val="top"/>
          </w:tcPr>
          <w:p>
            <w:pPr>
              <w:spacing w:before="127"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556" w:type="dxa"/>
            <w:vAlign w:val="top"/>
          </w:tcPr>
          <w:p>
            <w:pPr>
              <w:pStyle w:val="6"/>
              <w:spacing w:before="100" w:line="236" w:lineRule="exact"/>
              <w:ind w:left="93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592" w:type="dxa"/>
            <w:vAlign w:val="top"/>
          </w:tcPr>
          <w:p>
            <w:pPr>
              <w:pStyle w:val="6"/>
              <w:spacing w:before="100" w:line="236" w:lineRule="exact"/>
              <w:ind w:left="756"/>
            </w:pPr>
            <w:r>
              <w:rPr>
                <w:position w:val="1"/>
              </w:rPr>
              <w:t>3</w:t>
            </w:r>
          </w:p>
        </w:tc>
        <w:tc>
          <w:tcPr>
            <w:tcW w:w="3191" w:type="dxa"/>
            <w:vAlign w:val="top"/>
          </w:tcPr>
          <w:p>
            <w:pPr>
              <w:pStyle w:val="6"/>
              <w:spacing w:before="127"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556" w:type="dxa"/>
            <w:vAlign w:val="top"/>
          </w:tcPr>
          <w:p>
            <w:pPr>
              <w:pStyle w:val="6"/>
              <w:spacing w:before="100" w:line="236" w:lineRule="exact"/>
              <w:ind w:left="1001"/>
            </w:pPr>
            <w:r>
              <w:rPr>
                <w:spacing w:val="-1"/>
                <w:position w:val="1"/>
              </w:rPr>
              <w:t>GB/T 7573—2009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592" w:type="dxa"/>
            <w:vAlign w:val="top"/>
          </w:tcPr>
          <w:p>
            <w:pPr>
              <w:pStyle w:val="6"/>
              <w:spacing w:before="100" w:line="236" w:lineRule="exact"/>
              <w:ind w:left="752" w:leftChars="0"/>
              <w:rPr>
                <w:position w:val="1"/>
              </w:rPr>
            </w:pPr>
            <w:r>
              <w:rPr>
                <w:position w:val="1"/>
              </w:rPr>
              <w:t>4</w:t>
            </w:r>
          </w:p>
        </w:tc>
        <w:tc>
          <w:tcPr>
            <w:tcW w:w="3191" w:type="dxa"/>
            <w:vAlign w:val="top"/>
          </w:tcPr>
          <w:p>
            <w:pPr>
              <w:spacing w:before="127" w:line="219" w:lineRule="auto"/>
              <w:ind w:left="1254" w:leftChars="0"/>
              <w:rPr>
                <w:spacing w:val="-1"/>
              </w:rPr>
            </w:pPr>
            <w:r>
              <w:rPr>
                <w:rFonts w:ascii="宋体" w:hAnsi="宋体" w:eastAsia="宋体" w:cs="宋体"/>
                <w:spacing w:val="-2"/>
                <w:sz w:val="18"/>
                <w:szCs w:val="18"/>
              </w:rPr>
              <w:t>耐水色牢度</w:t>
            </w:r>
          </w:p>
        </w:tc>
        <w:tc>
          <w:tcPr>
            <w:tcW w:w="3556" w:type="dxa"/>
            <w:vAlign w:val="top"/>
          </w:tcPr>
          <w:p>
            <w:pPr>
              <w:pStyle w:val="6"/>
              <w:spacing w:before="100" w:line="236" w:lineRule="exact"/>
              <w:ind w:left="1001" w:leftChars="0"/>
              <w:rPr>
                <w:spacing w:val="-1"/>
                <w:position w:val="1"/>
              </w:rPr>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592" w:type="dxa"/>
            <w:vAlign w:val="top"/>
          </w:tcPr>
          <w:p>
            <w:pPr>
              <w:pStyle w:val="6"/>
              <w:spacing w:before="156" w:line="185" w:lineRule="auto"/>
              <w:ind w:left="757" w:leftChars="0"/>
              <w:rPr>
                <w:position w:val="1"/>
              </w:rPr>
            </w:pPr>
            <w:r>
              <w:t>5</w:t>
            </w:r>
          </w:p>
        </w:tc>
        <w:tc>
          <w:tcPr>
            <w:tcW w:w="3191" w:type="dxa"/>
            <w:vAlign w:val="top"/>
          </w:tcPr>
          <w:p>
            <w:pPr>
              <w:spacing w:before="122" w:line="219" w:lineRule="auto"/>
              <w:ind w:left="1163" w:leftChars="0"/>
              <w:rPr>
                <w:spacing w:val="-1"/>
              </w:rPr>
            </w:pPr>
            <w:r>
              <w:rPr>
                <w:rFonts w:ascii="宋体" w:hAnsi="宋体" w:eastAsia="宋体" w:cs="宋体"/>
                <w:spacing w:val="-2"/>
                <w:sz w:val="18"/>
                <w:szCs w:val="18"/>
              </w:rPr>
              <w:t>耐摩擦色牢度</w:t>
            </w:r>
          </w:p>
        </w:tc>
        <w:tc>
          <w:tcPr>
            <w:tcW w:w="3556" w:type="dxa"/>
            <w:vAlign w:val="top"/>
          </w:tcPr>
          <w:p>
            <w:pPr>
              <w:pStyle w:val="6"/>
              <w:spacing w:before="95" w:line="237" w:lineRule="exact"/>
              <w:ind w:left="1001" w:leftChars="0"/>
              <w:rPr>
                <w:spacing w:val="-1"/>
                <w:position w:val="1"/>
              </w:rPr>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592" w:type="dxa"/>
            <w:vAlign w:val="top"/>
          </w:tcPr>
          <w:p>
            <w:pPr>
              <w:pStyle w:val="6"/>
              <w:spacing w:before="98" w:line="236" w:lineRule="exact"/>
              <w:ind w:left="756" w:leftChars="0"/>
              <w:rPr>
                <w:position w:val="1"/>
              </w:rPr>
            </w:pPr>
            <w:r>
              <w:rPr>
                <w:position w:val="1"/>
              </w:rPr>
              <w:t>6</w:t>
            </w:r>
          </w:p>
        </w:tc>
        <w:tc>
          <w:tcPr>
            <w:tcW w:w="3191" w:type="dxa"/>
            <w:vAlign w:val="top"/>
          </w:tcPr>
          <w:p>
            <w:pPr>
              <w:spacing w:before="126" w:line="219" w:lineRule="auto"/>
              <w:ind w:left="802" w:leftChars="0"/>
              <w:rPr>
                <w:spacing w:val="-1"/>
              </w:rPr>
            </w:pPr>
            <w:r>
              <w:rPr>
                <w:rFonts w:ascii="宋体" w:hAnsi="宋体" w:eastAsia="宋体" w:cs="宋体"/>
                <w:spacing w:val="-1"/>
                <w:sz w:val="18"/>
                <w:szCs w:val="18"/>
              </w:rPr>
              <w:t>可分解致癌芳香胺染料</w:t>
            </w:r>
          </w:p>
        </w:tc>
        <w:tc>
          <w:tcPr>
            <w:tcW w:w="3556" w:type="dxa"/>
            <w:vAlign w:val="top"/>
          </w:tcPr>
          <w:p>
            <w:pPr>
              <w:pStyle w:val="6"/>
              <w:spacing w:line="214" w:lineRule="exact"/>
              <w:ind w:left="956"/>
            </w:pPr>
            <w:r>
              <w:rPr>
                <w:spacing w:val="-3"/>
              </w:rPr>
              <w:t>GB/T</w:t>
            </w:r>
            <w:r>
              <w:rPr>
                <w:spacing w:val="33"/>
              </w:rPr>
              <w:t xml:space="preserve"> </w:t>
            </w:r>
            <w:r>
              <w:rPr>
                <w:spacing w:val="-3"/>
              </w:rPr>
              <w:t>17592—2024</w:t>
            </w:r>
          </w:p>
          <w:p>
            <w:pPr>
              <w:pStyle w:val="6"/>
              <w:spacing w:line="237" w:lineRule="auto"/>
              <w:ind w:left="956" w:leftChars="0"/>
              <w:rPr>
                <w:spacing w:val="-1"/>
                <w:position w:val="1"/>
              </w:rPr>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592" w:type="dxa"/>
            <w:vAlign w:val="top"/>
          </w:tcPr>
          <w:p>
            <w:pPr>
              <w:pStyle w:val="6"/>
              <w:spacing w:before="159" w:line="185" w:lineRule="auto"/>
              <w:ind w:left="755" w:leftChars="0"/>
              <w:rPr>
                <w:position w:val="1"/>
              </w:rPr>
            </w:pPr>
            <w:r>
              <w:t>7</w:t>
            </w:r>
          </w:p>
        </w:tc>
        <w:tc>
          <w:tcPr>
            <w:tcW w:w="3191" w:type="dxa"/>
            <w:vAlign w:val="top"/>
          </w:tcPr>
          <w:p>
            <w:pPr>
              <w:spacing w:before="126" w:line="218" w:lineRule="auto"/>
              <w:ind w:left="534" w:leftChars="0"/>
              <w:rPr>
                <w:spacing w:val="-1"/>
              </w:rPr>
            </w:pPr>
            <w:r>
              <w:rPr>
                <w:rFonts w:ascii="宋体" w:hAnsi="宋体" w:eastAsia="宋体" w:cs="宋体"/>
                <w:spacing w:val="-1"/>
                <w:sz w:val="18"/>
                <w:szCs w:val="18"/>
              </w:rPr>
              <w:t>耐汗渍色牢度（耐酸、耐碱）</w:t>
            </w:r>
          </w:p>
        </w:tc>
        <w:tc>
          <w:tcPr>
            <w:tcW w:w="3556" w:type="dxa"/>
            <w:vAlign w:val="top"/>
          </w:tcPr>
          <w:p>
            <w:pPr>
              <w:pStyle w:val="6"/>
              <w:spacing w:before="99" w:line="236" w:lineRule="exact"/>
              <w:ind w:left="1001" w:leftChars="0"/>
              <w:rPr>
                <w:spacing w:val="-1"/>
                <w:position w:val="1"/>
              </w:rPr>
            </w:pPr>
            <w:r>
              <w:rPr>
                <w:spacing w:val="-1"/>
                <w:position w:val="1"/>
              </w:rPr>
              <w:t>GB/T 3922—2013</w:t>
            </w:r>
          </w:p>
        </w:tc>
      </w:tr>
    </w:tbl>
    <w:p>
      <w:pPr>
        <w:rPr>
          <w:rFonts w:ascii="Arial"/>
          <w:sz w:val="21"/>
        </w:rPr>
      </w:pPr>
    </w:p>
    <w:p>
      <w:pPr>
        <w:spacing w:line="91" w:lineRule="auto"/>
        <w:rPr>
          <w:rFonts w:ascii="Arial"/>
          <w:sz w:val="2"/>
        </w:rPr>
      </w:pPr>
    </w:p>
    <w:p>
      <w:pPr>
        <w:pStyle w:val="2"/>
        <w:spacing w:before="166" w:line="227" w:lineRule="auto"/>
        <w:ind w:left="445"/>
      </w:pPr>
      <w:r>
        <w:rPr>
          <w:spacing w:val="9"/>
        </w:rPr>
        <w:t>执行企业标准、团体标准、地方标准的产品，检验项目参照上述内容执行。</w:t>
      </w:r>
    </w:p>
    <w:p>
      <w:pPr>
        <w:pStyle w:val="2"/>
        <w:spacing w:before="192" w:line="409" w:lineRule="auto"/>
        <w:ind w:left="28" w:right="138" w:firstLine="420"/>
      </w:pPr>
      <w:r>
        <w:rPr>
          <w:spacing w:val="10"/>
        </w:rPr>
        <w:t>凡是注日期的文件，其随后所有的修改单（不包括勘</w:t>
      </w:r>
      <w:r>
        <w:rPr>
          <w:spacing w:val="9"/>
        </w:rPr>
        <w:t>误的内容）或修订版不适用于本细则。凡是不注日期的文件，其最新版本适用于本细则。</w:t>
      </w:r>
    </w:p>
    <w:p>
      <w:pPr>
        <w:spacing w:line="462" w:lineRule="auto"/>
        <w:rPr>
          <w:rFonts w:ascii="Arial"/>
          <w:sz w:val="21"/>
        </w:rPr>
      </w:pPr>
    </w:p>
    <w:p>
      <w:pPr>
        <w:spacing w:before="65" w:line="226" w:lineRule="auto"/>
        <w:ind w:left="20"/>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20"/>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2" w:line="274" w:lineRule="exact"/>
        <w:ind w:left="444"/>
      </w:pPr>
      <w:r>
        <w:rPr>
          <w:rFonts w:ascii="Times New Roman" w:hAnsi="Times New Roman" w:eastAsia="Times New Roman" w:cs="Times New Roman"/>
          <w:position w:val="1"/>
        </w:rPr>
        <w:t>GB</w:t>
      </w:r>
      <w:r>
        <w:rPr>
          <w:rFonts w:ascii="Times New Roman" w:hAnsi="Times New Roman" w:eastAsia="Times New Roman" w:cs="Times New Roman"/>
          <w:spacing w:val="28"/>
          <w:position w:val="1"/>
        </w:rPr>
        <w:t xml:space="preserve"> </w:t>
      </w:r>
      <w:r>
        <w:rPr>
          <w:rFonts w:ascii="Times New Roman" w:hAnsi="Times New Roman" w:eastAsia="Times New Roman" w:cs="Times New Roman"/>
          <w:spacing w:val="7"/>
          <w:position w:val="1"/>
        </w:rPr>
        <w:t>18401—2010</w:t>
      </w:r>
      <w:r>
        <w:rPr>
          <w:spacing w:val="7"/>
          <w:position w:val="1"/>
        </w:rPr>
        <w:t>《国家纺织产品基本安全技术规范》</w:t>
      </w:r>
    </w:p>
    <w:p>
      <w:pPr>
        <w:pStyle w:val="2"/>
        <w:spacing w:before="134"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5"/>
          <w:position w:val="1"/>
        </w:rPr>
        <w:t>/T 35001—2013</w:t>
      </w:r>
      <w:r>
        <w:rPr>
          <w:spacing w:val="5"/>
          <w:position w:val="1"/>
        </w:rPr>
        <w:t>《苎麻袜》</w:t>
      </w:r>
    </w:p>
    <w:p>
      <w:pPr>
        <w:pStyle w:val="2"/>
        <w:spacing w:before="134"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5"/>
          <w:position w:val="1"/>
        </w:rPr>
        <w:t>/T 73001—2016</w:t>
      </w:r>
      <w:r>
        <w:rPr>
          <w:spacing w:val="5"/>
          <w:position w:val="1"/>
        </w:rPr>
        <w:t>《袜子》</w:t>
      </w:r>
    </w:p>
    <w:p>
      <w:pPr>
        <w:pStyle w:val="2"/>
        <w:spacing w:before="134"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7"/>
          <w:position w:val="1"/>
        </w:rPr>
        <w:t>/T 73005—2021</w:t>
      </w:r>
      <w:r>
        <w:rPr>
          <w:spacing w:val="7"/>
          <w:position w:val="1"/>
        </w:rPr>
        <w:t>《低含毛混纺及仿毛针织品》</w:t>
      </w:r>
    </w:p>
    <w:p>
      <w:pPr>
        <w:pStyle w:val="2"/>
        <w:spacing w:before="136"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73009—2021</w:t>
      </w:r>
      <w:r>
        <w:rPr>
          <w:spacing w:val="6"/>
          <w:position w:val="1"/>
        </w:rPr>
        <w:t>《山羊绒针织品》</w:t>
      </w:r>
    </w:p>
    <w:p>
      <w:pPr>
        <w:pStyle w:val="2"/>
        <w:spacing w:before="134"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73018—2021</w:t>
      </w:r>
      <w:r>
        <w:rPr>
          <w:spacing w:val="6"/>
          <w:position w:val="1"/>
        </w:rPr>
        <w:t>《毛针织品》</w:t>
      </w:r>
    </w:p>
    <w:p>
      <w:pPr>
        <w:pStyle w:val="2"/>
        <w:spacing w:before="134" w:line="274"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73030—2009</w:t>
      </w:r>
      <w:r>
        <w:rPr>
          <w:spacing w:val="6"/>
          <w:position w:val="1"/>
        </w:rPr>
        <w:t>《针织袜套》</w:t>
      </w:r>
    </w:p>
    <w:p>
      <w:pPr>
        <w:pStyle w:val="2"/>
        <w:spacing w:before="136" w:line="275"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73037—2019</w:t>
      </w:r>
      <w:r>
        <w:rPr>
          <w:spacing w:val="6"/>
          <w:position w:val="1"/>
        </w:rPr>
        <w:t>《针织运动袜》</w:t>
      </w:r>
    </w:p>
    <w:p>
      <w:pPr>
        <w:pStyle w:val="2"/>
        <w:spacing w:before="133" w:line="275"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5"/>
          <w:position w:val="1"/>
        </w:rPr>
        <w:t>/T 73041—2011</w:t>
      </w:r>
      <w:r>
        <w:rPr>
          <w:spacing w:val="5"/>
          <w:position w:val="1"/>
        </w:rPr>
        <w:t>《经编袜》</w:t>
      </w:r>
    </w:p>
    <w:p>
      <w:pPr>
        <w:pStyle w:val="2"/>
        <w:spacing w:before="133" w:line="275" w:lineRule="exact"/>
        <w:ind w:left="440"/>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73048—2013</w:t>
      </w:r>
      <w:r>
        <w:rPr>
          <w:spacing w:val="6"/>
          <w:position w:val="1"/>
        </w:rPr>
        <w:t>《针织五趾袜》</w:t>
      </w:r>
    </w:p>
    <w:p>
      <w:pPr>
        <w:pStyle w:val="2"/>
        <w:spacing w:before="165" w:line="227" w:lineRule="auto"/>
        <w:ind w:left="444"/>
      </w:pPr>
      <w:r>
        <w:rPr>
          <w:spacing w:val="9"/>
        </w:rPr>
        <w:t>现行有效的企业标准、团体标准、地方标准及产品明示质量要求。</w:t>
      </w:r>
    </w:p>
    <w:p>
      <w:pPr>
        <w:pStyle w:val="2"/>
        <w:spacing w:before="41" w:line="228" w:lineRule="auto"/>
        <w:outlineLvl w:val="2"/>
        <w:rPr>
          <w:rFonts w:ascii="Times New Roman" w:hAnsi="Times New Roman" w:eastAsia="Times New Roman" w:cs="Times New Roman"/>
          <w:b/>
          <w:bCs/>
          <w:spacing w:val="4"/>
        </w:rPr>
      </w:pPr>
    </w:p>
    <w:p>
      <w:pPr>
        <w:pStyle w:val="2"/>
        <w:spacing w:before="41" w:line="228" w:lineRule="auto"/>
        <w:outlineLvl w:val="2"/>
      </w:pPr>
      <w:bookmarkStart w:id="0" w:name="_GoBack"/>
      <w:bookmarkEnd w:id="0"/>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line="407" w:lineRule="auto"/>
        <w:ind w:left="23" w:right="133" w:firstLine="415"/>
      </w:pPr>
      <w:r>
        <w:rPr>
          <w:rFonts w:hint="eastAsia"/>
          <w:spacing w:val="10"/>
        </w:rPr>
        <w:t>无法识别产品标准版本的，按新版标准实施，企业提供有效证据的除外。</w:t>
      </w:r>
    </w:p>
    <w:sectPr>
      <w:footerReference r:id="rId5" w:type="default"/>
      <w:pgSz w:w="11906" w:h="16839"/>
      <w:pgMar w:top="1429" w:right="1785" w:bottom="1420" w:left="1785"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3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48249F5"/>
    <w:rsid w:val="31B37286"/>
    <w:rsid w:val="333E3741"/>
    <w:rsid w:val="7DFE7237"/>
    <w:rsid w:val="DFFB61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995</Words>
  <Characters>1706</Characters>
  <TotalTime>0</TotalTime>
  <ScaleCrop>false</ScaleCrop>
  <LinksUpToDate>false</LinksUpToDate>
  <CharactersWithSpaces>1794</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2025-06-18T02:30:00Z</dcterms:created>
  <dc:creator>微软用户</dc:creator>
  <cp:lastModifiedBy>uos</cp:lastModifiedBy>
  <dcterms:modified xsi:type="dcterms:W3CDTF">2026-07-07T12:36:07Z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2026-06-13T09:23:03Z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845F2D28D4A7429A9F41BB068798C9D0_13</vt:lpwstr>
  </property>
</Properties>
</file>