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1" w:line="222" w:lineRule="auto"/>
        <w:ind w:left="1674"/>
        <w:outlineLvl w:val="0"/>
        <w:rPr>
          <w:rFonts w:ascii="黑体" w:hAnsi="黑体" w:eastAsia="黑体" w:cs="黑体"/>
          <w:sz w:val="31"/>
          <w:szCs w:val="31"/>
        </w:rPr>
      </w:pPr>
      <w:r>
        <w:rPr>
          <w:rFonts w:ascii="Times New Roman" w:hAnsi="Times New Roman" w:eastAsia="Times New Roman" w:cs="Times New Roman"/>
          <w:b/>
          <w:bCs/>
          <w:spacing w:val="6"/>
          <w:sz w:val="31"/>
          <w:szCs w:val="31"/>
        </w:rPr>
        <w:t>202</w:t>
      </w:r>
      <w:r>
        <w:rPr>
          <w:rFonts w:hint="eastAsia" w:ascii="Times New Roman" w:hAnsi="Times New Roman" w:eastAsia="宋体" w:cs="Times New Roman"/>
          <w:b/>
          <w:bCs/>
          <w:spacing w:val="6"/>
          <w:sz w:val="31"/>
          <w:szCs w:val="31"/>
          <w:lang w:val="en-US" w:eastAsia="zh-CN"/>
        </w:rPr>
        <w:t>6</w:t>
      </w:r>
      <w:r>
        <w:rPr>
          <w:rFonts w:ascii="Times New Roman" w:hAnsi="Times New Roman" w:eastAsia="Times New Roman" w:cs="Times New Roman"/>
          <w:b/>
          <w:bCs/>
          <w:spacing w:val="6"/>
          <w:sz w:val="31"/>
          <w:szCs w:val="31"/>
        </w:rPr>
        <w:t xml:space="preserve"> </w:t>
      </w:r>
      <w:r>
        <w:rPr>
          <w:rFonts w:ascii="黑体" w:hAnsi="黑体" w:eastAsia="黑体" w:cs="黑体"/>
          <w:b/>
          <w:bCs/>
          <w:spacing w:val="6"/>
          <w:sz w:val="31"/>
          <w:szCs w:val="31"/>
        </w:rPr>
        <w:t>年新疆维吾尔自治区针织家居服</w:t>
      </w:r>
    </w:p>
    <w:p>
      <w:pPr>
        <w:spacing w:before="107" w:line="222" w:lineRule="auto"/>
        <w:ind w:left="2359"/>
        <w:outlineLvl w:val="0"/>
        <w:rPr>
          <w:rFonts w:ascii="黑体" w:hAnsi="黑体" w:eastAsia="黑体" w:cs="黑体"/>
          <w:sz w:val="31"/>
          <w:szCs w:val="31"/>
        </w:rPr>
      </w:pPr>
      <w:r>
        <w:rPr>
          <w:rFonts w:ascii="黑体" w:hAnsi="黑体" w:eastAsia="黑体" w:cs="黑体"/>
          <w:b/>
          <w:bCs/>
          <w:spacing w:val="6"/>
          <w:sz w:val="31"/>
          <w:szCs w:val="31"/>
        </w:rPr>
        <w:t>产品质量监督抽查实施细则</w:t>
      </w:r>
    </w:p>
    <w:p>
      <w:pPr>
        <w:spacing w:line="325" w:lineRule="auto"/>
        <w:rPr>
          <w:rFonts w:ascii="Arial"/>
          <w:sz w:val="21"/>
        </w:rPr>
      </w:pPr>
    </w:p>
    <w:p>
      <w:pPr>
        <w:spacing w:before="65" w:line="225" w:lineRule="auto"/>
        <w:ind w:left="132"/>
        <w:outlineLvl w:val="1"/>
        <w:rPr>
          <w:rFonts w:ascii="黑体" w:hAnsi="黑体" w:eastAsia="黑体" w:cs="黑体"/>
          <w:sz w:val="20"/>
          <w:szCs w:val="20"/>
        </w:rPr>
      </w:pPr>
      <w:r>
        <w:rPr>
          <w:rFonts w:ascii="Times New Roman" w:hAnsi="Times New Roman" w:eastAsia="Times New Roman" w:cs="Times New Roman"/>
          <w:b/>
          <w:bCs/>
          <w:spacing w:val="3"/>
          <w:sz w:val="20"/>
          <w:szCs w:val="20"/>
        </w:rPr>
        <w:t>1</w:t>
      </w:r>
      <w:r>
        <w:rPr>
          <w:rFonts w:ascii="Times New Roman" w:hAnsi="Times New Roman" w:eastAsia="Times New Roman" w:cs="Times New Roman"/>
          <w:b/>
          <w:bCs/>
          <w:spacing w:val="6"/>
          <w:sz w:val="20"/>
          <w:szCs w:val="20"/>
        </w:rPr>
        <w:t xml:space="preserve">  </w:t>
      </w:r>
      <w:r>
        <w:rPr>
          <w:rFonts w:ascii="黑体" w:hAnsi="黑体" w:eastAsia="黑体" w:cs="黑体"/>
          <w:b/>
          <w:bCs/>
          <w:spacing w:val="3"/>
          <w:sz w:val="20"/>
          <w:szCs w:val="20"/>
        </w:rPr>
        <w:t>抽样方法</w:t>
      </w:r>
    </w:p>
    <w:p>
      <w:pPr>
        <w:pStyle w:val="2"/>
        <w:spacing w:before="166" w:line="227" w:lineRule="auto"/>
        <w:ind w:left="132"/>
        <w:outlineLvl w:val="2"/>
      </w:pPr>
      <w:r>
        <w:rPr>
          <w:rFonts w:ascii="Times New Roman" w:hAnsi="Times New Roman" w:eastAsia="Times New Roman" w:cs="Times New Roman"/>
          <w:b/>
          <w:bCs/>
          <w:spacing w:val="5"/>
        </w:rPr>
        <w:t xml:space="preserve">1.1  </w:t>
      </w:r>
      <w:r>
        <w:rPr>
          <w:b/>
          <w:bCs/>
          <w:spacing w:val="5"/>
        </w:rPr>
        <w:t>抽查产品及抽样领域</w:t>
      </w:r>
    </w:p>
    <w:p>
      <w:pPr>
        <w:pStyle w:val="2"/>
        <w:spacing w:before="162" w:line="227" w:lineRule="auto"/>
        <w:ind w:left="545"/>
      </w:pPr>
      <w:r>
        <w:rPr>
          <w:spacing w:val="8"/>
        </w:rPr>
        <w:t>抽样领域为新疆维吾尔自治区生产销售领域。</w:t>
      </w:r>
    </w:p>
    <w:p>
      <w:pPr>
        <w:pStyle w:val="2"/>
        <w:spacing w:before="162" w:line="227" w:lineRule="auto"/>
        <w:ind w:left="545"/>
      </w:pPr>
      <w:r>
        <w:rPr>
          <w:spacing w:val="8"/>
        </w:rPr>
        <w:t>抽查产品：针织家居服。</w:t>
      </w:r>
    </w:p>
    <w:p>
      <w:pPr>
        <w:pStyle w:val="2"/>
        <w:spacing w:before="164" w:line="227" w:lineRule="auto"/>
        <w:ind w:left="132"/>
        <w:outlineLvl w:val="2"/>
      </w:pPr>
      <w:r>
        <w:rPr>
          <w:rFonts w:ascii="Times New Roman" w:hAnsi="Times New Roman" w:eastAsia="Times New Roman" w:cs="Times New Roman"/>
          <w:b/>
          <w:bCs/>
          <w:spacing w:val="5"/>
        </w:rPr>
        <w:t xml:space="preserve">1.2  </w:t>
      </w:r>
      <w:r>
        <w:rPr>
          <w:b/>
          <w:bCs/>
          <w:spacing w:val="5"/>
        </w:rPr>
        <w:t>抽样方法、基数及数量</w:t>
      </w:r>
    </w:p>
    <w:p>
      <w:pPr>
        <w:pStyle w:val="2"/>
        <w:spacing w:before="163" w:line="226" w:lineRule="auto"/>
        <w:ind w:left="558"/>
      </w:pPr>
      <w:r>
        <w:rPr>
          <w:spacing w:val="7"/>
        </w:rPr>
        <w:t>随机数使用随机数表等方法产生。</w:t>
      </w:r>
    </w:p>
    <w:p>
      <w:pPr>
        <w:pStyle w:val="2"/>
        <w:spacing w:before="163" w:line="362" w:lineRule="auto"/>
        <w:ind w:left="143" w:right="239" w:firstLine="402"/>
      </w:pPr>
      <w:r>
        <w:rPr>
          <w:spacing w:val="10"/>
        </w:rPr>
        <w:t>根据产品的销售单元（件、条）抽取相同款式（货号或款号</w:t>
      </w:r>
      <w:r>
        <w:rPr>
          <w:spacing w:val="9"/>
        </w:rPr>
        <w:t>）、相同花型和相同颜色</w:t>
      </w:r>
      <w:r>
        <w:rPr>
          <w:spacing w:val="5"/>
        </w:rPr>
        <w:t>的同一批次的产品。</w:t>
      </w:r>
    </w:p>
    <w:p>
      <w:pPr>
        <w:pStyle w:val="2"/>
        <w:spacing w:line="274" w:lineRule="exact"/>
        <w:ind w:left="545"/>
      </w:pPr>
      <w:r>
        <w:rPr>
          <w:spacing w:val="7"/>
          <w:position w:val="1"/>
        </w:rPr>
        <w:t>抽样基数满足抽样数量即可。抽样数量见表</w:t>
      </w:r>
      <w:r>
        <w:rPr>
          <w:spacing w:val="-10"/>
          <w:position w:val="1"/>
        </w:rPr>
        <w:t xml:space="preserve"> </w:t>
      </w:r>
      <w:r>
        <w:rPr>
          <w:rFonts w:ascii="Times New Roman" w:hAnsi="Times New Roman" w:eastAsia="Times New Roman" w:cs="Times New Roman"/>
          <w:spacing w:val="7"/>
          <w:position w:val="1"/>
        </w:rPr>
        <w:t>1</w:t>
      </w:r>
      <w:r>
        <w:rPr>
          <w:spacing w:val="7"/>
          <w:position w:val="1"/>
        </w:rPr>
        <w:t>。</w:t>
      </w:r>
    </w:p>
    <w:p>
      <w:pPr>
        <w:pStyle w:val="2"/>
        <w:spacing w:before="134" w:line="241" w:lineRule="auto"/>
        <w:ind w:left="3837"/>
        <w:outlineLvl w:val="0"/>
        <w:rPr>
          <w:sz w:val="18"/>
          <w:szCs w:val="18"/>
        </w:rPr>
      </w:pPr>
      <w:r>
        <w:rPr>
          <w:spacing w:val="-4"/>
          <w:sz w:val="18"/>
          <w:szCs w:val="18"/>
        </w:rPr>
        <w:t>表</w:t>
      </w:r>
      <w:r>
        <w:rPr>
          <w:spacing w:val="-20"/>
          <w:sz w:val="18"/>
          <w:szCs w:val="18"/>
        </w:rPr>
        <w:t xml:space="preserve"> </w:t>
      </w:r>
      <w:r>
        <w:rPr>
          <w:rFonts w:ascii="Times New Roman" w:hAnsi="Times New Roman" w:eastAsia="Times New Roman" w:cs="Times New Roman"/>
          <w:spacing w:val="-4"/>
          <w:sz w:val="18"/>
          <w:szCs w:val="18"/>
        </w:rPr>
        <w:t xml:space="preserve">1  </w:t>
      </w:r>
      <w:r>
        <w:rPr>
          <w:spacing w:val="-4"/>
          <w:sz w:val="18"/>
          <w:szCs w:val="18"/>
        </w:rPr>
        <w:t>抽样数量</w:t>
      </w:r>
    </w:p>
    <w:tbl>
      <w:tblPr>
        <w:tblStyle w:val="5"/>
        <w:tblW w:w="854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82"/>
        <w:gridCol w:w="3321"/>
        <w:gridCol w:w="1299"/>
        <w:gridCol w:w="183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2082" w:type="dxa"/>
            <w:vAlign w:val="top"/>
          </w:tcPr>
          <w:p>
            <w:pPr>
              <w:spacing w:before="122" w:line="219" w:lineRule="auto"/>
              <w:ind w:left="686"/>
              <w:rPr>
                <w:rFonts w:ascii="宋体" w:hAnsi="宋体" w:eastAsia="宋体" w:cs="宋体"/>
                <w:sz w:val="18"/>
                <w:szCs w:val="18"/>
              </w:rPr>
            </w:pPr>
            <w:r>
              <w:rPr>
                <w:rFonts w:ascii="宋体" w:hAnsi="宋体" w:eastAsia="宋体" w:cs="宋体"/>
                <w:spacing w:val="-2"/>
                <w:sz w:val="18"/>
                <w:szCs w:val="18"/>
              </w:rPr>
              <w:t>产品名称</w:t>
            </w:r>
          </w:p>
        </w:tc>
        <w:tc>
          <w:tcPr>
            <w:tcW w:w="3321" w:type="dxa"/>
            <w:vAlign w:val="top"/>
          </w:tcPr>
          <w:p>
            <w:pPr>
              <w:spacing w:before="122" w:line="219" w:lineRule="auto"/>
              <w:ind w:left="1304"/>
              <w:rPr>
                <w:rFonts w:ascii="宋体" w:hAnsi="宋体" w:eastAsia="宋体" w:cs="宋体"/>
                <w:sz w:val="18"/>
                <w:szCs w:val="18"/>
              </w:rPr>
            </w:pPr>
            <w:r>
              <w:rPr>
                <w:rFonts w:ascii="宋体" w:hAnsi="宋体" w:eastAsia="宋体" w:cs="宋体"/>
                <w:spacing w:val="-2"/>
                <w:sz w:val="18"/>
                <w:szCs w:val="18"/>
              </w:rPr>
              <w:t>抽样数量</w:t>
            </w:r>
          </w:p>
        </w:tc>
        <w:tc>
          <w:tcPr>
            <w:tcW w:w="1299" w:type="dxa"/>
            <w:vAlign w:val="top"/>
          </w:tcPr>
          <w:p>
            <w:pPr>
              <w:spacing w:before="122" w:line="219" w:lineRule="auto"/>
              <w:ind w:left="295"/>
              <w:rPr>
                <w:rFonts w:ascii="宋体" w:hAnsi="宋体" w:eastAsia="宋体" w:cs="宋体"/>
                <w:sz w:val="18"/>
                <w:szCs w:val="18"/>
              </w:rPr>
            </w:pPr>
            <w:r>
              <w:rPr>
                <w:rFonts w:ascii="宋体" w:hAnsi="宋体" w:eastAsia="宋体" w:cs="宋体"/>
                <w:spacing w:val="-2"/>
                <w:sz w:val="18"/>
                <w:szCs w:val="18"/>
              </w:rPr>
              <w:t>检验数量</w:t>
            </w:r>
          </w:p>
        </w:tc>
        <w:tc>
          <w:tcPr>
            <w:tcW w:w="1839" w:type="dxa"/>
            <w:vAlign w:val="top"/>
          </w:tcPr>
          <w:p>
            <w:pPr>
              <w:spacing w:before="122" w:line="219" w:lineRule="auto"/>
              <w:ind w:left="565"/>
              <w:rPr>
                <w:rFonts w:ascii="宋体" w:hAnsi="宋体" w:eastAsia="宋体" w:cs="宋体"/>
                <w:sz w:val="18"/>
                <w:szCs w:val="18"/>
              </w:rPr>
            </w:pPr>
            <w:r>
              <w:rPr>
                <w:rFonts w:ascii="宋体" w:hAnsi="宋体" w:eastAsia="宋体" w:cs="宋体"/>
                <w:spacing w:val="-3"/>
                <w:sz w:val="18"/>
                <w:szCs w:val="18"/>
              </w:rPr>
              <w:t>备样数量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1" w:hRule="atLeast"/>
        </w:trPr>
        <w:tc>
          <w:tcPr>
            <w:tcW w:w="2082" w:type="dxa"/>
            <w:vAlign w:val="top"/>
          </w:tcPr>
          <w:p>
            <w:pPr>
              <w:spacing w:before="61" w:line="219" w:lineRule="auto"/>
              <w:ind w:left="595"/>
              <w:rPr>
                <w:rFonts w:ascii="宋体" w:hAnsi="宋体" w:eastAsia="宋体" w:cs="宋体"/>
                <w:sz w:val="18"/>
                <w:szCs w:val="18"/>
              </w:rPr>
            </w:pPr>
            <w:r>
              <w:rPr>
                <w:rFonts w:ascii="宋体" w:hAnsi="宋体" w:eastAsia="宋体" w:cs="宋体"/>
                <w:spacing w:val="-2"/>
                <w:sz w:val="18"/>
                <w:szCs w:val="18"/>
              </w:rPr>
              <w:t>针织家居服</w:t>
            </w:r>
          </w:p>
        </w:tc>
        <w:tc>
          <w:tcPr>
            <w:tcW w:w="3321" w:type="dxa"/>
            <w:vAlign w:val="top"/>
          </w:tcPr>
          <w:p>
            <w:pPr>
              <w:pStyle w:val="6"/>
              <w:spacing w:before="33" w:line="257" w:lineRule="exact"/>
              <w:ind w:left="1170"/>
              <w:rPr>
                <w:rFonts w:ascii="宋体" w:hAnsi="宋体" w:eastAsia="宋体" w:cs="宋体"/>
              </w:rPr>
            </w:pPr>
            <w:r>
              <w:rPr>
                <w:spacing w:val="-2"/>
                <w:position w:val="1"/>
              </w:rPr>
              <w:t>3</w:t>
            </w:r>
            <w:r>
              <w:rPr>
                <w:rFonts w:ascii="宋体" w:hAnsi="宋体" w:eastAsia="宋体" w:cs="宋体"/>
                <w:spacing w:val="-2"/>
                <w:position w:val="1"/>
              </w:rPr>
              <w:t>（件、条）</w:t>
            </w:r>
          </w:p>
        </w:tc>
        <w:tc>
          <w:tcPr>
            <w:tcW w:w="1299" w:type="dxa"/>
            <w:vAlign w:val="top"/>
          </w:tcPr>
          <w:p>
            <w:pPr>
              <w:pStyle w:val="6"/>
              <w:spacing w:before="33" w:line="257" w:lineRule="exact"/>
              <w:ind w:left="157"/>
              <w:rPr>
                <w:rFonts w:ascii="宋体" w:hAnsi="宋体" w:eastAsia="宋体" w:cs="宋体"/>
              </w:rPr>
            </w:pPr>
            <w:r>
              <w:rPr>
                <w:spacing w:val="-1"/>
                <w:position w:val="1"/>
              </w:rPr>
              <w:t>2</w:t>
            </w:r>
            <w:r>
              <w:rPr>
                <w:rFonts w:ascii="宋体" w:hAnsi="宋体" w:eastAsia="宋体" w:cs="宋体"/>
                <w:spacing w:val="-1"/>
                <w:position w:val="1"/>
              </w:rPr>
              <w:t>（件、条）</w:t>
            </w:r>
          </w:p>
        </w:tc>
        <w:tc>
          <w:tcPr>
            <w:tcW w:w="1839" w:type="dxa"/>
            <w:vAlign w:val="top"/>
          </w:tcPr>
          <w:p>
            <w:pPr>
              <w:pStyle w:val="6"/>
              <w:spacing w:before="33" w:line="257" w:lineRule="exact"/>
              <w:ind w:left="442"/>
              <w:rPr>
                <w:rFonts w:ascii="宋体" w:hAnsi="宋体" w:eastAsia="宋体" w:cs="宋体"/>
              </w:rPr>
            </w:pPr>
            <w:r>
              <w:rPr>
                <w:spacing w:val="-4"/>
                <w:position w:val="1"/>
              </w:rPr>
              <w:t>1</w:t>
            </w:r>
            <w:r>
              <w:rPr>
                <w:rFonts w:ascii="宋体" w:hAnsi="宋体" w:eastAsia="宋体" w:cs="宋体"/>
                <w:spacing w:val="-4"/>
                <w:position w:val="1"/>
              </w:rPr>
              <w:t>（件、条）</w:t>
            </w:r>
          </w:p>
        </w:tc>
      </w:tr>
    </w:tbl>
    <w:p>
      <w:pPr>
        <w:spacing w:line="327" w:lineRule="auto"/>
        <w:rPr>
          <w:rFonts w:ascii="Arial"/>
          <w:sz w:val="21"/>
        </w:rPr>
      </w:pPr>
    </w:p>
    <w:p>
      <w:pPr>
        <w:spacing w:before="66" w:line="226" w:lineRule="auto"/>
        <w:ind w:left="123"/>
        <w:outlineLvl w:val="1"/>
        <w:rPr>
          <w:rFonts w:ascii="黑体" w:hAnsi="黑体" w:eastAsia="黑体" w:cs="黑体"/>
          <w:sz w:val="20"/>
          <w:szCs w:val="20"/>
        </w:rPr>
      </w:pPr>
      <w:r>
        <w:rPr>
          <w:rFonts w:ascii="Times New Roman" w:hAnsi="Times New Roman" w:eastAsia="Times New Roman" w:cs="Times New Roman"/>
          <w:b/>
          <w:bCs/>
          <w:spacing w:val="5"/>
          <w:sz w:val="20"/>
          <w:szCs w:val="20"/>
        </w:rPr>
        <w:t xml:space="preserve">2  </w:t>
      </w:r>
      <w:r>
        <w:rPr>
          <w:rFonts w:ascii="黑体" w:hAnsi="黑体" w:eastAsia="黑体" w:cs="黑体"/>
          <w:b/>
          <w:bCs/>
          <w:spacing w:val="5"/>
          <w:sz w:val="20"/>
          <w:szCs w:val="20"/>
        </w:rPr>
        <w:t>检验依据</w:t>
      </w:r>
    </w:p>
    <w:p>
      <w:pPr>
        <w:pStyle w:val="2"/>
        <w:spacing w:before="131" w:line="274" w:lineRule="exact"/>
        <w:ind w:left="547"/>
      </w:pPr>
      <w:r>
        <w:rPr>
          <w:spacing w:val="11"/>
          <w:position w:val="1"/>
        </w:rPr>
        <w:t>本细则中所抽产品的检验项目、检验方法见表</w:t>
      </w:r>
      <w:r>
        <w:rPr>
          <w:rFonts w:ascii="Times New Roman" w:hAnsi="Times New Roman" w:eastAsia="Times New Roman" w:cs="Times New Roman"/>
          <w:spacing w:val="11"/>
          <w:position w:val="1"/>
        </w:rPr>
        <w:t>2</w:t>
      </w:r>
      <w:r>
        <w:rPr>
          <w:spacing w:val="11"/>
          <w:position w:val="1"/>
        </w:rPr>
        <w:t>。</w:t>
      </w:r>
    </w:p>
    <w:p>
      <w:pPr>
        <w:pStyle w:val="2"/>
        <w:spacing w:before="135" w:line="241" w:lineRule="auto"/>
        <w:ind w:left="3206"/>
        <w:outlineLvl w:val="0"/>
        <w:rPr>
          <w:sz w:val="18"/>
          <w:szCs w:val="18"/>
        </w:rPr>
      </w:pPr>
      <w:r>
        <w:rPr>
          <w:spacing w:val="-1"/>
          <w:sz w:val="18"/>
          <w:szCs w:val="18"/>
        </w:rPr>
        <w:t>表</w:t>
      </w:r>
      <w:r>
        <w:rPr>
          <w:spacing w:val="-39"/>
          <w:sz w:val="18"/>
          <w:szCs w:val="18"/>
        </w:rPr>
        <w:t xml:space="preserve"> </w:t>
      </w:r>
      <w:r>
        <w:rPr>
          <w:rFonts w:ascii="Times New Roman" w:hAnsi="Times New Roman" w:eastAsia="Times New Roman" w:cs="Times New Roman"/>
          <w:spacing w:val="-1"/>
          <w:sz w:val="18"/>
          <w:szCs w:val="18"/>
        </w:rPr>
        <w:t xml:space="preserve">2  </w:t>
      </w:r>
      <w:r>
        <w:rPr>
          <w:spacing w:val="-1"/>
          <w:sz w:val="18"/>
          <w:szCs w:val="18"/>
        </w:rPr>
        <w:t>检验项目、检验方法</w:t>
      </w:r>
    </w:p>
    <w:tbl>
      <w:tblPr>
        <w:tblStyle w:val="5"/>
        <w:tblW w:w="8339" w:type="dxa"/>
        <w:tblInd w:w="10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92"/>
        <w:gridCol w:w="3191"/>
        <w:gridCol w:w="355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1592" w:type="dxa"/>
            <w:vAlign w:val="top"/>
          </w:tcPr>
          <w:p>
            <w:pPr>
              <w:spacing w:before="125" w:line="220" w:lineRule="auto"/>
              <w:ind w:left="621"/>
              <w:rPr>
                <w:rFonts w:ascii="宋体" w:hAnsi="宋体" w:eastAsia="宋体" w:cs="宋体"/>
                <w:sz w:val="18"/>
                <w:szCs w:val="18"/>
              </w:rPr>
            </w:pPr>
            <w:r>
              <w:rPr>
                <w:rFonts w:ascii="宋体" w:hAnsi="宋体" w:eastAsia="宋体" w:cs="宋体"/>
                <w:spacing w:val="-4"/>
                <w:sz w:val="18"/>
                <w:szCs w:val="18"/>
              </w:rPr>
              <w:t>序号</w:t>
            </w:r>
          </w:p>
        </w:tc>
        <w:tc>
          <w:tcPr>
            <w:tcW w:w="3191" w:type="dxa"/>
            <w:vAlign w:val="top"/>
          </w:tcPr>
          <w:p>
            <w:pPr>
              <w:spacing w:before="124" w:line="219" w:lineRule="auto"/>
              <w:ind w:left="1340"/>
              <w:rPr>
                <w:rFonts w:ascii="宋体" w:hAnsi="宋体" w:eastAsia="宋体" w:cs="宋体"/>
                <w:sz w:val="18"/>
                <w:szCs w:val="18"/>
              </w:rPr>
            </w:pPr>
            <w:r>
              <w:rPr>
                <w:rFonts w:ascii="宋体" w:hAnsi="宋体" w:eastAsia="宋体" w:cs="宋体"/>
                <w:spacing w:val="-2"/>
                <w:sz w:val="18"/>
                <w:szCs w:val="18"/>
              </w:rPr>
              <w:t>检验项目</w:t>
            </w:r>
          </w:p>
        </w:tc>
        <w:tc>
          <w:tcPr>
            <w:tcW w:w="3556" w:type="dxa"/>
            <w:vAlign w:val="top"/>
          </w:tcPr>
          <w:p>
            <w:pPr>
              <w:spacing w:before="124" w:line="219" w:lineRule="auto"/>
              <w:ind w:left="1319"/>
              <w:rPr>
                <w:rFonts w:ascii="宋体" w:hAnsi="宋体" w:eastAsia="宋体" w:cs="宋体"/>
                <w:sz w:val="18"/>
                <w:szCs w:val="18"/>
              </w:rPr>
            </w:pPr>
            <w:r>
              <w:rPr>
                <w:rFonts w:ascii="宋体" w:hAnsi="宋体" w:eastAsia="宋体" w:cs="宋体"/>
                <w:spacing w:val="-2"/>
                <w:sz w:val="18"/>
                <w:szCs w:val="18"/>
              </w:rPr>
              <w:t>检验方法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2" w:hRule="atLeast"/>
        </w:trPr>
        <w:tc>
          <w:tcPr>
            <w:tcW w:w="1592" w:type="dxa"/>
            <w:vAlign w:val="top"/>
          </w:tcPr>
          <w:p>
            <w:pPr>
              <w:spacing w:line="370" w:lineRule="auto"/>
              <w:rPr>
                <w:rFonts w:ascii="Arial"/>
                <w:sz w:val="21"/>
              </w:rPr>
            </w:pPr>
          </w:p>
          <w:p>
            <w:pPr>
              <w:pStyle w:val="6"/>
              <w:spacing w:before="52" w:line="236" w:lineRule="exact"/>
              <w:ind w:left="770"/>
            </w:pPr>
            <w:r>
              <w:rPr>
                <w:position w:val="1"/>
              </w:rPr>
              <w:t>1</w:t>
            </w:r>
          </w:p>
        </w:tc>
        <w:tc>
          <w:tcPr>
            <w:tcW w:w="3191" w:type="dxa"/>
            <w:vAlign w:val="top"/>
          </w:tcPr>
          <w:p>
            <w:pPr>
              <w:spacing w:line="390" w:lineRule="auto"/>
              <w:rPr>
                <w:rFonts w:ascii="Arial"/>
                <w:sz w:val="21"/>
              </w:rPr>
            </w:pPr>
          </w:p>
          <w:p>
            <w:pPr>
              <w:spacing w:before="59" w:line="219" w:lineRule="auto"/>
              <w:ind w:left="1161"/>
              <w:rPr>
                <w:rFonts w:ascii="宋体" w:hAnsi="宋体" w:eastAsia="宋体" w:cs="宋体"/>
                <w:sz w:val="18"/>
                <w:szCs w:val="18"/>
              </w:rPr>
            </w:pPr>
            <w:r>
              <w:rPr>
                <w:rFonts w:ascii="宋体" w:hAnsi="宋体" w:eastAsia="宋体" w:cs="宋体"/>
                <w:spacing w:val="-2"/>
                <w:sz w:val="18"/>
                <w:szCs w:val="18"/>
              </w:rPr>
              <w:t>面料纤维含量</w:t>
            </w:r>
          </w:p>
        </w:tc>
        <w:tc>
          <w:tcPr>
            <w:tcW w:w="3556" w:type="dxa"/>
            <w:vAlign w:val="top"/>
          </w:tcPr>
          <w:p>
            <w:pPr>
              <w:pStyle w:val="6"/>
              <w:spacing w:before="1" w:line="235" w:lineRule="auto"/>
              <w:ind w:left="733" w:right="742" w:firstLine="97"/>
              <w:rPr>
                <w:rFonts w:ascii="宋体" w:hAnsi="宋体" w:eastAsia="宋体" w:cs="宋体"/>
              </w:rPr>
            </w:pPr>
            <w:r>
              <w:rPr>
                <w:spacing w:val="-1"/>
              </w:rPr>
              <w:t>FZ/T 01057.2</w:t>
            </w:r>
            <w:r>
              <w:rPr>
                <w:rFonts w:ascii="宋体" w:hAnsi="宋体" w:eastAsia="宋体" w:cs="宋体"/>
                <w:spacing w:val="-1"/>
              </w:rPr>
              <w:t>～</w:t>
            </w:r>
            <w:r>
              <w:rPr>
                <w:spacing w:val="-1"/>
              </w:rPr>
              <w:t>4-2007</w:t>
            </w:r>
            <w:r>
              <w:rPr>
                <w:spacing w:val="4"/>
              </w:rPr>
              <w:t xml:space="preserve"> </w:t>
            </w:r>
            <w:r>
              <w:rPr>
                <w:spacing w:val="-2"/>
              </w:rPr>
              <w:t>GB/T 2910</w:t>
            </w:r>
            <w:r>
              <w:rPr>
                <w:rFonts w:ascii="宋体" w:hAnsi="宋体" w:eastAsia="宋体" w:cs="宋体"/>
                <w:spacing w:val="-2"/>
              </w:rPr>
              <w:t>（所有部分）</w:t>
            </w:r>
          </w:p>
          <w:p>
            <w:pPr>
              <w:pStyle w:val="6"/>
              <w:spacing w:line="213" w:lineRule="exact"/>
              <w:ind w:left="1034"/>
            </w:pPr>
            <w:r>
              <w:rPr>
                <w:spacing w:val="-1"/>
              </w:rPr>
              <w:t>FZ/T 01101-2008</w:t>
            </w:r>
          </w:p>
          <w:p>
            <w:pPr>
              <w:pStyle w:val="6"/>
              <w:spacing w:before="1" w:line="236" w:lineRule="auto"/>
              <w:ind w:left="1016" w:right="1012" w:firstLine="18"/>
              <w:rPr>
                <w:rFonts w:hint="eastAsia" w:eastAsia="SimSun"/>
                <w:lang w:eastAsia="zh-CN"/>
              </w:rPr>
            </w:pPr>
            <w:r>
              <w:rPr>
                <w:spacing w:val="-1"/>
              </w:rPr>
              <w:t>FZ/T 01026-2017</w:t>
            </w:r>
            <w:r>
              <w:rPr>
                <w:spacing w:val="8"/>
              </w:rPr>
              <w:t xml:space="preserve"> </w:t>
            </w:r>
            <w:r>
              <w:rPr>
                <w:spacing w:val="-1"/>
              </w:rPr>
              <w:t>GB/T 38015-2019</w:t>
            </w:r>
            <w:r>
              <w:rPr>
                <w:rFonts w:hint="eastAsia" w:eastAsia="SimSun"/>
                <w:spacing w:val="-1"/>
                <w:lang w:eastAsia="zh-CN"/>
              </w:rPr>
              <w:t>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1592" w:type="dxa"/>
            <w:vAlign w:val="top"/>
          </w:tcPr>
          <w:p>
            <w:pPr>
              <w:pStyle w:val="6"/>
              <w:spacing w:before="95" w:line="236" w:lineRule="exact"/>
              <w:ind w:left="752"/>
            </w:pPr>
            <w:r>
              <w:rPr>
                <w:position w:val="1"/>
              </w:rPr>
              <w:t>2</w:t>
            </w:r>
          </w:p>
        </w:tc>
        <w:tc>
          <w:tcPr>
            <w:tcW w:w="3191" w:type="dxa"/>
            <w:vAlign w:val="top"/>
          </w:tcPr>
          <w:p>
            <w:pPr>
              <w:spacing w:before="122" w:line="219" w:lineRule="auto"/>
              <w:ind w:left="1364"/>
              <w:rPr>
                <w:rFonts w:ascii="宋体" w:hAnsi="宋体" w:eastAsia="宋体" w:cs="宋体"/>
                <w:sz w:val="18"/>
                <w:szCs w:val="18"/>
              </w:rPr>
            </w:pPr>
            <w:r>
              <w:rPr>
                <w:rFonts w:ascii="宋体" w:hAnsi="宋体" w:eastAsia="宋体" w:cs="宋体"/>
                <w:spacing w:val="-8"/>
                <w:sz w:val="18"/>
                <w:szCs w:val="18"/>
              </w:rPr>
              <w:t>甲醛含量</w:t>
            </w:r>
          </w:p>
        </w:tc>
        <w:tc>
          <w:tcPr>
            <w:tcW w:w="3556" w:type="dxa"/>
            <w:vAlign w:val="top"/>
          </w:tcPr>
          <w:p>
            <w:pPr>
              <w:pStyle w:val="6"/>
              <w:spacing w:before="95" w:line="236" w:lineRule="exact"/>
              <w:ind w:left="994"/>
            </w:pPr>
            <w:r>
              <w:rPr>
                <w:spacing w:val="-1"/>
                <w:position w:val="1"/>
              </w:rPr>
              <w:t>GB/T 2912.1-2009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1592" w:type="dxa"/>
            <w:vAlign w:val="top"/>
          </w:tcPr>
          <w:p>
            <w:pPr>
              <w:pStyle w:val="6"/>
              <w:spacing w:before="96" w:line="236" w:lineRule="exact"/>
              <w:ind w:left="756"/>
            </w:pPr>
            <w:r>
              <w:rPr>
                <w:position w:val="1"/>
              </w:rPr>
              <w:t>3</w:t>
            </w:r>
          </w:p>
        </w:tc>
        <w:tc>
          <w:tcPr>
            <w:tcW w:w="3191" w:type="dxa"/>
            <w:vAlign w:val="top"/>
          </w:tcPr>
          <w:p>
            <w:pPr>
              <w:pStyle w:val="6"/>
              <w:spacing w:before="123" w:line="211" w:lineRule="auto"/>
              <w:ind w:left="1472"/>
              <w:rPr>
                <w:rFonts w:ascii="宋体" w:hAnsi="宋体" w:eastAsia="宋体" w:cs="宋体"/>
              </w:rPr>
            </w:pPr>
            <w:r>
              <w:rPr>
                <w:spacing w:val="-1"/>
              </w:rPr>
              <w:t>pH</w:t>
            </w:r>
            <w:r>
              <w:rPr>
                <w:spacing w:val="7"/>
              </w:rPr>
              <w:t xml:space="preserve"> </w:t>
            </w:r>
            <w:r>
              <w:rPr>
                <w:rFonts w:ascii="宋体" w:hAnsi="宋体" w:eastAsia="宋体" w:cs="宋体"/>
                <w:spacing w:val="-1"/>
              </w:rPr>
              <w:t>值</w:t>
            </w:r>
          </w:p>
        </w:tc>
        <w:tc>
          <w:tcPr>
            <w:tcW w:w="3556" w:type="dxa"/>
            <w:vAlign w:val="top"/>
          </w:tcPr>
          <w:p>
            <w:pPr>
              <w:pStyle w:val="6"/>
              <w:spacing w:before="96" w:line="236" w:lineRule="exact"/>
              <w:ind w:left="1061"/>
            </w:pPr>
            <w:r>
              <w:rPr>
                <w:spacing w:val="-1"/>
                <w:position w:val="1"/>
              </w:rPr>
              <w:t>GB/T 7573-2009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1592" w:type="dxa"/>
            <w:vAlign w:val="top"/>
          </w:tcPr>
          <w:p>
            <w:pPr>
              <w:pStyle w:val="6"/>
              <w:spacing w:before="98" w:line="237" w:lineRule="exact"/>
              <w:ind w:left="752"/>
            </w:pPr>
            <w:r>
              <w:rPr>
                <w:position w:val="1"/>
              </w:rPr>
              <w:t>4</w:t>
            </w:r>
          </w:p>
        </w:tc>
        <w:tc>
          <w:tcPr>
            <w:tcW w:w="3191" w:type="dxa"/>
            <w:vAlign w:val="top"/>
          </w:tcPr>
          <w:p>
            <w:pPr>
              <w:spacing w:before="125" w:line="219" w:lineRule="auto"/>
              <w:ind w:left="1254"/>
              <w:rPr>
                <w:rFonts w:ascii="宋体" w:hAnsi="宋体" w:eastAsia="宋体" w:cs="宋体"/>
                <w:sz w:val="18"/>
                <w:szCs w:val="18"/>
              </w:rPr>
            </w:pPr>
            <w:r>
              <w:rPr>
                <w:rFonts w:ascii="宋体" w:hAnsi="宋体" w:eastAsia="宋体" w:cs="宋体"/>
                <w:spacing w:val="-2"/>
                <w:sz w:val="18"/>
                <w:szCs w:val="18"/>
              </w:rPr>
              <w:t>耐水色牢度</w:t>
            </w:r>
          </w:p>
        </w:tc>
        <w:tc>
          <w:tcPr>
            <w:tcW w:w="3556" w:type="dxa"/>
            <w:vAlign w:val="top"/>
          </w:tcPr>
          <w:p>
            <w:pPr>
              <w:pStyle w:val="6"/>
              <w:spacing w:before="98" w:line="237" w:lineRule="exact"/>
              <w:ind w:left="1061"/>
            </w:pPr>
            <w:r>
              <w:rPr>
                <w:spacing w:val="-1"/>
                <w:position w:val="1"/>
              </w:rPr>
              <w:t>GB/T 5713-2013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1592" w:type="dxa"/>
            <w:vAlign w:val="top"/>
          </w:tcPr>
          <w:p>
            <w:pPr>
              <w:pStyle w:val="6"/>
              <w:spacing w:before="159" w:line="185" w:lineRule="auto"/>
              <w:ind w:left="757"/>
            </w:pPr>
            <w:r>
              <w:t>5</w:t>
            </w:r>
          </w:p>
        </w:tc>
        <w:tc>
          <w:tcPr>
            <w:tcW w:w="3191" w:type="dxa"/>
            <w:vAlign w:val="top"/>
          </w:tcPr>
          <w:p>
            <w:pPr>
              <w:spacing w:before="126" w:line="219" w:lineRule="auto"/>
              <w:ind w:left="1163"/>
              <w:rPr>
                <w:rFonts w:ascii="宋体" w:hAnsi="宋体" w:eastAsia="宋体" w:cs="宋体"/>
                <w:sz w:val="18"/>
                <w:szCs w:val="18"/>
              </w:rPr>
            </w:pPr>
            <w:r>
              <w:rPr>
                <w:rFonts w:ascii="宋体" w:hAnsi="宋体" w:eastAsia="宋体" w:cs="宋体"/>
                <w:spacing w:val="-2"/>
                <w:sz w:val="18"/>
                <w:szCs w:val="18"/>
              </w:rPr>
              <w:t>耐摩擦色牢度</w:t>
            </w:r>
          </w:p>
        </w:tc>
        <w:tc>
          <w:tcPr>
            <w:tcW w:w="3556" w:type="dxa"/>
            <w:vAlign w:val="top"/>
          </w:tcPr>
          <w:p>
            <w:pPr>
              <w:pStyle w:val="6"/>
              <w:spacing w:before="99" w:line="236" w:lineRule="exact"/>
              <w:ind w:left="1061"/>
            </w:pPr>
            <w:r>
              <w:rPr>
                <w:spacing w:val="-1"/>
                <w:position w:val="1"/>
              </w:rPr>
              <w:t>GB/T 3920-2008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1592" w:type="dxa"/>
            <w:vAlign w:val="top"/>
          </w:tcPr>
          <w:p>
            <w:pPr>
              <w:pStyle w:val="6"/>
              <w:spacing w:before="99" w:line="236" w:lineRule="exact"/>
              <w:ind w:left="756"/>
            </w:pPr>
            <w:r>
              <w:rPr>
                <w:position w:val="1"/>
              </w:rPr>
              <w:t>6</w:t>
            </w:r>
          </w:p>
        </w:tc>
        <w:tc>
          <w:tcPr>
            <w:tcW w:w="3191" w:type="dxa"/>
            <w:vAlign w:val="top"/>
          </w:tcPr>
          <w:p>
            <w:pPr>
              <w:spacing w:before="127" w:line="219" w:lineRule="auto"/>
              <w:ind w:left="802"/>
              <w:rPr>
                <w:rFonts w:ascii="宋体" w:hAnsi="宋体" w:eastAsia="宋体" w:cs="宋体"/>
                <w:sz w:val="18"/>
                <w:szCs w:val="18"/>
              </w:rPr>
            </w:pPr>
            <w:r>
              <w:rPr>
                <w:rFonts w:ascii="宋体" w:hAnsi="宋体" w:eastAsia="宋体" w:cs="宋体"/>
                <w:spacing w:val="-1"/>
                <w:sz w:val="18"/>
                <w:szCs w:val="18"/>
              </w:rPr>
              <w:t>可分解致癌芳香胺染料</w:t>
            </w:r>
          </w:p>
        </w:tc>
        <w:tc>
          <w:tcPr>
            <w:tcW w:w="3556" w:type="dxa"/>
            <w:vAlign w:val="top"/>
          </w:tcPr>
          <w:p>
            <w:pPr>
              <w:pStyle w:val="6"/>
              <w:spacing w:line="217" w:lineRule="exact"/>
              <w:ind w:left="1016"/>
            </w:pPr>
            <w:r>
              <w:rPr>
                <w:spacing w:val="-3"/>
              </w:rPr>
              <w:t>GB/T</w:t>
            </w:r>
            <w:r>
              <w:rPr>
                <w:spacing w:val="34"/>
                <w:w w:val="101"/>
              </w:rPr>
              <w:t xml:space="preserve"> </w:t>
            </w:r>
            <w:r>
              <w:rPr>
                <w:spacing w:val="-3"/>
              </w:rPr>
              <w:t>17592-2024</w:t>
            </w:r>
          </w:p>
          <w:p>
            <w:pPr>
              <w:pStyle w:val="6"/>
              <w:spacing w:line="234" w:lineRule="auto"/>
              <w:ind w:left="1016"/>
            </w:pPr>
            <w:r>
              <w:rPr>
                <w:spacing w:val="-1"/>
              </w:rPr>
              <w:t>GB/T 23344-2009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1592" w:type="dxa"/>
            <w:vAlign w:val="top"/>
          </w:tcPr>
          <w:p>
            <w:pPr>
              <w:pStyle w:val="6"/>
              <w:spacing w:before="159" w:line="185" w:lineRule="auto"/>
              <w:ind w:left="755"/>
            </w:pPr>
            <w:r>
              <w:t>7</w:t>
            </w:r>
          </w:p>
        </w:tc>
        <w:tc>
          <w:tcPr>
            <w:tcW w:w="3191" w:type="dxa"/>
            <w:vAlign w:val="top"/>
          </w:tcPr>
          <w:p>
            <w:pPr>
              <w:spacing w:before="126" w:line="218" w:lineRule="auto"/>
              <w:ind w:left="534"/>
              <w:rPr>
                <w:rFonts w:ascii="宋体" w:hAnsi="宋体" w:eastAsia="宋体" w:cs="宋体"/>
                <w:sz w:val="18"/>
                <w:szCs w:val="18"/>
              </w:rPr>
            </w:pPr>
            <w:r>
              <w:rPr>
                <w:rFonts w:ascii="宋体" w:hAnsi="宋体" w:eastAsia="宋体" w:cs="宋体"/>
                <w:spacing w:val="-1"/>
                <w:sz w:val="18"/>
                <w:szCs w:val="18"/>
              </w:rPr>
              <w:t>耐汗渍色牢度（耐酸、耐碱）</w:t>
            </w:r>
          </w:p>
        </w:tc>
        <w:tc>
          <w:tcPr>
            <w:tcW w:w="3556" w:type="dxa"/>
            <w:vAlign w:val="top"/>
          </w:tcPr>
          <w:p>
            <w:pPr>
              <w:pStyle w:val="6"/>
              <w:spacing w:before="99" w:line="236" w:lineRule="exact"/>
              <w:ind w:left="1061"/>
            </w:pPr>
            <w:r>
              <w:rPr>
                <w:spacing w:val="-1"/>
                <w:position w:val="1"/>
              </w:rPr>
              <w:t>GB/T 3922-2013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1592" w:type="dxa"/>
            <w:vAlign w:val="top"/>
          </w:tcPr>
          <w:p>
            <w:pPr>
              <w:pStyle w:val="6"/>
              <w:spacing w:before="100" w:line="237" w:lineRule="exact"/>
              <w:ind w:left="760"/>
            </w:pPr>
            <w:r>
              <w:rPr>
                <w:position w:val="1"/>
              </w:rPr>
              <w:t>8</w:t>
            </w:r>
          </w:p>
        </w:tc>
        <w:tc>
          <w:tcPr>
            <w:tcW w:w="3191" w:type="dxa"/>
            <w:vAlign w:val="top"/>
          </w:tcPr>
          <w:p>
            <w:pPr>
              <w:spacing w:before="128" w:line="219" w:lineRule="auto"/>
              <w:ind w:left="1163"/>
              <w:rPr>
                <w:rFonts w:ascii="宋体" w:hAnsi="宋体" w:eastAsia="宋体" w:cs="宋体"/>
                <w:sz w:val="18"/>
                <w:szCs w:val="18"/>
              </w:rPr>
            </w:pPr>
            <w:r>
              <w:rPr>
                <w:rFonts w:ascii="宋体" w:hAnsi="宋体" w:eastAsia="宋体" w:cs="宋体"/>
                <w:spacing w:val="-2"/>
                <w:sz w:val="18"/>
                <w:szCs w:val="18"/>
              </w:rPr>
              <w:t>耐皂洗色牢度</w:t>
            </w:r>
          </w:p>
        </w:tc>
        <w:tc>
          <w:tcPr>
            <w:tcW w:w="3556" w:type="dxa"/>
            <w:vAlign w:val="top"/>
          </w:tcPr>
          <w:p>
            <w:pPr>
              <w:pStyle w:val="6"/>
              <w:spacing w:before="100" w:line="237" w:lineRule="exact"/>
              <w:ind w:left="1061"/>
            </w:pPr>
            <w:r>
              <w:rPr>
                <w:spacing w:val="-1"/>
                <w:position w:val="1"/>
              </w:rPr>
              <w:t>GB/T 3921-2008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1592" w:type="dxa"/>
            <w:vAlign w:val="top"/>
          </w:tcPr>
          <w:p>
            <w:pPr>
              <w:pStyle w:val="6"/>
              <w:spacing w:before="100" w:line="236" w:lineRule="exact"/>
              <w:ind w:left="756"/>
            </w:pPr>
            <w:r>
              <w:rPr>
                <w:position w:val="1"/>
              </w:rPr>
              <w:t>9</w:t>
            </w:r>
          </w:p>
        </w:tc>
        <w:tc>
          <w:tcPr>
            <w:tcW w:w="3191" w:type="dxa"/>
            <w:vAlign w:val="top"/>
          </w:tcPr>
          <w:p>
            <w:pPr>
              <w:spacing w:before="127" w:line="219" w:lineRule="auto"/>
              <w:ind w:left="1522"/>
              <w:rPr>
                <w:rFonts w:ascii="宋体" w:hAnsi="宋体" w:eastAsia="宋体" w:cs="宋体"/>
                <w:sz w:val="18"/>
                <w:szCs w:val="18"/>
              </w:rPr>
            </w:pPr>
            <w:r>
              <w:rPr>
                <w:rFonts w:ascii="宋体" w:hAnsi="宋体" w:eastAsia="宋体" w:cs="宋体"/>
                <w:spacing w:val="-5"/>
                <w:sz w:val="18"/>
                <w:szCs w:val="18"/>
              </w:rPr>
              <w:t>异味</w:t>
            </w:r>
          </w:p>
        </w:tc>
        <w:tc>
          <w:tcPr>
            <w:tcW w:w="3556" w:type="dxa"/>
            <w:vAlign w:val="top"/>
          </w:tcPr>
          <w:p>
            <w:pPr>
              <w:pStyle w:val="6"/>
              <w:spacing w:before="100" w:line="236" w:lineRule="exact"/>
              <w:ind w:left="1097"/>
            </w:pPr>
            <w:r>
              <w:rPr>
                <w:spacing w:val="-3"/>
                <w:position w:val="1"/>
              </w:rPr>
              <w:t>GB</w:t>
            </w:r>
            <w:r>
              <w:rPr>
                <w:spacing w:val="27"/>
                <w:w w:val="101"/>
                <w:position w:val="1"/>
              </w:rPr>
              <w:t xml:space="preserve"> </w:t>
            </w:r>
            <w:r>
              <w:rPr>
                <w:spacing w:val="-3"/>
                <w:position w:val="1"/>
              </w:rPr>
              <w:t>18401-2010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1592" w:type="dxa"/>
            <w:vAlign w:val="top"/>
          </w:tcPr>
          <w:p>
            <w:pPr>
              <w:pStyle w:val="6"/>
              <w:spacing w:before="99" w:line="236" w:lineRule="exact"/>
              <w:ind w:left="724"/>
            </w:pPr>
            <w:r>
              <w:rPr>
                <w:spacing w:val="-11"/>
                <w:position w:val="1"/>
              </w:rPr>
              <w:t>10</w:t>
            </w:r>
          </w:p>
        </w:tc>
        <w:tc>
          <w:tcPr>
            <w:tcW w:w="3191" w:type="dxa"/>
            <w:vAlign w:val="top"/>
          </w:tcPr>
          <w:p>
            <w:pPr>
              <w:spacing w:before="127" w:line="219" w:lineRule="auto"/>
              <w:ind w:left="1518"/>
              <w:rPr>
                <w:rFonts w:ascii="宋体" w:hAnsi="宋体" w:eastAsia="宋体" w:cs="宋体"/>
                <w:sz w:val="18"/>
                <w:szCs w:val="18"/>
              </w:rPr>
            </w:pPr>
            <w:r>
              <w:rPr>
                <w:rFonts w:ascii="宋体" w:hAnsi="宋体" w:eastAsia="宋体" w:cs="宋体"/>
                <w:spacing w:val="-3"/>
                <w:sz w:val="18"/>
                <w:szCs w:val="18"/>
              </w:rPr>
              <w:t>起球</w:t>
            </w:r>
          </w:p>
        </w:tc>
        <w:tc>
          <w:tcPr>
            <w:tcW w:w="3556" w:type="dxa"/>
            <w:vAlign w:val="top"/>
          </w:tcPr>
          <w:p>
            <w:pPr>
              <w:pStyle w:val="6"/>
              <w:spacing w:before="99" w:line="236" w:lineRule="exact"/>
              <w:ind w:left="994"/>
            </w:pPr>
            <w:r>
              <w:rPr>
                <w:spacing w:val="-1"/>
                <w:position w:val="1"/>
              </w:rPr>
              <w:t>GB/T 4802.1-2008</w:t>
            </w:r>
          </w:p>
        </w:tc>
      </w:tr>
    </w:tbl>
    <w:p>
      <w:pPr>
        <w:spacing w:line="313" w:lineRule="auto"/>
        <w:rPr>
          <w:rFonts w:ascii="Arial"/>
          <w:sz w:val="21"/>
        </w:rPr>
      </w:pPr>
    </w:p>
    <w:p>
      <w:pPr>
        <w:pStyle w:val="2"/>
        <w:spacing w:before="65" w:line="227" w:lineRule="auto"/>
        <w:ind w:left="546"/>
      </w:pPr>
      <w:r>
        <w:rPr>
          <w:spacing w:val="9"/>
        </w:rPr>
        <w:t>执行企业标准、团体标准、地方标准的产品，检验项目参照上述内容执行。</w:t>
      </w:r>
    </w:p>
    <w:p>
      <w:pPr>
        <w:pStyle w:val="2"/>
        <w:spacing w:before="193" w:line="226" w:lineRule="auto"/>
        <w:ind w:left="549"/>
      </w:pPr>
      <w:r>
        <w:rPr>
          <w:spacing w:val="10"/>
        </w:rPr>
        <w:t>凡是注日期的文件，其随后所有的修改单（不包括勘</w:t>
      </w:r>
      <w:r>
        <w:rPr>
          <w:spacing w:val="9"/>
        </w:rPr>
        <w:t>误的内容）或修订版不适用于本</w:t>
      </w:r>
    </w:p>
    <w:p>
      <w:pPr>
        <w:spacing w:line="226" w:lineRule="auto"/>
        <w:sectPr>
          <w:footerReference r:id="rId5" w:type="default"/>
          <w:pgSz w:w="11906" w:h="16839"/>
          <w:pgMar w:top="1431" w:right="1680" w:bottom="1420" w:left="1679" w:header="0" w:footer="1184" w:gutter="0"/>
          <w:cols w:space="720" w:num="1"/>
        </w:sectPr>
      </w:pPr>
    </w:p>
    <w:p>
      <w:pPr>
        <w:pStyle w:val="2"/>
        <w:spacing w:before="181" w:line="226" w:lineRule="auto"/>
        <w:ind w:left="22"/>
      </w:pPr>
      <w:r>
        <w:rPr>
          <w:spacing w:val="9"/>
        </w:rPr>
        <w:t>细则。凡是不注日期的文件，其最新版本适用于本细则。</w:t>
      </w:r>
    </w:p>
    <w:p>
      <w:pPr>
        <w:spacing w:line="330" w:lineRule="auto"/>
        <w:rPr>
          <w:rFonts w:ascii="Arial"/>
          <w:sz w:val="21"/>
        </w:rPr>
      </w:pPr>
    </w:p>
    <w:p>
      <w:pPr>
        <w:spacing w:line="330" w:lineRule="auto"/>
        <w:rPr>
          <w:rFonts w:ascii="Arial"/>
          <w:sz w:val="21"/>
        </w:rPr>
      </w:pPr>
    </w:p>
    <w:p>
      <w:pPr>
        <w:spacing w:before="65" w:line="226" w:lineRule="auto"/>
        <w:ind w:left="15"/>
        <w:outlineLvl w:val="1"/>
        <w:rPr>
          <w:rFonts w:ascii="黑体" w:hAnsi="黑体" w:eastAsia="黑体" w:cs="黑体"/>
          <w:sz w:val="20"/>
          <w:szCs w:val="20"/>
        </w:rPr>
      </w:pPr>
      <w:r>
        <w:rPr>
          <w:rFonts w:ascii="Times New Roman" w:hAnsi="Times New Roman" w:eastAsia="Times New Roman" w:cs="Times New Roman"/>
          <w:b/>
          <w:bCs/>
          <w:spacing w:val="4"/>
          <w:sz w:val="20"/>
          <w:szCs w:val="20"/>
        </w:rPr>
        <w:t>3</w:t>
      </w:r>
      <w:r>
        <w:rPr>
          <w:rFonts w:ascii="Times New Roman" w:hAnsi="Times New Roman" w:eastAsia="Times New Roman" w:cs="Times New Roman"/>
          <w:b/>
          <w:bCs/>
          <w:spacing w:val="9"/>
          <w:sz w:val="20"/>
          <w:szCs w:val="20"/>
        </w:rPr>
        <w:t xml:space="preserve">  </w:t>
      </w:r>
      <w:r>
        <w:rPr>
          <w:rFonts w:ascii="黑体" w:hAnsi="黑体" w:eastAsia="黑体" w:cs="黑体"/>
          <w:b/>
          <w:bCs/>
          <w:spacing w:val="4"/>
          <w:sz w:val="20"/>
          <w:szCs w:val="20"/>
        </w:rPr>
        <w:t>判定规则</w:t>
      </w:r>
    </w:p>
    <w:p>
      <w:pPr>
        <w:pStyle w:val="2"/>
        <w:spacing w:before="163" w:line="226" w:lineRule="auto"/>
        <w:ind w:left="15"/>
        <w:outlineLvl w:val="2"/>
      </w:pPr>
      <w:r>
        <w:rPr>
          <w:rFonts w:ascii="Times New Roman" w:hAnsi="Times New Roman" w:eastAsia="Times New Roman" w:cs="Times New Roman"/>
          <w:b/>
          <w:bCs/>
          <w:spacing w:val="4"/>
        </w:rPr>
        <w:t>3.1</w:t>
      </w:r>
      <w:r>
        <w:rPr>
          <w:rFonts w:ascii="Times New Roman" w:hAnsi="Times New Roman" w:eastAsia="Times New Roman" w:cs="Times New Roman"/>
          <w:b/>
          <w:bCs/>
          <w:spacing w:val="9"/>
        </w:rPr>
        <w:t xml:space="preserve">  </w:t>
      </w:r>
      <w:r>
        <w:rPr>
          <w:b/>
          <w:bCs/>
          <w:spacing w:val="4"/>
        </w:rPr>
        <w:t>依据标准</w:t>
      </w:r>
    </w:p>
    <w:p>
      <w:pPr>
        <w:pStyle w:val="2"/>
        <w:spacing w:before="131" w:line="274" w:lineRule="exact"/>
        <w:ind w:left="435"/>
      </w:pPr>
      <w:r>
        <w:rPr>
          <w:rFonts w:ascii="Times New Roman" w:hAnsi="Times New Roman" w:eastAsia="Times New Roman" w:cs="Times New Roman"/>
          <w:position w:val="1"/>
        </w:rPr>
        <w:t>FZ</w:t>
      </w:r>
      <w:r>
        <w:rPr>
          <w:rFonts w:ascii="Times New Roman" w:hAnsi="Times New Roman" w:eastAsia="Times New Roman" w:cs="Times New Roman"/>
          <w:spacing w:val="6"/>
          <w:position w:val="1"/>
        </w:rPr>
        <w:t>/T 73017-2023</w:t>
      </w:r>
      <w:r>
        <w:rPr>
          <w:spacing w:val="6"/>
          <w:position w:val="1"/>
        </w:rPr>
        <w:t>《针织家居服》</w:t>
      </w:r>
    </w:p>
    <w:p>
      <w:pPr>
        <w:pStyle w:val="2"/>
        <w:spacing w:before="133" w:line="275" w:lineRule="exact"/>
        <w:ind w:left="439"/>
      </w:pPr>
      <w:r>
        <w:rPr>
          <w:rFonts w:ascii="Times New Roman" w:hAnsi="Times New Roman" w:eastAsia="Times New Roman" w:cs="Times New Roman"/>
          <w:position w:val="1"/>
        </w:rPr>
        <w:t>GB</w:t>
      </w:r>
      <w:r>
        <w:rPr>
          <w:rFonts w:ascii="Times New Roman" w:hAnsi="Times New Roman" w:eastAsia="Times New Roman" w:cs="Times New Roman"/>
          <w:spacing w:val="7"/>
          <w:position w:val="1"/>
        </w:rPr>
        <w:t>/T29862-2013</w:t>
      </w:r>
      <w:r>
        <w:rPr>
          <w:spacing w:val="7"/>
          <w:position w:val="1"/>
        </w:rPr>
        <w:t>《纺织品 纤维含量的标识》</w:t>
      </w:r>
    </w:p>
    <w:p>
      <w:pPr>
        <w:pStyle w:val="2"/>
        <w:spacing w:before="165" w:line="227" w:lineRule="auto"/>
        <w:ind w:left="439"/>
      </w:pPr>
      <w:r>
        <w:rPr>
          <w:spacing w:val="9"/>
        </w:rPr>
        <w:t>现行有效的企业标准、团体标准、地方标准及产品明示质量要求。</w:t>
      </w:r>
    </w:p>
    <w:p>
      <w:pPr>
        <w:pStyle w:val="2"/>
        <w:spacing w:before="161" w:line="228" w:lineRule="auto"/>
        <w:ind w:left="15"/>
        <w:outlineLvl w:val="2"/>
      </w:pPr>
      <w:r>
        <w:rPr>
          <w:rFonts w:ascii="Times New Roman" w:hAnsi="Times New Roman" w:eastAsia="Times New Roman" w:cs="Times New Roman"/>
          <w:b/>
          <w:bCs/>
          <w:spacing w:val="4"/>
        </w:rPr>
        <w:t>3.2</w:t>
      </w:r>
      <w:r>
        <w:rPr>
          <w:rFonts w:ascii="Times New Roman" w:hAnsi="Times New Roman" w:eastAsia="Times New Roman" w:cs="Times New Roman"/>
          <w:b/>
          <w:bCs/>
          <w:spacing w:val="16"/>
        </w:rPr>
        <w:t xml:space="preserve"> </w:t>
      </w:r>
      <w:r>
        <w:rPr>
          <w:b/>
          <w:bCs/>
          <w:spacing w:val="4"/>
        </w:rPr>
        <w:t>判定原则</w:t>
      </w:r>
    </w:p>
    <w:p>
      <w:pPr>
        <w:pStyle w:val="2"/>
        <w:spacing w:before="161" w:line="378" w:lineRule="auto"/>
        <w:ind w:left="28" w:right="138" w:firstLine="418"/>
        <w:rPr>
          <w:rFonts w:hint="eastAsia"/>
          <w:spacing w:val="10"/>
        </w:rPr>
      </w:pPr>
      <w:r>
        <w:rPr>
          <w:rFonts w:hint="eastAsia"/>
          <w:spacing w:val="10"/>
        </w:rPr>
        <w:t>经检验，检验项目全部合格，判定为被抽查产品未发现不合格；检验项目中任一项或一项以上不合格，判定为被抽查产品不合格。</w:t>
      </w:r>
    </w:p>
    <w:p>
      <w:pPr>
        <w:pStyle w:val="2"/>
        <w:spacing w:before="161" w:line="378" w:lineRule="auto"/>
        <w:ind w:left="28" w:right="138" w:firstLine="418"/>
        <w:rPr>
          <w:rFonts w:hint="eastAsia"/>
          <w:spacing w:val="10"/>
        </w:rPr>
      </w:pPr>
      <w:r>
        <w:rPr>
          <w:rFonts w:hint="eastAsia"/>
          <w:spacing w:val="10"/>
        </w:rPr>
        <w:t>若被检产品明示的质量要求高于本细则中检验项目依据的标准要求时，应按被检产品明示的质量要求判定。</w:t>
      </w:r>
    </w:p>
    <w:p>
      <w:pPr>
        <w:pStyle w:val="2"/>
        <w:spacing w:before="161" w:line="378" w:lineRule="auto"/>
        <w:ind w:left="28" w:right="138" w:firstLine="418"/>
        <w:rPr>
          <w:rFonts w:hint="eastAsia"/>
          <w:spacing w:val="10"/>
        </w:rPr>
      </w:pPr>
      <w:r>
        <w:rPr>
          <w:rFonts w:hint="eastAsia"/>
          <w:spacing w:val="10"/>
        </w:rPr>
        <w:t>若被检产品明示的质量要求低于本细则中检验项目依据的强制性标准要求时，应按照强制性标准要求判定。</w:t>
      </w:r>
    </w:p>
    <w:p>
      <w:pPr>
        <w:pStyle w:val="2"/>
        <w:spacing w:before="161" w:line="378" w:lineRule="auto"/>
        <w:ind w:left="28" w:right="138" w:firstLine="418"/>
        <w:rPr>
          <w:rFonts w:hint="eastAsia"/>
          <w:spacing w:val="10"/>
        </w:rPr>
      </w:pPr>
      <w:r>
        <w:rPr>
          <w:rFonts w:hint="eastAsia"/>
          <w:spacing w:val="10"/>
        </w:rPr>
        <w:t>若被检产品明示的质量要求低于或包含细则中检验项目依据的推荐性标准要求时，应以被检产品明示的质量要求判定，但应在检验报告备注中进行说明。</w:t>
      </w:r>
    </w:p>
    <w:p>
      <w:pPr>
        <w:pStyle w:val="2"/>
        <w:spacing w:before="161" w:line="378" w:lineRule="auto"/>
        <w:ind w:left="28" w:right="138" w:firstLine="418"/>
        <w:rPr>
          <w:rFonts w:hint="eastAsia"/>
          <w:spacing w:val="10"/>
        </w:rPr>
      </w:pPr>
      <w:r>
        <w:rPr>
          <w:rFonts w:hint="eastAsia"/>
          <w:spacing w:val="10"/>
        </w:rPr>
        <w:t>若被检产品明示的质量要求缺少本细则中检验项目依据的强制性标准要求时，应按照强制性标准要求判定。</w:t>
      </w:r>
    </w:p>
    <w:p>
      <w:pPr>
        <w:pStyle w:val="2"/>
        <w:spacing w:before="161" w:line="378" w:lineRule="auto"/>
        <w:ind w:left="28" w:right="138" w:firstLine="418"/>
        <w:rPr>
          <w:rFonts w:hint="eastAsia"/>
          <w:spacing w:val="10"/>
        </w:rPr>
      </w:pPr>
      <w:r>
        <w:rPr>
          <w:rFonts w:hint="eastAsia"/>
          <w:spacing w:val="10"/>
        </w:rPr>
        <w:t>若被检产品明示的质量要求缺少本细则中检验项目依据的推荐性标准要求时，该项目不参与判定，但应在检验报告备注中进行说明。</w:t>
      </w:r>
    </w:p>
    <w:p>
      <w:pPr>
        <w:pStyle w:val="2"/>
        <w:spacing w:before="161" w:line="378" w:lineRule="auto"/>
        <w:ind w:left="28" w:right="138" w:firstLine="418"/>
        <w:rPr>
          <w:rFonts w:hint="eastAsia"/>
          <w:spacing w:val="10"/>
        </w:rPr>
      </w:pPr>
      <w:r>
        <w:rPr>
          <w:rFonts w:hint="eastAsia"/>
          <w:spacing w:val="10"/>
        </w:rPr>
        <w:t>检验项目严格按照标准中规定检验方法，若标准中具有不同的检验方法，优先采用仲裁法。</w:t>
      </w:r>
    </w:p>
    <w:p>
      <w:pPr>
        <w:pStyle w:val="2"/>
        <w:spacing w:before="1" w:line="377" w:lineRule="auto"/>
        <w:ind w:left="23" w:right="133" w:firstLine="415"/>
      </w:pPr>
      <w:r>
        <w:rPr>
          <w:rFonts w:hint="eastAsia"/>
          <w:spacing w:val="10"/>
        </w:rPr>
        <w:t>无法识别产品标准版本的，按新版标准实施，企业提供有效证据的除外。</w:t>
      </w:r>
      <w:bookmarkStart w:id="0" w:name="_GoBack"/>
      <w:bookmarkEnd w:id="0"/>
    </w:p>
    <w:sectPr>
      <w:footerReference r:id="rId6" w:type="default"/>
      <w:pgSz w:w="11906" w:h="16839"/>
      <w:pgMar w:top="1431" w:right="1785" w:bottom="1420" w:left="1785" w:header="0" w:footer="1184"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10002FF" w:usb1="4000ACFF" w:usb2="00000009" w:usb3="00000000" w:csb0="2000019F" w:csb1="00000000"/>
  </w:font>
  <w:font w:name="SimSun">
    <w:panose1 w:val="02010600030101010101"/>
    <w:charset w:val="86"/>
    <w:family w:val="auto"/>
    <w:pitch w:val="default"/>
    <w:sig w:usb0="00000003" w:usb1="080E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250"/>
      <w:rPr>
        <w:rFonts w:ascii="Times New Roman" w:hAnsi="Times New Roman" w:eastAsia="Times New Roman" w:cs="Times New Roman"/>
        <w:sz w:val="18"/>
        <w:szCs w:val="18"/>
      </w:rPr>
    </w:pPr>
    <w:r>
      <w:rPr>
        <w:rFonts w:ascii="Times New Roman" w:hAnsi="Times New Roman" w:eastAsia="Times New Roman" w:cs="Times New Roman"/>
        <w:position w:val="1"/>
        <w:sz w:val="18"/>
        <w:szCs w:val="18"/>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126"/>
      <w:rPr>
        <w:rFonts w:ascii="Times New Roman" w:hAnsi="Times New Roman" w:eastAsia="Times New Roman" w:cs="Times New Roman"/>
        <w:sz w:val="18"/>
        <w:szCs w:val="18"/>
      </w:rPr>
    </w:pPr>
    <w:r>
      <w:rPr>
        <w:rFonts w:ascii="Times New Roman" w:hAnsi="Times New Roman" w:eastAsia="Times New Roman" w:cs="Times New Roman"/>
        <w:position w:val="1"/>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true"/>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31915D06"/>
    <w:rsid w:val="57FF550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Times New Roman" w:hAnsi="Times New Roman" w:eastAsia="Times New Roman" w:cs="Times New Roman"/>
      <w:sz w:val="18"/>
      <w:szCs w:val="1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Pages>
  <Words>843</Words>
  <Characters>1052</Characters>
  <TotalTime>0</TotalTime>
  <ScaleCrop>false</ScaleCrop>
  <LinksUpToDate>false</LinksUpToDate>
  <CharactersWithSpaces>1093</CharactersWithSpaces>
  <Application>WPS Office_11.8.2.9849_F1E327BC-269C-435d-A152-05C5408002CA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2025-06-18T01:48:00Z</dcterms:created>
  <dc:creator>微软用户</dc:creator>
  <cp:lastModifiedBy>uos</cp:lastModifiedBy>
  <dcterms:modified xsi:type="dcterms:W3CDTF">2026-07-07T12:28:07Z</dcterms:modified>
  <dc:title>2015年纸巾纸产品质量监督检查抽查实施细则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2026-06-13T09:23:04Z</vt:filetime>
  </property>
  <property fmtid="{D5CDD505-2E9C-101B-9397-08002B2CF9AE}" pid="4" name="KSOTemplateDocerSaveRecord">
    <vt:lpwstr>eyJoZGlkIjoiZmIzNmNkNmExZTk4NjFmNmZhOTBlZjllZGEwNjM3YzQiLCJ1c2VySWQiOiI4Njk3ODcwMTAifQ==</vt:lpwstr>
  </property>
  <property fmtid="{D5CDD505-2E9C-101B-9397-08002B2CF9AE}" pid="5" name="KSOProductBuildVer">
    <vt:lpwstr>2052-11.8.2.9849</vt:lpwstr>
  </property>
  <property fmtid="{D5CDD505-2E9C-101B-9397-08002B2CF9AE}" pid="6" name="ICV">
    <vt:lpwstr>60373FB2AE20425E85FA6D188797F687_13</vt:lpwstr>
  </property>
</Properties>
</file>