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方正小标宋简体" w:cs="Times New Roman"/>
          <w:b/>
          <w:sz w:val="32"/>
          <w:szCs w:val="32"/>
        </w:rPr>
      </w:pPr>
    </w:p>
    <w:p>
      <w:pPr>
        <w:tabs>
          <w:tab w:val="left" w:pos="6930"/>
        </w:tabs>
        <w:adjustRightInd w:val="0"/>
        <w:spacing w:line="480" w:lineRule="exact"/>
        <w:jc w:val="center"/>
        <w:rPr>
          <w:rFonts w:hint="default" w:ascii="Times New Roman" w:hAnsi="Times New Roman" w:eastAsia="黑体" w:cs="Times New Roman"/>
          <w:b/>
          <w:color w:val="000000"/>
          <w:sz w:val="32"/>
          <w:szCs w:val="32"/>
        </w:rPr>
      </w:pPr>
      <w:r>
        <w:rPr>
          <w:rFonts w:hint="default" w:ascii="Times New Roman" w:hAnsi="Times New Roman" w:eastAsia="方正小标宋简体" w:cs="Times New Roman"/>
          <w:b/>
          <w:sz w:val="32"/>
          <w:szCs w:val="32"/>
        </w:rPr>
        <w:t xml:space="preserve"> </w:t>
      </w:r>
      <w:r>
        <w:rPr>
          <w:rFonts w:hint="default" w:ascii="Times New Roman" w:hAnsi="Times New Roman" w:eastAsia="黑体" w:cs="Times New Roman"/>
          <w:b/>
          <w:sz w:val="32"/>
          <w:szCs w:val="32"/>
        </w:rPr>
        <w:t xml:space="preserve"> </w:t>
      </w:r>
      <w:r>
        <w:rPr>
          <w:rFonts w:hint="default" w:ascii="Times New Roman" w:hAnsi="Times New Roman" w:eastAsia="黑体" w:cs="Times New Roman"/>
          <w:b/>
          <w:color w:val="000000"/>
          <w:sz w:val="32"/>
          <w:szCs w:val="32"/>
        </w:rPr>
        <w:t>202</w:t>
      </w:r>
      <w:r>
        <w:rPr>
          <w:rFonts w:hint="default" w:ascii="Times New Roman" w:hAnsi="Times New Roman" w:eastAsia="黑体" w:cs="Times New Roman"/>
          <w:b/>
          <w:color w:val="000000"/>
          <w:sz w:val="32"/>
          <w:szCs w:val="32"/>
          <w:lang w:val="en-US" w:eastAsia="zh-CN"/>
        </w:rPr>
        <w:t>6</w:t>
      </w:r>
      <w:r>
        <w:rPr>
          <w:rFonts w:hint="default" w:ascii="Times New Roman" w:hAnsi="Times New Roman" w:eastAsia="黑体" w:cs="Times New Roman"/>
          <w:b/>
          <w:color w:val="000000"/>
          <w:sz w:val="32"/>
          <w:szCs w:val="32"/>
        </w:rPr>
        <w:t>年新疆维吾尔自治区床上用品（无填充物）</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2"/>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w:t>
      </w:r>
      <w:bookmarkStart w:id="0" w:name="_GoBack"/>
      <w:bookmarkEnd w:id="0"/>
      <w:r>
        <w:rPr>
          <w:rFonts w:hint="default" w:ascii="Times New Roman" w:hAnsi="Times New Roman" w:cs="Times New Roman"/>
          <w:szCs w:val="21"/>
        </w:rPr>
        <w:t>领域。</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抽查产品：床上用品（无填充物）。</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w:t>
      </w:r>
      <w:r>
        <w:rPr>
          <w:rFonts w:hint="default" w:ascii="Times New Roman" w:hAnsi="Times New Roman" w:cs="Times New Roman"/>
          <w:kern w:val="0"/>
          <w:sz w:val="18"/>
          <w:szCs w:val="18"/>
        </w:rPr>
        <w:t>（</w:t>
      </w:r>
      <w:r>
        <w:rPr>
          <w:rFonts w:hint="default" w:ascii="Times New Roman" w:hAnsi="Times New Roman" w:cs="Times New Roman"/>
          <w:szCs w:val="21"/>
        </w:rPr>
        <w:t>条/套/个</w:t>
      </w:r>
      <w:r>
        <w:rPr>
          <w:rFonts w:hint="default" w:ascii="Times New Roman" w:hAnsi="Times New Roman" w:cs="Times New Roman"/>
          <w:kern w:val="0"/>
          <w:sz w:val="18"/>
          <w:szCs w:val="18"/>
        </w:rPr>
        <w:t>）</w:t>
      </w:r>
      <w:r>
        <w:rPr>
          <w:rFonts w:hint="default" w:ascii="Times New Roman" w:hAnsi="Times New Roman" w:cs="Times New Roman"/>
          <w:kern w:val="0"/>
          <w:szCs w:val="21"/>
        </w:rPr>
        <w:t>抽取相同款式（货号或款号）、相同花型和相同颜色的同一批次的产品。</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1"/>
        <w:tblW w:w="5067" w:type="pct"/>
        <w:jc w:val="center"/>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Layout w:type="autofit"/>
        <w:tblCellMar>
          <w:top w:w="0" w:type="dxa"/>
          <w:left w:w="0" w:type="dxa"/>
          <w:bottom w:w="0" w:type="dxa"/>
          <w:right w:w="0" w:type="dxa"/>
        </w:tblCellMar>
      </w:tblPr>
      <w:tblGrid>
        <w:gridCol w:w="1731"/>
        <w:gridCol w:w="2118"/>
        <w:gridCol w:w="2114"/>
        <w:gridCol w:w="2471"/>
      </w:tblGrid>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10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420" w:firstLineChars="200"/>
              <w:jc w:val="center"/>
              <w:rPr>
                <w:rFonts w:hint="default" w:ascii="Times New Roman" w:hAnsi="Times New Roman" w:cs="Times New Roman"/>
                <w:szCs w:val="21"/>
              </w:rPr>
            </w:pPr>
            <w:r>
              <w:rPr>
                <w:rFonts w:hint="default" w:ascii="Times New Roman" w:hAnsi="Times New Roman" w:cs="Times New Roman"/>
                <w:szCs w:val="21"/>
              </w:rPr>
              <w:t>产品种类</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抽样数量</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（条/套/个）</w:t>
            </w:r>
          </w:p>
        </w:tc>
        <w:tc>
          <w:tcPr>
            <w:tcW w:w="12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检验样品数量</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（条/套/个）</w:t>
            </w:r>
          </w:p>
        </w:tc>
        <w:tc>
          <w:tcPr>
            <w:tcW w:w="146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备用样品数量</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（条/套/个）</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10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床单、被套、床罩、</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毛巾被</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2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46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10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枕套</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2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46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PrEx>
        <w:trPr>
          <w:jc w:val="center"/>
        </w:trPr>
        <w:tc>
          <w:tcPr>
            <w:tcW w:w="10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毯子</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2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46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10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配套床上用品</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2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46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1"/>
        <w:tblW w:w="4994" w:type="pct"/>
        <w:tblInd w:w="0" w:type="dxa"/>
        <w:tblLayout w:type="autofit"/>
        <w:tblCellMar>
          <w:top w:w="0" w:type="dxa"/>
          <w:left w:w="108" w:type="dxa"/>
          <w:bottom w:w="0" w:type="dxa"/>
          <w:right w:w="108" w:type="dxa"/>
        </w:tblCellMar>
      </w:tblPr>
      <w:tblGrid>
        <w:gridCol w:w="1111"/>
        <w:gridCol w:w="4146"/>
        <w:gridCol w:w="3261"/>
      </w:tblGrid>
      <w:tr>
        <w:tblPrEx>
          <w:tblCellMar>
            <w:top w:w="0" w:type="dxa"/>
            <w:left w:w="108" w:type="dxa"/>
            <w:bottom w:w="0" w:type="dxa"/>
            <w:right w:w="108" w:type="dxa"/>
          </w:tblCellMar>
        </w:tblPrEx>
        <w:trPr>
          <w:cantSplit/>
          <w:trHeight w:val="311" w:hRule="atLeast"/>
          <w:tblHeader/>
        </w:trPr>
        <w:tc>
          <w:tcPr>
            <w:tcW w:w="652" w:type="pct"/>
            <w:tcBorders>
              <w:top w:val="single" w:color="000000" w:sz="6" w:space="0"/>
              <w:left w:val="single" w:color="000000" w:sz="6" w:space="0"/>
              <w:bottom w:val="single" w:color="000000" w:sz="6" w:space="0"/>
              <w:right w:val="single" w:color="000000" w:sz="6" w:space="0"/>
            </w:tcBorders>
            <w:noWrap w:val="0"/>
            <w:vAlign w:val="center"/>
          </w:tcPr>
          <w:p>
            <w:pPr>
              <w:adjustRightInd w:val="0"/>
              <w:snapToGrid w:val="0"/>
              <w:spacing w:line="440" w:lineRule="exact"/>
              <w:jc w:val="center"/>
              <w:rPr>
                <w:rFonts w:hint="default" w:ascii="Times New Roman" w:hAnsi="Times New Roman" w:cs="Times New Roman"/>
                <w:szCs w:val="22"/>
              </w:rPr>
            </w:pPr>
            <w:r>
              <w:rPr>
                <w:rFonts w:hint="default" w:ascii="Times New Roman" w:hAnsi="Times New Roman" w:cs="Times New Roman"/>
                <w:szCs w:val="22"/>
              </w:rPr>
              <w:t>序号</w:t>
            </w:r>
          </w:p>
        </w:tc>
        <w:tc>
          <w:tcPr>
            <w:tcW w:w="2433" w:type="pct"/>
            <w:tcBorders>
              <w:top w:val="single" w:color="000000" w:sz="6" w:space="0"/>
              <w:left w:val="single" w:color="000000" w:sz="6" w:space="0"/>
              <w:bottom w:val="single" w:color="000000" w:sz="6" w:space="0"/>
              <w:right w:val="single" w:color="000000" w:sz="6" w:space="0"/>
            </w:tcBorders>
            <w:noWrap w:val="0"/>
            <w:vAlign w:val="center"/>
          </w:tcPr>
          <w:p>
            <w:pPr>
              <w:adjustRightInd w:val="0"/>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检验方法</w:t>
            </w:r>
          </w:p>
        </w:tc>
      </w:tr>
      <w:tr>
        <w:tblPrEx>
          <w:tblCellMar>
            <w:top w:w="0" w:type="dxa"/>
            <w:left w:w="108" w:type="dxa"/>
            <w:bottom w:w="0" w:type="dxa"/>
            <w:right w:w="108" w:type="dxa"/>
          </w:tblCellMar>
        </w:tblPrEx>
        <w:trPr>
          <w:cantSplit/>
          <w:trHeight w:val="23" w:hRule="atLeast"/>
        </w:trPr>
        <w:tc>
          <w:tcPr>
            <w:tcW w:w="652" w:type="pct"/>
            <w:tcBorders>
              <w:top w:val="single" w:color="000000" w:sz="6" w:space="0"/>
              <w:left w:val="single" w:color="000000" w:sz="6" w:space="0"/>
              <w:bottom w:val="single" w:color="000000" w:sz="6"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1</w:t>
            </w:r>
          </w:p>
        </w:tc>
        <w:tc>
          <w:tcPr>
            <w:tcW w:w="2433" w:type="pct"/>
            <w:tcBorders>
              <w:top w:val="single" w:color="000000" w:sz="6" w:space="0"/>
              <w:left w:val="single" w:color="000000" w:sz="6" w:space="0"/>
              <w:bottom w:val="single" w:color="000000" w:sz="6"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甲醛含量</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2912.1—2009</w:t>
            </w:r>
          </w:p>
        </w:tc>
      </w:tr>
      <w:tr>
        <w:tblPrEx>
          <w:tblCellMar>
            <w:top w:w="0" w:type="dxa"/>
            <w:left w:w="108" w:type="dxa"/>
            <w:bottom w:w="0" w:type="dxa"/>
            <w:right w:w="108" w:type="dxa"/>
          </w:tblCellMar>
        </w:tblPrEx>
        <w:trPr>
          <w:cantSplit/>
          <w:trHeight w:val="23" w:hRule="atLeast"/>
        </w:trPr>
        <w:tc>
          <w:tcPr>
            <w:tcW w:w="652" w:type="pct"/>
            <w:tcBorders>
              <w:top w:val="single" w:color="000000" w:sz="6" w:space="0"/>
              <w:left w:val="single" w:color="000000" w:sz="6" w:space="0"/>
              <w:bottom w:val="single" w:color="000000" w:sz="6"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2</w:t>
            </w:r>
          </w:p>
        </w:tc>
        <w:tc>
          <w:tcPr>
            <w:tcW w:w="2433" w:type="pct"/>
            <w:tcBorders>
              <w:top w:val="single" w:color="000000" w:sz="6" w:space="0"/>
              <w:left w:val="single" w:color="000000" w:sz="6" w:space="0"/>
              <w:bottom w:val="single" w:color="000000" w:sz="6"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pH值</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7573—2009</w:t>
            </w:r>
          </w:p>
        </w:tc>
      </w:tr>
      <w:tr>
        <w:tblPrEx>
          <w:tblCellMar>
            <w:top w:w="0" w:type="dxa"/>
            <w:left w:w="108" w:type="dxa"/>
            <w:bottom w:w="0" w:type="dxa"/>
            <w:right w:w="108" w:type="dxa"/>
          </w:tblCellMar>
        </w:tblPrEx>
        <w:trPr>
          <w:cantSplit/>
          <w:trHeight w:val="23" w:hRule="atLeast"/>
        </w:trPr>
        <w:tc>
          <w:tcPr>
            <w:tcW w:w="652" w:type="pct"/>
            <w:tcBorders>
              <w:top w:val="single" w:color="000000" w:sz="6"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3</w:t>
            </w:r>
          </w:p>
        </w:tc>
        <w:tc>
          <w:tcPr>
            <w:tcW w:w="2433" w:type="pct"/>
            <w:tcBorders>
              <w:top w:val="single" w:color="000000" w:sz="6"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可分解致癌芳香胺染料</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17592—2024</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23344—2009</w:t>
            </w:r>
          </w:p>
        </w:tc>
      </w:tr>
      <w:tr>
        <w:tblPrEx>
          <w:tblCellMar>
            <w:top w:w="0" w:type="dxa"/>
            <w:left w:w="108" w:type="dxa"/>
            <w:bottom w:w="0" w:type="dxa"/>
            <w:right w:w="108" w:type="dxa"/>
          </w:tblCellMar>
        </w:tblPrEx>
        <w:trPr>
          <w:cantSplit/>
          <w:trHeight w:val="23" w:hRule="atLeast"/>
        </w:trPr>
        <w:tc>
          <w:tcPr>
            <w:tcW w:w="652"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4</w:t>
            </w:r>
          </w:p>
        </w:tc>
        <w:tc>
          <w:tcPr>
            <w:tcW w:w="2433"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耐水色牢度</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5713—2013</w:t>
            </w:r>
          </w:p>
        </w:tc>
      </w:tr>
      <w:tr>
        <w:tblPrEx>
          <w:tblCellMar>
            <w:top w:w="0" w:type="dxa"/>
            <w:left w:w="108" w:type="dxa"/>
            <w:bottom w:w="0" w:type="dxa"/>
            <w:right w:w="108" w:type="dxa"/>
          </w:tblCellMar>
        </w:tblPrEx>
        <w:trPr>
          <w:cantSplit/>
          <w:trHeight w:val="23" w:hRule="atLeast"/>
        </w:trPr>
        <w:tc>
          <w:tcPr>
            <w:tcW w:w="652"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5</w:t>
            </w:r>
          </w:p>
        </w:tc>
        <w:tc>
          <w:tcPr>
            <w:tcW w:w="2433"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耐酸汗渍色牢度</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3922—2013</w:t>
            </w:r>
          </w:p>
        </w:tc>
      </w:tr>
      <w:tr>
        <w:tblPrEx>
          <w:tblCellMar>
            <w:top w:w="0" w:type="dxa"/>
            <w:left w:w="108" w:type="dxa"/>
            <w:bottom w:w="0" w:type="dxa"/>
            <w:right w:w="108" w:type="dxa"/>
          </w:tblCellMar>
        </w:tblPrEx>
        <w:trPr>
          <w:cantSplit/>
          <w:trHeight w:val="238" w:hRule="atLeast"/>
        </w:trPr>
        <w:tc>
          <w:tcPr>
            <w:tcW w:w="652"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6</w:t>
            </w:r>
          </w:p>
        </w:tc>
        <w:tc>
          <w:tcPr>
            <w:tcW w:w="2433"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耐碱汗渍色牢度</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3922—2013</w:t>
            </w:r>
          </w:p>
        </w:tc>
      </w:tr>
      <w:tr>
        <w:tblPrEx>
          <w:tblCellMar>
            <w:top w:w="0" w:type="dxa"/>
            <w:left w:w="108" w:type="dxa"/>
            <w:bottom w:w="0" w:type="dxa"/>
            <w:right w:w="108" w:type="dxa"/>
          </w:tblCellMar>
        </w:tblPrEx>
        <w:trPr>
          <w:cantSplit/>
          <w:trHeight w:val="23" w:hRule="atLeast"/>
        </w:trPr>
        <w:tc>
          <w:tcPr>
            <w:tcW w:w="652"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7</w:t>
            </w:r>
          </w:p>
        </w:tc>
        <w:tc>
          <w:tcPr>
            <w:tcW w:w="2433"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耐干摩擦色牢度</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3920—2008</w:t>
            </w:r>
          </w:p>
        </w:tc>
      </w:tr>
      <w:tr>
        <w:tblPrEx>
          <w:tblCellMar>
            <w:top w:w="0" w:type="dxa"/>
            <w:left w:w="108" w:type="dxa"/>
            <w:bottom w:w="0" w:type="dxa"/>
            <w:right w:w="108" w:type="dxa"/>
          </w:tblCellMar>
        </w:tblPrEx>
        <w:trPr>
          <w:cantSplit/>
          <w:trHeight w:val="23" w:hRule="atLeast"/>
        </w:trPr>
        <w:tc>
          <w:tcPr>
            <w:tcW w:w="652" w:type="pct"/>
            <w:tcBorders>
              <w:top w:val="single" w:color="auto" w:sz="4" w:space="0"/>
              <w:left w:val="single" w:color="000000" w:sz="6" w:space="0"/>
              <w:bottom w:val="single" w:color="000000" w:sz="6" w:space="0"/>
              <w:right w:val="single" w:color="000000" w:sz="6"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8</w:t>
            </w:r>
          </w:p>
        </w:tc>
        <w:tc>
          <w:tcPr>
            <w:tcW w:w="2433" w:type="pct"/>
            <w:tcBorders>
              <w:top w:val="single" w:color="auto" w:sz="4" w:space="0"/>
              <w:left w:val="single" w:color="000000" w:sz="6" w:space="0"/>
              <w:bottom w:val="single" w:color="auto" w:sz="4" w:space="0"/>
              <w:right w:val="single" w:color="000000" w:sz="6" w:space="0"/>
            </w:tcBorders>
            <w:noWrap w:val="0"/>
            <w:vAlign w:val="center"/>
          </w:tcPr>
          <w:p>
            <w:pPr>
              <w:adjustRightInd w:val="0"/>
              <w:snapToGrid w:val="0"/>
              <w:jc w:val="center"/>
              <w:rPr>
                <w:rFonts w:hint="default" w:ascii="Times New Roman" w:hAnsi="Times New Roman" w:eastAsia="宋体" w:cs="Times New Roman"/>
                <w:kern w:val="2"/>
                <w:sz w:val="21"/>
                <w:szCs w:val="22"/>
                <w:vertAlign w:val="superscript"/>
                <w:lang w:val="en-US" w:eastAsia="zh-CN" w:bidi="ar-SA"/>
              </w:rPr>
            </w:pPr>
            <w:r>
              <w:rPr>
                <w:rFonts w:hint="default" w:ascii="Times New Roman" w:hAnsi="Times New Roman" w:cs="Times New Roman"/>
                <w:szCs w:val="22"/>
              </w:rPr>
              <w:t>纤维含量</w:t>
            </w:r>
          </w:p>
        </w:tc>
        <w:tc>
          <w:tcPr>
            <w:tcW w:w="1914" w:type="pct"/>
            <w:tcBorders>
              <w:top w:val="single" w:color="000000" w:sz="6" w:space="0"/>
              <w:left w:val="single" w:color="000000" w:sz="6" w:space="0"/>
              <w:bottom w:val="single" w:color="000000" w:sz="6" w:space="0"/>
              <w:right w:val="single" w:color="auto" w:sz="4" w:space="0"/>
            </w:tcBorders>
            <w:noWrap w:val="0"/>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01057.1—2007</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01057.2—2007</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01057.3—2007</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01057.4—2007</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2910.1—2009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2910.2—2009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2910.3—2009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2910.4—2022</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2910.6—2009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2910.7—2009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2910.8—2009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2"/>
              </w:rPr>
              <w:t>GB/T 2910.11—2024</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1"/>
              </w:rPr>
              <w:t>GB/T 2910.12—2023</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2910.18—2009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2910.20—2009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2910.22—2009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2910.101—2009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01101—2008</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01112—2012</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01026—2017</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38015—2019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30003—2009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FZ/T 30003—2024</w:t>
            </w:r>
          </w:p>
          <w:p>
            <w:pPr>
              <w:adjustRightInd w:val="0"/>
              <w:snapToGrid w:val="0"/>
              <w:jc w:val="center"/>
              <w:rPr>
                <w:rFonts w:hint="default" w:ascii="Times New Roman" w:hAnsi="Times New Roman" w:eastAsia="宋体" w:cs="Times New Roman"/>
                <w:kern w:val="2"/>
                <w:sz w:val="21"/>
                <w:szCs w:val="22"/>
                <w:lang w:val="en-US" w:eastAsia="zh-CN" w:bidi="ar-SA"/>
              </w:rPr>
            </w:pPr>
            <w:r>
              <w:rPr>
                <w:rFonts w:hint="default" w:ascii="Times New Roman" w:hAnsi="Times New Roman" w:cs="Times New Roman"/>
                <w:szCs w:val="22"/>
              </w:rPr>
              <w:t>GB/T 16988—2013</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18401—2010 国家纺织产品基本安全技术规范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31701—2015 婴幼儿及儿童纺织产品安全技术规范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22796—2021 床上用品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22864—2020 毛巾</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29862—2013 纺织品 纤维含量的标识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33734—2017 机织婴幼儿床上用品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25006—2022 轻薄型经编针织毯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34003—2011 亚麻床上用品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43018—2017 蚕丝绒毯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44004—2018 丝绸床上用品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61001—2019 纯毛、毛混纺毛毯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61002—2019 化纤仿毛毛毯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61004—2017 拉舍尔毛毯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61005—2015 线毯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61006—2019 纬编腈纶毛毯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61007—2012 家用纺织品 超细纤维毯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61008—2015 摇粒绒毯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61009—2015 纤维素纤维绒毯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61010—2020 山羊绒毯</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62026—2024 手工粗布床上用品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62026—2015 手工粗布床单</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62027—2024 磨毛面料床上用品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62027—2015 磨毛面料床单</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62028—2024 针织面料床上用品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62028—2015 针织床单</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62029—2015 手工粗布被套</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62030—2015 磨毛面料被套</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62031—2015 针织被套</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62033—2016 超细纤维毛巾</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73025—2019 婴幼儿针织服饰</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4A58"/>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0FE7"/>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A3352"/>
    <w:rsid w:val="00FB0488"/>
    <w:rsid w:val="00FB0859"/>
    <w:rsid w:val="00FB167F"/>
    <w:rsid w:val="00FB19EB"/>
    <w:rsid w:val="00FB42ED"/>
    <w:rsid w:val="00FB475C"/>
    <w:rsid w:val="00FC01FB"/>
    <w:rsid w:val="00FC0C34"/>
    <w:rsid w:val="00FC4BAA"/>
    <w:rsid w:val="00FC77CF"/>
    <w:rsid w:val="00FD2287"/>
    <w:rsid w:val="00FD27EF"/>
    <w:rsid w:val="00FD3E1C"/>
    <w:rsid w:val="00FD4FC6"/>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C0C16"/>
    <w:rsid w:val="0483042C"/>
    <w:rsid w:val="04E13A54"/>
    <w:rsid w:val="05172669"/>
    <w:rsid w:val="05917228"/>
    <w:rsid w:val="05997E8B"/>
    <w:rsid w:val="05BD7B6E"/>
    <w:rsid w:val="05FD2B10"/>
    <w:rsid w:val="061D6D0E"/>
    <w:rsid w:val="06563FCE"/>
    <w:rsid w:val="06606919"/>
    <w:rsid w:val="067277C8"/>
    <w:rsid w:val="06862B05"/>
    <w:rsid w:val="06E11AE9"/>
    <w:rsid w:val="07610E7C"/>
    <w:rsid w:val="07893F2F"/>
    <w:rsid w:val="07E850FA"/>
    <w:rsid w:val="07F93C7E"/>
    <w:rsid w:val="07F9695C"/>
    <w:rsid w:val="082C148A"/>
    <w:rsid w:val="085322ED"/>
    <w:rsid w:val="08856DEC"/>
    <w:rsid w:val="09063A89"/>
    <w:rsid w:val="09296840"/>
    <w:rsid w:val="093C07E0"/>
    <w:rsid w:val="099512B1"/>
    <w:rsid w:val="09B131EA"/>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8E124B"/>
    <w:rsid w:val="13DF1AA7"/>
    <w:rsid w:val="140432BB"/>
    <w:rsid w:val="14495172"/>
    <w:rsid w:val="149955F1"/>
    <w:rsid w:val="151B08BC"/>
    <w:rsid w:val="1585042C"/>
    <w:rsid w:val="1609105D"/>
    <w:rsid w:val="163065E9"/>
    <w:rsid w:val="163F4A7E"/>
    <w:rsid w:val="16BE3BF5"/>
    <w:rsid w:val="16EB0762"/>
    <w:rsid w:val="17335AB8"/>
    <w:rsid w:val="17911A75"/>
    <w:rsid w:val="17A252C5"/>
    <w:rsid w:val="17E8444C"/>
    <w:rsid w:val="17EA27C8"/>
    <w:rsid w:val="17EB4CD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C897460"/>
    <w:rsid w:val="1C961EDA"/>
    <w:rsid w:val="1CCC6940"/>
    <w:rsid w:val="1D167BBB"/>
    <w:rsid w:val="1D2E13A9"/>
    <w:rsid w:val="1D613AB1"/>
    <w:rsid w:val="1D632E00"/>
    <w:rsid w:val="1DD4487C"/>
    <w:rsid w:val="1DD51824"/>
    <w:rsid w:val="1DD71A40"/>
    <w:rsid w:val="1E65493E"/>
    <w:rsid w:val="1F2B135E"/>
    <w:rsid w:val="1F6E3CDF"/>
    <w:rsid w:val="1FF45B7B"/>
    <w:rsid w:val="200545EF"/>
    <w:rsid w:val="206F60F6"/>
    <w:rsid w:val="20A167DF"/>
    <w:rsid w:val="20B41BBF"/>
    <w:rsid w:val="20C55B80"/>
    <w:rsid w:val="20CF69FF"/>
    <w:rsid w:val="21FF3314"/>
    <w:rsid w:val="224D407F"/>
    <w:rsid w:val="225E215B"/>
    <w:rsid w:val="226F5814"/>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93671FE"/>
    <w:rsid w:val="29D46E34"/>
    <w:rsid w:val="29E6586F"/>
    <w:rsid w:val="2A0911D4"/>
    <w:rsid w:val="2A9767DF"/>
    <w:rsid w:val="2AA1765E"/>
    <w:rsid w:val="2B5E72FD"/>
    <w:rsid w:val="2BB331A5"/>
    <w:rsid w:val="2BFD5A59"/>
    <w:rsid w:val="2C0B1233"/>
    <w:rsid w:val="2C3D5164"/>
    <w:rsid w:val="2C730B86"/>
    <w:rsid w:val="2CEF6F36"/>
    <w:rsid w:val="2D8B00C8"/>
    <w:rsid w:val="2DAD1333"/>
    <w:rsid w:val="2E976DAE"/>
    <w:rsid w:val="2EBF4557"/>
    <w:rsid w:val="2ECF09C9"/>
    <w:rsid w:val="2ED3590C"/>
    <w:rsid w:val="2ED7364E"/>
    <w:rsid w:val="30141A6E"/>
    <w:rsid w:val="30B0451E"/>
    <w:rsid w:val="30F1651D"/>
    <w:rsid w:val="311A1F18"/>
    <w:rsid w:val="31877C22"/>
    <w:rsid w:val="31CD0D39"/>
    <w:rsid w:val="31FD4E11"/>
    <w:rsid w:val="32272739"/>
    <w:rsid w:val="326E4B18"/>
    <w:rsid w:val="32D700C1"/>
    <w:rsid w:val="33526CEF"/>
    <w:rsid w:val="343C6687"/>
    <w:rsid w:val="346D3DEB"/>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9B051C8"/>
    <w:rsid w:val="3A5C70FE"/>
    <w:rsid w:val="3A835D92"/>
    <w:rsid w:val="3A8A77C7"/>
    <w:rsid w:val="3AD1148C"/>
    <w:rsid w:val="3AD9273B"/>
    <w:rsid w:val="3ADD3D17"/>
    <w:rsid w:val="3B190B4B"/>
    <w:rsid w:val="3BA842A7"/>
    <w:rsid w:val="3BAC5E63"/>
    <w:rsid w:val="3C0161AE"/>
    <w:rsid w:val="3C0637C5"/>
    <w:rsid w:val="3C304DE5"/>
    <w:rsid w:val="3CA64660"/>
    <w:rsid w:val="3CBE19AA"/>
    <w:rsid w:val="3D430101"/>
    <w:rsid w:val="3D485717"/>
    <w:rsid w:val="3DB94356"/>
    <w:rsid w:val="3DD31485"/>
    <w:rsid w:val="3DDF7E2A"/>
    <w:rsid w:val="3E1C107E"/>
    <w:rsid w:val="3E611186"/>
    <w:rsid w:val="3EA6703C"/>
    <w:rsid w:val="3EEF22EE"/>
    <w:rsid w:val="3F0B3B43"/>
    <w:rsid w:val="3F1B30E3"/>
    <w:rsid w:val="3F3A02FC"/>
    <w:rsid w:val="3F4C7741"/>
    <w:rsid w:val="3F595FFD"/>
    <w:rsid w:val="41727207"/>
    <w:rsid w:val="417A45ED"/>
    <w:rsid w:val="41AF045B"/>
    <w:rsid w:val="41F96066"/>
    <w:rsid w:val="41FF6556"/>
    <w:rsid w:val="42453F63"/>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60348D1"/>
    <w:rsid w:val="46162856"/>
    <w:rsid w:val="465313B5"/>
    <w:rsid w:val="46805F22"/>
    <w:rsid w:val="47606608"/>
    <w:rsid w:val="476615BC"/>
    <w:rsid w:val="47AF4D11"/>
    <w:rsid w:val="47E04ECA"/>
    <w:rsid w:val="47F33399"/>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AC7A71"/>
    <w:rsid w:val="4D127F16"/>
    <w:rsid w:val="4D297313"/>
    <w:rsid w:val="4D923AB3"/>
    <w:rsid w:val="4E1F3ADA"/>
    <w:rsid w:val="4E3F66C2"/>
    <w:rsid w:val="4EB33338"/>
    <w:rsid w:val="4F043B94"/>
    <w:rsid w:val="4F4B3C05"/>
    <w:rsid w:val="4FDD6193"/>
    <w:rsid w:val="4FF77255"/>
    <w:rsid w:val="50A75DAE"/>
    <w:rsid w:val="510A745C"/>
    <w:rsid w:val="51A404F0"/>
    <w:rsid w:val="522B768A"/>
    <w:rsid w:val="527B0C69"/>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951575"/>
    <w:rsid w:val="571526B6"/>
    <w:rsid w:val="575D6537"/>
    <w:rsid w:val="578A4E52"/>
    <w:rsid w:val="57C33EC0"/>
    <w:rsid w:val="57C87729"/>
    <w:rsid w:val="580A7D41"/>
    <w:rsid w:val="58101CD2"/>
    <w:rsid w:val="581F1A3E"/>
    <w:rsid w:val="584B2834"/>
    <w:rsid w:val="586D09FC"/>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852344"/>
    <w:rsid w:val="5DA0717E"/>
    <w:rsid w:val="5DDD75C3"/>
    <w:rsid w:val="5DFC1DBA"/>
    <w:rsid w:val="5E2307DC"/>
    <w:rsid w:val="5E421B9E"/>
    <w:rsid w:val="5E4D0988"/>
    <w:rsid w:val="5EBA426F"/>
    <w:rsid w:val="5EF77271"/>
    <w:rsid w:val="5F724B4A"/>
    <w:rsid w:val="5FAA6186"/>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F72FE2"/>
    <w:rsid w:val="6A0740E0"/>
    <w:rsid w:val="6A276531"/>
    <w:rsid w:val="6A9A2572"/>
    <w:rsid w:val="6AAB1235"/>
    <w:rsid w:val="6ACB7804"/>
    <w:rsid w:val="6AE663EC"/>
    <w:rsid w:val="6B4F21E3"/>
    <w:rsid w:val="6B777044"/>
    <w:rsid w:val="6BC568DE"/>
    <w:rsid w:val="6BD149A6"/>
    <w:rsid w:val="6BD61FBC"/>
    <w:rsid w:val="6BEB2BC4"/>
    <w:rsid w:val="6BFC3B49"/>
    <w:rsid w:val="6C0F54CE"/>
    <w:rsid w:val="6C9A56E0"/>
    <w:rsid w:val="6CB31830"/>
    <w:rsid w:val="6CED41BB"/>
    <w:rsid w:val="6D45389E"/>
    <w:rsid w:val="6D8860AC"/>
    <w:rsid w:val="6D9640F9"/>
    <w:rsid w:val="6D9E2FAE"/>
    <w:rsid w:val="6DB91EF9"/>
    <w:rsid w:val="6E867F64"/>
    <w:rsid w:val="6F141779"/>
    <w:rsid w:val="6F152DFC"/>
    <w:rsid w:val="6FA10B33"/>
    <w:rsid w:val="6FB10D76"/>
    <w:rsid w:val="6FEB735C"/>
    <w:rsid w:val="70111815"/>
    <w:rsid w:val="703B0F88"/>
    <w:rsid w:val="705D2CAC"/>
    <w:rsid w:val="7075449A"/>
    <w:rsid w:val="70814BED"/>
    <w:rsid w:val="70B36D70"/>
    <w:rsid w:val="70EB650A"/>
    <w:rsid w:val="70FD7FEB"/>
    <w:rsid w:val="710812D5"/>
    <w:rsid w:val="71233EF6"/>
    <w:rsid w:val="712C0FDC"/>
    <w:rsid w:val="71397275"/>
    <w:rsid w:val="714317DD"/>
    <w:rsid w:val="714F6A99"/>
    <w:rsid w:val="716D33C3"/>
    <w:rsid w:val="717C53B4"/>
    <w:rsid w:val="71902C0D"/>
    <w:rsid w:val="71E80C9B"/>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3541F8"/>
    <w:rsid w:val="753E3949"/>
    <w:rsid w:val="756D1BE3"/>
    <w:rsid w:val="75D4756D"/>
    <w:rsid w:val="75FC6AC3"/>
    <w:rsid w:val="760A5684"/>
    <w:rsid w:val="76937428"/>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CA1B4A"/>
    <w:rsid w:val="7D592A4D"/>
    <w:rsid w:val="7D7B29C4"/>
    <w:rsid w:val="7E244E09"/>
    <w:rsid w:val="7E521976"/>
    <w:rsid w:val="7E8439B7"/>
    <w:rsid w:val="7E92156D"/>
    <w:rsid w:val="7EBA07BC"/>
    <w:rsid w:val="7EC565EC"/>
    <w:rsid w:val="7F183EFE"/>
    <w:rsid w:val="7F533772"/>
    <w:rsid w:val="7FE17456"/>
    <w:rsid w:val="7FFA0518"/>
    <w:rsid w:val="7FFB6142"/>
    <w:rsid w:val="BF4F5CB9"/>
    <w:rsid w:val="DEFF7FEE"/>
    <w:rsid w:val="FEDD8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 w:type="character" w:customStyle="1" w:styleId="44">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1175</Words>
  <Characters>1891</Characters>
  <Lines>13</Lines>
  <Paragraphs>3</Paragraphs>
  <TotalTime>0</TotalTime>
  <ScaleCrop>false</ScaleCrop>
  <LinksUpToDate>false</LinksUpToDate>
  <CharactersWithSpaces>1995</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2021-07-15T03:40:00Z</dcterms:created>
  <dc:creator>微软用户</dc:creator>
  <cp:lastModifiedBy>uos</cp:lastModifiedBy>
  <cp:lastPrinted>2023-06-09T01:05:00Z</cp:lastPrinted>
  <dcterms:modified xsi:type="dcterms:W3CDTF">2026-06-24T16:03:00Z</dcterms:modified>
  <dc:title>2015年纸巾纸产品质量监督检查抽查实施细则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88CC3477AD734F2482A653693701797B_13</vt:lpwstr>
  </property>
  <property fmtid="{D5CDD505-2E9C-101B-9397-08002B2CF9AE}" pid="4" name="KSOTemplateDocerSaveRecord">
    <vt:lpwstr>eyJoZGlkIjoiMTc5MTJkNTEyYTIyMTYyZDczY2E1ZDFiMTY5YjU5ODgiLCJ1c2VySWQiOiI0NzM5NjMxNDkifQ==</vt:lpwstr>
  </property>
</Properties>
</file>