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b/>
          <w:bCs/>
          <w:color w:val="auto"/>
          <w:kern w:val="2"/>
          <w:sz w:val="32"/>
          <w:szCs w:val="32"/>
          <w:lang w:val="en-US" w:eastAsia="zh-CN" w:bidi="ar-SA"/>
        </w:rPr>
        <w:id w:val="147473525"/>
        <w15:color w:val="DBDBDB"/>
        <w:docPartObj>
          <w:docPartGallery w:val="Table of Contents"/>
          <w:docPartUnique/>
        </w:docPartObj>
      </w:sdtPr>
      <w:sdtEndPr>
        <w:rPr>
          <w:rFonts w:ascii="方正仿宋_GB2312" w:eastAsia="方正仿宋_GB2312" w:hAnsiTheme="minorHAnsi" w:cstheme="minorBidi"/>
          <w:b/>
          <w:bCs/>
          <w:color w:val="auto"/>
          <w:kern w:val="2"/>
          <w:sz w:val="32"/>
          <w:szCs w:val="32"/>
          <w:lang w:val="en-US" w:eastAsia="zh-CN" w:bidi="ar-SA"/>
        </w:rPr>
      </w:sdtEndPr>
      <w:sdtContent>
        <w:p>
          <w:pPr>
            <w:pStyle w:val="12"/>
            <w:outlineLvl w:val="9"/>
            <w:rPr>
              <w:rFonts w:hint="default" w:ascii="Times New Roman" w:hAnsi="Times New Roman" w:eastAsia="方正小标宋简体" w:cs="Times New Roman"/>
              <w:color w:val="auto"/>
              <w:kern w:val="0"/>
              <w:sz w:val="44"/>
              <w:szCs w:val="44"/>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pStyle w:val="14"/>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新疆维吾尔自治区机动车检验机构资质认定</w:t>
          </w:r>
        </w:p>
        <w:p>
          <w:pPr>
            <w:pStyle w:val="14"/>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评审工作指南</w:t>
          </w:r>
        </w:p>
        <w:p>
          <w:pPr>
            <w:pStyle w:val="12"/>
            <w:jc w:val="both"/>
            <w:outlineLvl w:val="9"/>
            <w:rPr>
              <w:rFonts w:hint="default" w:ascii="Times New Roman" w:hAnsi="Times New Roman" w:eastAsia="方正小标宋简体" w:cs="Times New Roman"/>
              <w:color w:val="auto"/>
              <w:kern w:val="0"/>
              <w:sz w:val="44"/>
              <w:szCs w:val="44"/>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hint="eastAsia" w:ascii="Times New Roman" w:hAnsi="Times New Roman" w:eastAsia="方正小标宋简体" w:cs="Times New Roman"/>
              <w:color w:val="auto"/>
              <w:kern w:val="0"/>
              <w:sz w:val="44"/>
              <w:szCs w:val="44"/>
              <w:highlight w:val="none"/>
              <w:lang w:eastAsia="zh-CN"/>
            </w:rPr>
          </w:pPr>
          <w:r>
            <w:rPr>
              <w:rFonts w:hint="eastAsia" w:ascii="Times New Roman" w:hAnsi="Times New Roman" w:eastAsia="方正小标宋简体" w:cs="Times New Roman"/>
              <w:color w:val="auto"/>
              <w:kern w:val="0"/>
              <w:sz w:val="44"/>
              <w:szCs w:val="44"/>
              <w:highlight w:val="none"/>
              <w:lang w:eastAsia="zh-CN"/>
            </w:rPr>
            <w:t>（</w:t>
          </w:r>
          <w:r>
            <w:rPr>
              <w:rFonts w:hint="eastAsia" w:ascii="Times New Roman" w:hAnsi="Times New Roman" w:eastAsia="方正小标宋简体" w:cs="Times New Roman"/>
              <w:color w:val="auto"/>
              <w:kern w:val="0"/>
              <w:sz w:val="44"/>
              <w:szCs w:val="44"/>
              <w:highlight w:val="none"/>
              <w:lang w:val="en-US" w:eastAsia="zh-CN"/>
            </w:rPr>
            <w:t>征求意见稿</w:t>
          </w:r>
          <w:r>
            <w:rPr>
              <w:rFonts w:hint="eastAsia" w:ascii="Times New Roman" w:hAnsi="Times New Roman" w:eastAsia="方正小标宋简体" w:cs="Times New Roman"/>
              <w:color w:val="auto"/>
              <w:kern w:val="0"/>
              <w:sz w:val="44"/>
              <w:szCs w:val="44"/>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both"/>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both"/>
            <w:textAlignment w:val="auto"/>
            <w:rPr>
              <w:rFonts w:ascii="宋体" w:hAnsi="宋体" w:eastAsia="宋体"/>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b/>
              <w:bCs/>
              <w:color w:val="auto"/>
              <w:sz w:val="32"/>
              <w:szCs w:val="32"/>
            </w:rPr>
          </w:pPr>
          <w:r>
            <w:rPr>
              <w:rFonts w:ascii="宋体" w:hAnsi="宋体" w:eastAsia="宋体"/>
              <w:b/>
              <w:bCs/>
              <w:color w:val="auto"/>
              <w:sz w:val="32"/>
              <w:szCs w:val="32"/>
            </w:rPr>
            <w:t>目录</w:t>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TOC \o "1-3" \h \u </w:instrText>
          </w:r>
          <w:r>
            <w:rPr>
              <w:color w:val="auto"/>
              <w:sz w:val="32"/>
              <w:szCs w:val="32"/>
            </w:rPr>
            <w:fldChar w:fldCharType="separate"/>
          </w:r>
          <w:r>
            <w:rPr>
              <w:color w:val="auto"/>
              <w:sz w:val="32"/>
              <w:szCs w:val="32"/>
            </w:rPr>
            <w:fldChar w:fldCharType="begin"/>
          </w:r>
          <w:r>
            <w:rPr>
              <w:color w:val="auto"/>
              <w:sz w:val="32"/>
              <w:szCs w:val="32"/>
            </w:rPr>
            <w:instrText xml:space="preserve"> HYPERLINK \l _Toc5375 </w:instrText>
          </w:r>
          <w:r>
            <w:rPr>
              <w:color w:val="auto"/>
              <w:sz w:val="32"/>
              <w:szCs w:val="32"/>
            </w:rPr>
            <w:fldChar w:fldCharType="separate"/>
          </w:r>
          <w:r>
            <w:rPr>
              <w:rFonts w:hint="default" w:ascii="Times New Roman" w:hAnsi="Times New Roman" w:cs="Times New Roman"/>
              <w:color w:val="auto"/>
              <w:sz w:val="32"/>
              <w:szCs w:val="32"/>
            </w:rPr>
            <w:t xml:space="preserve">1 </w:t>
          </w:r>
          <w:r>
            <w:rPr>
              <w:rFonts w:hint="default" w:ascii="Times New Roman" w:hAnsi="Times New Roman" w:cs="Times New Roman"/>
              <w:color w:val="auto"/>
              <w:sz w:val="32"/>
              <w:szCs w:val="32"/>
              <w:highlight w:val="none"/>
            </w:rPr>
            <w:t>目的</w:t>
          </w:r>
          <w:r>
            <w:rPr>
              <w:color w:val="auto"/>
              <w:sz w:val="32"/>
              <w:szCs w:val="32"/>
            </w:rPr>
            <w:tab/>
          </w:r>
          <w:r>
            <w:rPr>
              <w:color w:val="auto"/>
              <w:sz w:val="32"/>
              <w:szCs w:val="32"/>
            </w:rPr>
            <w:fldChar w:fldCharType="begin"/>
          </w:r>
          <w:r>
            <w:rPr>
              <w:color w:val="auto"/>
              <w:sz w:val="32"/>
              <w:szCs w:val="32"/>
            </w:rPr>
            <w:instrText xml:space="preserve"> PAGEREF _Toc5375 \h </w:instrText>
          </w:r>
          <w:r>
            <w:rPr>
              <w:color w:val="auto"/>
              <w:sz w:val="32"/>
              <w:szCs w:val="32"/>
            </w:rPr>
            <w:fldChar w:fldCharType="separate"/>
          </w:r>
          <w:r>
            <w:rPr>
              <w:color w:val="auto"/>
              <w:sz w:val="32"/>
              <w:szCs w:val="32"/>
            </w:rPr>
            <w:t>4</w:t>
          </w:r>
          <w:r>
            <w:rPr>
              <w:color w:val="auto"/>
              <w:sz w:val="32"/>
              <w:szCs w:val="32"/>
            </w:rPr>
            <w:fldChar w:fldCharType="end"/>
          </w:r>
          <w:r>
            <w:rPr>
              <w:color w:val="auto"/>
              <w:sz w:val="32"/>
              <w:szCs w:val="32"/>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_Toc1407 </w:instrText>
          </w:r>
          <w:r>
            <w:rPr>
              <w:color w:val="auto"/>
              <w:sz w:val="32"/>
              <w:szCs w:val="32"/>
            </w:rPr>
            <w:fldChar w:fldCharType="separate"/>
          </w:r>
          <w:r>
            <w:rPr>
              <w:rFonts w:hint="default" w:ascii="Times New Roman" w:hAnsi="Times New Roman" w:cs="Times New Roman"/>
              <w:color w:val="auto"/>
              <w:sz w:val="32"/>
              <w:szCs w:val="32"/>
            </w:rPr>
            <w:t xml:space="preserve">2 </w:t>
          </w:r>
          <w:r>
            <w:rPr>
              <w:rFonts w:hint="default" w:ascii="Times New Roman" w:hAnsi="Times New Roman" w:cs="Times New Roman"/>
              <w:color w:val="auto"/>
              <w:sz w:val="32"/>
              <w:szCs w:val="32"/>
              <w:highlight w:val="none"/>
            </w:rPr>
            <w:t>依据</w:t>
          </w:r>
          <w:r>
            <w:rPr>
              <w:color w:val="auto"/>
              <w:sz w:val="32"/>
              <w:szCs w:val="32"/>
            </w:rPr>
            <w:tab/>
          </w:r>
          <w:r>
            <w:rPr>
              <w:color w:val="auto"/>
              <w:sz w:val="32"/>
              <w:szCs w:val="32"/>
            </w:rPr>
            <w:fldChar w:fldCharType="begin"/>
          </w:r>
          <w:r>
            <w:rPr>
              <w:color w:val="auto"/>
              <w:sz w:val="32"/>
              <w:szCs w:val="32"/>
            </w:rPr>
            <w:instrText xml:space="preserve"> PAGEREF _Toc1407 \h </w:instrText>
          </w:r>
          <w:r>
            <w:rPr>
              <w:color w:val="auto"/>
              <w:sz w:val="32"/>
              <w:szCs w:val="32"/>
            </w:rPr>
            <w:fldChar w:fldCharType="separate"/>
          </w:r>
          <w:r>
            <w:rPr>
              <w:color w:val="auto"/>
              <w:sz w:val="32"/>
              <w:szCs w:val="32"/>
            </w:rPr>
            <w:t>4</w:t>
          </w:r>
          <w:r>
            <w:rPr>
              <w:color w:val="auto"/>
              <w:sz w:val="32"/>
              <w:szCs w:val="32"/>
            </w:rPr>
            <w:fldChar w:fldCharType="end"/>
          </w:r>
          <w:r>
            <w:rPr>
              <w:color w:val="auto"/>
              <w:sz w:val="32"/>
              <w:szCs w:val="32"/>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_Toc31875 </w:instrText>
          </w:r>
          <w:r>
            <w:rPr>
              <w:color w:val="auto"/>
              <w:sz w:val="32"/>
              <w:szCs w:val="32"/>
            </w:rPr>
            <w:fldChar w:fldCharType="separate"/>
          </w:r>
          <w:r>
            <w:rPr>
              <w:rFonts w:hint="default" w:ascii="Times New Roman" w:hAnsi="Times New Roman" w:cs="Times New Roman"/>
              <w:color w:val="auto"/>
              <w:sz w:val="32"/>
              <w:szCs w:val="32"/>
            </w:rPr>
            <w:t xml:space="preserve">3 </w:t>
          </w:r>
          <w:r>
            <w:rPr>
              <w:rFonts w:hint="default" w:ascii="Times New Roman" w:hAnsi="Times New Roman" w:cs="Times New Roman"/>
              <w:color w:val="auto"/>
              <w:sz w:val="32"/>
              <w:szCs w:val="32"/>
              <w:highlight w:val="none"/>
            </w:rPr>
            <w:t>适用范围</w:t>
          </w:r>
          <w:r>
            <w:rPr>
              <w:color w:val="auto"/>
              <w:sz w:val="32"/>
              <w:szCs w:val="32"/>
            </w:rPr>
            <w:tab/>
          </w:r>
          <w:r>
            <w:rPr>
              <w:color w:val="auto"/>
              <w:sz w:val="32"/>
              <w:szCs w:val="32"/>
            </w:rPr>
            <w:fldChar w:fldCharType="begin"/>
          </w:r>
          <w:r>
            <w:rPr>
              <w:color w:val="auto"/>
              <w:sz w:val="32"/>
              <w:szCs w:val="32"/>
            </w:rPr>
            <w:instrText xml:space="preserve"> PAGEREF _Toc31875 \h </w:instrText>
          </w:r>
          <w:r>
            <w:rPr>
              <w:color w:val="auto"/>
              <w:sz w:val="32"/>
              <w:szCs w:val="32"/>
            </w:rPr>
            <w:fldChar w:fldCharType="separate"/>
          </w:r>
          <w:r>
            <w:rPr>
              <w:color w:val="auto"/>
              <w:sz w:val="32"/>
              <w:szCs w:val="32"/>
            </w:rPr>
            <w:t>5</w:t>
          </w:r>
          <w:r>
            <w:rPr>
              <w:color w:val="auto"/>
              <w:sz w:val="32"/>
              <w:szCs w:val="32"/>
            </w:rPr>
            <w:fldChar w:fldCharType="end"/>
          </w:r>
          <w:r>
            <w:rPr>
              <w:color w:val="auto"/>
              <w:sz w:val="32"/>
              <w:szCs w:val="32"/>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_Toc31323 </w:instrText>
          </w:r>
          <w:r>
            <w:rPr>
              <w:color w:val="auto"/>
              <w:sz w:val="32"/>
              <w:szCs w:val="32"/>
            </w:rPr>
            <w:fldChar w:fldCharType="separate"/>
          </w:r>
          <w:r>
            <w:rPr>
              <w:rFonts w:hint="default" w:ascii="Times New Roman" w:hAnsi="Times New Roman" w:cs="Times New Roman"/>
              <w:color w:val="auto"/>
              <w:sz w:val="32"/>
              <w:szCs w:val="32"/>
            </w:rPr>
            <w:t xml:space="preserve">4 </w:t>
          </w:r>
          <w:r>
            <w:rPr>
              <w:rFonts w:hint="default" w:ascii="Times New Roman" w:hAnsi="Times New Roman" w:cs="Times New Roman"/>
              <w:color w:val="auto"/>
              <w:sz w:val="32"/>
              <w:szCs w:val="32"/>
              <w:highlight w:val="none"/>
            </w:rPr>
            <w:t>人员</w:t>
          </w:r>
          <w:r>
            <w:rPr>
              <w:color w:val="auto"/>
              <w:sz w:val="32"/>
              <w:szCs w:val="32"/>
            </w:rPr>
            <w:tab/>
          </w:r>
          <w:r>
            <w:rPr>
              <w:color w:val="auto"/>
              <w:sz w:val="32"/>
              <w:szCs w:val="32"/>
            </w:rPr>
            <w:fldChar w:fldCharType="begin"/>
          </w:r>
          <w:r>
            <w:rPr>
              <w:color w:val="auto"/>
              <w:sz w:val="32"/>
              <w:szCs w:val="32"/>
            </w:rPr>
            <w:instrText xml:space="preserve"> PAGEREF _Toc31323 \h </w:instrText>
          </w:r>
          <w:r>
            <w:rPr>
              <w:color w:val="auto"/>
              <w:sz w:val="32"/>
              <w:szCs w:val="32"/>
            </w:rPr>
            <w:fldChar w:fldCharType="separate"/>
          </w:r>
          <w:r>
            <w:rPr>
              <w:color w:val="auto"/>
              <w:sz w:val="32"/>
              <w:szCs w:val="32"/>
            </w:rPr>
            <w:t>5</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_Toc25306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4.1</w:t>
          </w:r>
          <w:r>
            <w:rPr>
              <w:rFonts w:hint="default" w:ascii="Times New Roman" w:hAnsi="Times New Roman" w:cs="Times New Roman"/>
              <w:color w:val="auto"/>
              <w:sz w:val="32"/>
              <w:szCs w:val="32"/>
              <w:highlight w:val="none"/>
            </w:rPr>
            <w:t>人员</w:t>
          </w:r>
          <w:r>
            <w:rPr>
              <w:rFonts w:hint="eastAsia" w:ascii="Times New Roman" w:hAnsi="Times New Roman" w:cs="Times New Roman"/>
              <w:color w:val="auto"/>
              <w:sz w:val="32"/>
              <w:szCs w:val="32"/>
              <w:highlight w:val="none"/>
              <w:lang w:val="en-US" w:eastAsia="zh-CN"/>
            </w:rPr>
            <w:t>岗位要求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_Toc25306 \h </w:instrText>
          </w:r>
          <w:r>
            <w:rPr>
              <w:color w:val="auto"/>
              <w:sz w:val="32"/>
              <w:szCs w:val="32"/>
            </w:rPr>
            <w:fldChar w:fldCharType="separate"/>
          </w:r>
          <w:r>
            <w:rPr>
              <w:color w:val="auto"/>
              <w:sz w:val="32"/>
              <w:szCs w:val="32"/>
            </w:rPr>
            <w:t>5</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_Toc9015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4.1.1</w:t>
          </w:r>
          <w:r>
            <w:rPr>
              <w:rFonts w:hint="default" w:ascii="Times New Roman" w:hAnsi="Times New Roman" w:cs="Times New Roman"/>
              <w:color w:val="auto"/>
              <w:sz w:val="32"/>
              <w:szCs w:val="32"/>
              <w:highlight w:val="none"/>
            </w:rPr>
            <w:t>要求</w:t>
          </w:r>
          <w:r>
            <w:rPr>
              <w:color w:val="auto"/>
              <w:sz w:val="32"/>
              <w:szCs w:val="32"/>
            </w:rPr>
            <w:tab/>
          </w:r>
          <w:r>
            <w:rPr>
              <w:color w:val="auto"/>
              <w:sz w:val="32"/>
              <w:szCs w:val="32"/>
            </w:rPr>
            <w:fldChar w:fldCharType="begin"/>
          </w:r>
          <w:r>
            <w:rPr>
              <w:color w:val="auto"/>
              <w:sz w:val="32"/>
              <w:szCs w:val="32"/>
            </w:rPr>
            <w:instrText xml:space="preserve"> PAGEREF _Toc9015 \h </w:instrText>
          </w:r>
          <w:r>
            <w:rPr>
              <w:color w:val="auto"/>
              <w:sz w:val="32"/>
              <w:szCs w:val="32"/>
            </w:rPr>
            <w:fldChar w:fldCharType="separate"/>
          </w:r>
          <w:r>
            <w:rPr>
              <w:color w:val="auto"/>
              <w:sz w:val="32"/>
              <w:szCs w:val="32"/>
            </w:rPr>
            <w:t>5</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_Toc21698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4.1.2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_Toc21698 \h </w:instrText>
          </w:r>
          <w:r>
            <w:rPr>
              <w:color w:val="auto"/>
              <w:sz w:val="32"/>
              <w:szCs w:val="32"/>
            </w:rPr>
            <w:fldChar w:fldCharType="separate"/>
          </w:r>
          <w:r>
            <w:rPr>
              <w:color w:val="auto"/>
              <w:sz w:val="32"/>
              <w:szCs w:val="32"/>
            </w:rPr>
            <w:t>5</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_Toc1965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4.2</w:t>
          </w:r>
          <w:r>
            <w:rPr>
              <w:rFonts w:hint="default" w:ascii="Times New Roman" w:hAnsi="Times New Roman" w:cs="Times New Roman"/>
              <w:color w:val="auto"/>
              <w:sz w:val="32"/>
              <w:szCs w:val="32"/>
              <w:highlight w:val="none"/>
            </w:rPr>
            <w:t>人员配置</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_Toc1965 \h </w:instrText>
          </w:r>
          <w:r>
            <w:rPr>
              <w:color w:val="auto"/>
              <w:sz w:val="32"/>
              <w:szCs w:val="32"/>
            </w:rPr>
            <w:fldChar w:fldCharType="separate"/>
          </w:r>
          <w:r>
            <w:rPr>
              <w:color w:val="auto"/>
              <w:sz w:val="32"/>
              <w:szCs w:val="32"/>
            </w:rPr>
            <w:t>7</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_Toc31222 </w:instrText>
          </w:r>
          <w:r>
            <w:rPr>
              <w:color w:val="auto"/>
              <w:sz w:val="32"/>
              <w:szCs w:val="32"/>
            </w:rPr>
            <w:fldChar w:fldCharType="separate"/>
          </w:r>
          <w:r>
            <w:rPr>
              <w:rFonts w:hint="default" w:ascii="Times New Roman" w:hAnsi="Times New Roman" w:eastAsia="方正仿宋_GB2312" w:cs="Times New Roman"/>
              <w:color w:val="auto"/>
              <w:sz w:val="32"/>
              <w:szCs w:val="32"/>
            </w:rPr>
            <w:t>4.2.1</w:t>
          </w:r>
          <w:r>
            <w:rPr>
              <w:rFonts w:hint="default" w:ascii="Times New Roman" w:hAnsi="Times New Roman" w:cs="Times New Roman"/>
              <w:color w:val="auto"/>
              <w:sz w:val="32"/>
              <w:szCs w:val="32"/>
              <w:highlight w:val="none"/>
            </w:rPr>
            <w:t>要求</w:t>
          </w:r>
          <w:r>
            <w:rPr>
              <w:color w:val="auto"/>
              <w:sz w:val="32"/>
              <w:szCs w:val="32"/>
            </w:rPr>
            <w:tab/>
          </w:r>
          <w:r>
            <w:rPr>
              <w:color w:val="auto"/>
              <w:sz w:val="32"/>
              <w:szCs w:val="32"/>
            </w:rPr>
            <w:fldChar w:fldCharType="begin"/>
          </w:r>
          <w:r>
            <w:rPr>
              <w:color w:val="auto"/>
              <w:sz w:val="32"/>
              <w:szCs w:val="32"/>
            </w:rPr>
            <w:instrText xml:space="preserve"> PAGEREF _Toc31222 \h </w:instrText>
          </w:r>
          <w:r>
            <w:rPr>
              <w:color w:val="auto"/>
              <w:sz w:val="32"/>
              <w:szCs w:val="32"/>
            </w:rPr>
            <w:fldChar w:fldCharType="separate"/>
          </w:r>
          <w:r>
            <w:rPr>
              <w:color w:val="auto"/>
              <w:sz w:val="32"/>
              <w:szCs w:val="32"/>
            </w:rPr>
            <w:t>7</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_Toc7404 </w:instrText>
          </w:r>
          <w:r>
            <w:rPr>
              <w:color w:val="auto"/>
              <w:sz w:val="32"/>
              <w:szCs w:val="32"/>
            </w:rPr>
            <w:fldChar w:fldCharType="separate"/>
          </w:r>
          <w:r>
            <w:rPr>
              <w:rFonts w:hint="eastAsia" w:ascii="Times New Roman" w:hAnsi="Times New Roman" w:eastAsia="方正仿宋_GB2312" w:cs="Times New Roman"/>
              <w:color w:val="auto"/>
              <w:sz w:val="32"/>
              <w:szCs w:val="32"/>
              <w:lang w:val="en-US" w:eastAsia="zh-CN"/>
            </w:rPr>
            <w:t>4.2.2判定指南</w:t>
          </w:r>
          <w:r>
            <w:rPr>
              <w:color w:val="auto"/>
              <w:sz w:val="32"/>
              <w:szCs w:val="32"/>
            </w:rPr>
            <w:tab/>
          </w:r>
          <w:r>
            <w:rPr>
              <w:color w:val="auto"/>
              <w:sz w:val="32"/>
              <w:szCs w:val="32"/>
            </w:rPr>
            <w:fldChar w:fldCharType="begin"/>
          </w:r>
          <w:r>
            <w:rPr>
              <w:color w:val="auto"/>
              <w:sz w:val="32"/>
              <w:szCs w:val="32"/>
            </w:rPr>
            <w:instrText xml:space="preserve"> PAGEREF _Toc7404 \h </w:instrText>
          </w:r>
          <w:r>
            <w:rPr>
              <w:color w:val="auto"/>
              <w:sz w:val="32"/>
              <w:szCs w:val="32"/>
            </w:rPr>
            <w:fldChar w:fldCharType="separate"/>
          </w:r>
          <w:r>
            <w:rPr>
              <w:color w:val="auto"/>
              <w:sz w:val="32"/>
              <w:szCs w:val="32"/>
            </w:rPr>
            <w:t>8</w:t>
          </w:r>
          <w:r>
            <w:rPr>
              <w:color w:val="auto"/>
              <w:sz w:val="32"/>
              <w:szCs w:val="32"/>
            </w:rPr>
            <w:fldChar w:fldCharType="end"/>
          </w:r>
          <w:r>
            <w:rPr>
              <w:color w:val="auto"/>
              <w:sz w:val="32"/>
              <w:szCs w:val="32"/>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_Toc13764 </w:instrText>
          </w:r>
          <w:r>
            <w:rPr>
              <w:color w:val="auto"/>
              <w:sz w:val="32"/>
              <w:szCs w:val="32"/>
            </w:rPr>
            <w:fldChar w:fldCharType="separate"/>
          </w:r>
          <w:r>
            <w:rPr>
              <w:rFonts w:hint="default" w:ascii="Times New Roman" w:hAnsi="Times New Roman" w:cs="Times New Roman"/>
              <w:color w:val="auto"/>
              <w:sz w:val="32"/>
              <w:szCs w:val="32"/>
            </w:rPr>
            <w:t xml:space="preserve">5 </w:t>
          </w:r>
          <w:r>
            <w:rPr>
              <w:rFonts w:hint="default" w:ascii="Times New Roman" w:hAnsi="Times New Roman" w:cs="Times New Roman"/>
              <w:color w:val="auto"/>
              <w:sz w:val="32"/>
              <w:szCs w:val="32"/>
              <w:highlight w:val="none"/>
            </w:rPr>
            <w:t>场所设施</w:t>
          </w:r>
          <w:r>
            <w:rPr>
              <w:color w:val="auto"/>
              <w:sz w:val="32"/>
              <w:szCs w:val="32"/>
            </w:rPr>
            <w:tab/>
          </w:r>
          <w:r>
            <w:rPr>
              <w:color w:val="auto"/>
              <w:sz w:val="32"/>
              <w:szCs w:val="32"/>
            </w:rPr>
            <w:fldChar w:fldCharType="begin"/>
          </w:r>
          <w:r>
            <w:rPr>
              <w:color w:val="auto"/>
              <w:sz w:val="32"/>
              <w:szCs w:val="32"/>
            </w:rPr>
            <w:instrText xml:space="preserve"> PAGEREF _Toc13764 \h </w:instrText>
          </w:r>
          <w:r>
            <w:rPr>
              <w:color w:val="auto"/>
              <w:sz w:val="32"/>
              <w:szCs w:val="32"/>
            </w:rPr>
            <w:fldChar w:fldCharType="separate"/>
          </w:r>
          <w:r>
            <w:rPr>
              <w:color w:val="auto"/>
              <w:sz w:val="32"/>
              <w:szCs w:val="32"/>
            </w:rPr>
            <w:t>9</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_Toc22655 </w:instrText>
          </w:r>
          <w:r>
            <w:rPr>
              <w:color w:val="auto"/>
              <w:sz w:val="32"/>
              <w:szCs w:val="32"/>
            </w:rPr>
            <w:fldChar w:fldCharType="separate"/>
          </w:r>
          <w:r>
            <w:rPr>
              <w:rFonts w:hint="default" w:ascii="Times New Roman" w:hAnsi="Times New Roman" w:cs="Times New Roman"/>
              <w:color w:val="auto"/>
              <w:sz w:val="32"/>
              <w:szCs w:val="32"/>
            </w:rPr>
            <w:t xml:space="preserve">5.1 </w:t>
          </w:r>
          <w:r>
            <w:rPr>
              <w:rFonts w:hint="default" w:ascii="Times New Roman" w:hAnsi="Times New Roman" w:cs="Times New Roman"/>
              <w:color w:val="auto"/>
              <w:sz w:val="32"/>
              <w:szCs w:val="32"/>
              <w:highlight w:val="none"/>
            </w:rPr>
            <w:t>工作场所</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_Toc22655 \h </w:instrText>
          </w:r>
          <w:r>
            <w:rPr>
              <w:color w:val="auto"/>
              <w:sz w:val="32"/>
              <w:szCs w:val="32"/>
            </w:rPr>
            <w:fldChar w:fldCharType="separate"/>
          </w:r>
          <w:r>
            <w:rPr>
              <w:color w:val="auto"/>
              <w:sz w:val="32"/>
              <w:szCs w:val="32"/>
            </w:rPr>
            <w:t>9</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_Toc4406 </w:instrText>
          </w:r>
          <w:r>
            <w:rPr>
              <w:color w:val="auto"/>
              <w:sz w:val="32"/>
              <w:szCs w:val="32"/>
            </w:rPr>
            <w:fldChar w:fldCharType="separate"/>
          </w:r>
          <w:r>
            <w:rPr>
              <w:rFonts w:hint="eastAsia" w:ascii="Times New Roman" w:hAnsi="Times New Roman"/>
              <w:color w:val="auto"/>
              <w:sz w:val="32"/>
              <w:szCs w:val="32"/>
              <w:highlight w:val="none"/>
              <w:lang w:val="en-US" w:eastAsia="zh-CN"/>
            </w:rPr>
            <w:t>5.1.1要求</w:t>
          </w:r>
          <w:r>
            <w:rPr>
              <w:color w:val="auto"/>
              <w:sz w:val="32"/>
              <w:szCs w:val="32"/>
            </w:rPr>
            <w:tab/>
          </w:r>
          <w:r>
            <w:rPr>
              <w:color w:val="auto"/>
              <w:sz w:val="32"/>
              <w:szCs w:val="32"/>
            </w:rPr>
            <w:fldChar w:fldCharType="begin"/>
          </w:r>
          <w:r>
            <w:rPr>
              <w:color w:val="auto"/>
              <w:sz w:val="32"/>
              <w:szCs w:val="32"/>
            </w:rPr>
            <w:instrText xml:space="preserve"> PAGEREF _Toc4406 \h </w:instrText>
          </w:r>
          <w:r>
            <w:rPr>
              <w:color w:val="auto"/>
              <w:sz w:val="32"/>
              <w:szCs w:val="32"/>
            </w:rPr>
            <w:fldChar w:fldCharType="separate"/>
          </w:r>
          <w:r>
            <w:rPr>
              <w:color w:val="auto"/>
              <w:sz w:val="32"/>
              <w:szCs w:val="32"/>
            </w:rPr>
            <w:t>9</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_Toc2631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5.1.2判定指南</w:t>
          </w:r>
          <w:r>
            <w:rPr>
              <w:color w:val="auto"/>
              <w:sz w:val="32"/>
              <w:szCs w:val="32"/>
            </w:rPr>
            <w:tab/>
          </w:r>
          <w:r>
            <w:rPr>
              <w:color w:val="auto"/>
              <w:sz w:val="32"/>
              <w:szCs w:val="32"/>
            </w:rPr>
            <w:fldChar w:fldCharType="begin"/>
          </w:r>
          <w:r>
            <w:rPr>
              <w:color w:val="auto"/>
              <w:sz w:val="32"/>
              <w:szCs w:val="32"/>
            </w:rPr>
            <w:instrText xml:space="preserve"> PAGEREF _Toc2631 \h </w:instrText>
          </w:r>
          <w:r>
            <w:rPr>
              <w:color w:val="auto"/>
              <w:sz w:val="32"/>
              <w:szCs w:val="32"/>
            </w:rPr>
            <w:fldChar w:fldCharType="separate"/>
          </w:r>
          <w:r>
            <w:rPr>
              <w:color w:val="auto"/>
              <w:sz w:val="32"/>
              <w:szCs w:val="32"/>
            </w:rPr>
            <w:t>9</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_Toc25506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5.2</w:t>
          </w:r>
          <w:r>
            <w:rPr>
              <w:rFonts w:hint="default" w:ascii="Times New Roman" w:hAnsi="Times New Roman" w:cs="Times New Roman"/>
              <w:color w:val="auto"/>
              <w:sz w:val="32"/>
              <w:szCs w:val="32"/>
              <w:highlight w:val="none"/>
            </w:rPr>
            <w:t>场所区域设置</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_Toc25506 \h </w:instrText>
          </w:r>
          <w:r>
            <w:rPr>
              <w:color w:val="auto"/>
              <w:sz w:val="32"/>
              <w:szCs w:val="32"/>
            </w:rPr>
            <w:fldChar w:fldCharType="separate"/>
          </w:r>
          <w:r>
            <w:rPr>
              <w:color w:val="auto"/>
              <w:sz w:val="32"/>
              <w:szCs w:val="32"/>
            </w:rPr>
            <w:t>11</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_Toc16214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5.2.1要求</w:t>
          </w:r>
          <w:r>
            <w:rPr>
              <w:color w:val="auto"/>
              <w:sz w:val="32"/>
              <w:szCs w:val="32"/>
            </w:rPr>
            <w:tab/>
          </w:r>
          <w:r>
            <w:rPr>
              <w:color w:val="auto"/>
              <w:sz w:val="32"/>
              <w:szCs w:val="32"/>
            </w:rPr>
            <w:fldChar w:fldCharType="begin"/>
          </w:r>
          <w:r>
            <w:rPr>
              <w:color w:val="auto"/>
              <w:sz w:val="32"/>
              <w:szCs w:val="32"/>
            </w:rPr>
            <w:instrText xml:space="preserve"> PAGEREF _Toc16214 \h </w:instrText>
          </w:r>
          <w:r>
            <w:rPr>
              <w:color w:val="auto"/>
              <w:sz w:val="32"/>
              <w:szCs w:val="32"/>
            </w:rPr>
            <w:fldChar w:fldCharType="separate"/>
          </w:r>
          <w:r>
            <w:rPr>
              <w:color w:val="auto"/>
              <w:sz w:val="32"/>
              <w:szCs w:val="32"/>
            </w:rPr>
            <w:t>11</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_Toc5279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5.2.2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_Toc5279 \h </w:instrText>
          </w:r>
          <w:r>
            <w:rPr>
              <w:color w:val="auto"/>
              <w:sz w:val="32"/>
              <w:szCs w:val="32"/>
            </w:rPr>
            <w:fldChar w:fldCharType="separate"/>
          </w:r>
          <w:r>
            <w:rPr>
              <w:color w:val="auto"/>
              <w:sz w:val="32"/>
              <w:szCs w:val="32"/>
            </w:rPr>
            <w:t>12</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_Toc15497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5.3</w:t>
          </w:r>
          <w:r>
            <w:rPr>
              <w:rFonts w:hint="default" w:ascii="Times New Roman" w:hAnsi="Times New Roman" w:cs="Times New Roman"/>
              <w:color w:val="auto"/>
              <w:sz w:val="32"/>
              <w:szCs w:val="32"/>
              <w:highlight w:val="none"/>
            </w:rPr>
            <w:t>内部道路</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_Toc15497 \h </w:instrText>
          </w:r>
          <w:r>
            <w:rPr>
              <w:color w:val="auto"/>
              <w:sz w:val="32"/>
              <w:szCs w:val="32"/>
            </w:rPr>
            <w:fldChar w:fldCharType="separate"/>
          </w:r>
          <w:r>
            <w:rPr>
              <w:color w:val="auto"/>
              <w:sz w:val="32"/>
              <w:szCs w:val="32"/>
            </w:rPr>
            <w:t>12</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_Toc27307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5.3.1要求</w:t>
          </w:r>
          <w:r>
            <w:rPr>
              <w:color w:val="auto"/>
              <w:sz w:val="32"/>
              <w:szCs w:val="32"/>
            </w:rPr>
            <w:tab/>
          </w:r>
          <w:r>
            <w:rPr>
              <w:color w:val="auto"/>
              <w:sz w:val="32"/>
              <w:szCs w:val="32"/>
            </w:rPr>
            <w:fldChar w:fldCharType="begin"/>
          </w:r>
          <w:r>
            <w:rPr>
              <w:color w:val="auto"/>
              <w:sz w:val="32"/>
              <w:szCs w:val="32"/>
            </w:rPr>
            <w:instrText xml:space="preserve"> PAGEREF _Toc27307 \h </w:instrText>
          </w:r>
          <w:r>
            <w:rPr>
              <w:color w:val="auto"/>
              <w:sz w:val="32"/>
              <w:szCs w:val="32"/>
            </w:rPr>
            <w:fldChar w:fldCharType="separate"/>
          </w:r>
          <w:r>
            <w:rPr>
              <w:color w:val="auto"/>
              <w:sz w:val="32"/>
              <w:szCs w:val="32"/>
            </w:rPr>
            <w:t>12</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_Toc22295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5.3.2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_Toc22295 \h </w:instrText>
          </w:r>
          <w:r>
            <w:rPr>
              <w:color w:val="auto"/>
              <w:sz w:val="32"/>
              <w:szCs w:val="32"/>
            </w:rPr>
            <w:fldChar w:fldCharType="separate"/>
          </w:r>
          <w:r>
            <w:rPr>
              <w:color w:val="auto"/>
              <w:sz w:val="32"/>
              <w:szCs w:val="32"/>
            </w:rPr>
            <w:t>13</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_Toc13324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5.4</w:t>
          </w:r>
          <w:r>
            <w:rPr>
              <w:rFonts w:hint="default" w:ascii="Times New Roman" w:hAnsi="Times New Roman" w:cs="Times New Roman"/>
              <w:color w:val="auto"/>
              <w:sz w:val="32"/>
              <w:szCs w:val="32"/>
              <w:highlight w:val="none"/>
            </w:rPr>
            <w:t>车辆底盘部件检验场地、设施</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_Toc13324 \h </w:instrText>
          </w:r>
          <w:r>
            <w:rPr>
              <w:color w:val="auto"/>
              <w:sz w:val="32"/>
              <w:szCs w:val="32"/>
            </w:rPr>
            <w:fldChar w:fldCharType="separate"/>
          </w:r>
          <w:r>
            <w:rPr>
              <w:color w:val="auto"/>
              <w:sz w:val="32"/>
              <w:szCs w:val="32"/>
            </w:rPr>
            <w:t>14</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_Toc25199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5.4.1要求</w:t>
          </w:r>
          <w:r>
            <w:rPr>
              <w:color w:val="auto"/>
              <w:sz w:val="32"/>
              <w:szCs w:val="32"/>
            </w:rPr>
            <w:tab/>
          </w:r>
          <w:r>
            <w:rPr>
              <w:color w:val="auto"/>
              <w:sz w:val="32"/>
              <w:szCs w:val="32"/>
            </w:rPr>
            <w:fldChar w:fldCharType="begin"/>
          </w:r>
          <w:r>
            <w:rPr>
              <w:color w:val="auto"/>
              <w:sz w:val="32"/>
              <w:szCs w:val="32"/>
            </w:rPr>
            <w:instrText xml:space="preserve"> PAGEREF _Toc25199 \h </w:instrText>
          </w:r>
          <w:r>
            <w:rPr>
              <w:color w:val="auto"/>
              <w:sz w:val="32"/>
              <w:szCs w:val="32"/>
            </w:rPr>
            <w:fldChar w:fldCharType="separate"/>
          </w:r>
          <w:r>
            <w:rPr>
              <w:color w:val="auto"/>
              <w:sz w:val="32"/>
              <w:szCs w:val="32"/>
            </w:rPr>
            <w:t>14</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_Toc17331 </w:instrText>
          </w:r>
          <w:r>
            <w:rPr>
              <w:color w:val="auto"/>
              <w:sz w:val="32"/>
              <w:szCs w:val="32"/>
            </w:rPr>
            <w:fldChar w:fldCharType="separate"/>
          </w:r>
          <w:r>
            <w:rPr>
              <w:rFonts w:hint="default" w:ascii="Times New Roman" w:hAnsi="Times New Roman" w:cs="Times New Roman"/>
              <w:color w:val="auto"/>
              <w:sz w:val="32"/>
              <w:szCs w:val="32"/>
              <w:highlight w:val="none"/>
            </w:rPr>
            <w:t>5.4.</w:t>
          </w: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_Toc17331 \h </w:instrText>
          </w:r>
          <w:r>
            <w:rPr>
              <w:color w:val="auto"/>
              <w:sz w:val="32"/>
              <w:szCs w:val="32"/>
            </w:rPr>
            <w:fldChar w:fldCharType="separate"/>
          </w:r>
          <w:r>
            <w:rPr>
              <w:color w:val="auto"/>
              <w:sz w:val="32"/>
              <w:szCs w:val="32"/>
            </w:rPr>
            <w:t>14</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_Toc26130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5.5</w:t>
          </w:r>
          <w:r>
            <w:rPr>
              <w:rFonts w:hint="default" w:ascii="Times New Roman" w:hAnsi="Times New Roman" w:cs="Times New Roman"/>
              <w:color w:val="auto"/>
              <w:sz w:val="32"/>
              <w:szCs w:val="32"/>
              <w:highlight w:val="none"/>
            </w:rPr>
            <w:t>行车制动路试车道</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_Toc26130 \h </w:instrText>
          </w:r>
          <w:r>
            <w:rPr>
              <w:color w:val="auto"/>
              <w:sz w:val="32"/>
              <w:szCs w:val="32"/>
            </w:rPr>
            <w:fldChar w:fldCharType="separate"/>
          </w:r>
          <w:r>
            <w:rPr>
              <w:color w:val="auto"/>
              <w:sz w:val="32"/>
              <w:szCs w:val="32"/>
            </w:rPr>
            <w:t>14</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_Toc18979 </w:instrText>
          </w:r>
          <w:r>
            <w:rPr>
              <w:color w:val="auto"/>
              <w:sz w:val="32"/>
              <w:szCs w:val="32"/>
            </w:rPr>
            <w:fldChar w:fldCharType="separate"/>
          </w:r>
          <w:r>
            <w:rPr>
              <w:rFonts w:hint="default" w:ascii="Times New Roman" w:hAnsi="Times New Roman" w:cs="Times New Roman"/>
              <w:color w:val="auto"/>
              <w:sz w:val="32"/>
              <w:szCs w:val="32"/>
              <w:highlight w:val="none"/>
              <w:lang w:val="en-US" w:eastAsia="zh-CN"/>
            </w:rPr>
            <w:t>5.5.1要求</w:t>
          </w:r>
          <w:r>
            <w:rPr>
              <w:color w:val="auto"/>
              <w:sz w:val="32"/>
              <w:szCs w:val="32"/>
            </w:rPr>
            <w:tab/>
          </w:r>
          <w:r>
            <w:rPr>
              <w:color w:val="auto"/>
              <w:sz w:val="32"/>
              <w:szCs w:val="32"/>
            </w:rPr>
            <w:fldChar w:fldCharType="begin"/>
          </w:r>
          <w:r>
            <w:rPr>
              <w:color w:val="auto"/>
              <w:sz w:val="32"/>
              <w:szCs w:val="32"/>
            </w:rPr>
            <w:instrText xml:space="preserve"> PAGEREF _Toc18979 \h </w:instrText>
          </w:r>
          <w:r>
            <w:rPr>
              <w:color w:val="auto"/>
              <w:sz w:val="32"/>
              <w:szCs w:val="32"/>
            </w:rPr>
            <w:fldChar w:fldCharType="separate"/>
          </w:r>
          <w:r>
            <w:rPr>
              <w:color w:val="auto"/>
              <w:sz w:val="32"/>
              <w:szCs w:val="32"/>
            </w:rPr>
            <w:t>14</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_Toc9048 </w:instrText>
          </w:r>
          <w:r>
            <w:rPr>
              <w:color w:val="auto"/>
              <w:sz w:val="32"/>
              <w:szCs w:val="32"/>
            </w:rPr>
            <w:fldChar w:fldCharType="separate"/>
          </w:r>
          <w:r>
            <w:rPr>
              <w:rFonts w:hint="default" w:ascii="Times New Roman" w:hAnsi="Times New Roman" w:cs="Times New Roman"/>
              <w:color w:val="auto"/>
              <w:sz w:val="32"/>
              <w:szCs w:val="32"/>
              <w:highlight w:val="none"/>
            </w:rPr>
            <w:t>5.</w:t>
          </w:r>
          <w:r>
            <w:rPr>
              <w:rFonts w:hint="eastAsia"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_Toc9048 \h </w:instrText>
          </w:r>
          <w:r>
            <w:rPr>
              <w:color w:val="auto"/>
              <w:sz w:val="32"/>
              <w:szCs w:val="32"/>
            </w:rPr>
            <w:fldChar w:fldCharType="separate"/>
          </w:r>
          <w:r>
            <w:rPr>
              <w:color w:val="auto"/>
              <w:sz w:val="32"/>
              <w:szCs w:val="32"/>
            </w:rPr>
            <w:t>15</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_Toc4781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5.6</w:t>
          </w:r>
          <w:r>
            <w:rPr>
              <w:rFonts w:hint="default" w:ascii="Times New Roman" w:hAnsi="Times New Roman" w:cs="Times New Roman"/>
              <w:color w:val="auto"/>
              <w:sz w:val="32"/>
              <w:szCs w:val="32"/>
              <w:highlight w:val="none"/>
            </w:rPr>
            <w:t>驻车坡道</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_Toc4781 \h </w:instrText>
          </w:r>
          <w:r>
            <w:rPr>
              <w:color w:val="auto"/>
              <w:sz w:val="32"/>
              <w:szCs w:val="32"/>
            </w:rPr>
            <w:fldChar w:fldCharType="separate"/>
          </w:r>
          <w:r>
            <w:rPr>
              <w:color w:val="auto"/>
              <w:sz w:val="32"/>
              <w:szCs w:val="32"/>
            </w:rPr>
            <w:t>16</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_Toc29246 </w:instrText>
          </w:r>
          <w:r>
            <w:rPr>
              <w:color w:val="auto"/>
              <w:sz w:val="32"/>
              <w:szCs w:val="32"/>
            </w:rPr>
            <w:fldChar w:fldCharType="separate"/>
          </w:r>
          <w:r>
            <w:rPr>
              <w:rFonts w:hint="default" w:ascii="Times New Roman" w:hAnsi="Times New Roman" w:cs="Times New Roman"/>
              <w:color w:val="auto"/>
              <w:sz w:val="32"/>
              <w:szCs w:val="32"/>
              <w:highlight w:val="none"/>
              <w:lang w:val="en-US" w:eastAsia="zh-CN"/>
            </w:rPr>
            <w:t>5.6.1要求</w:t>
          </w:r>
          <w:r>
            <w:rPr>
              <w:color w:val="auto"/>
              <w:sz w:val="32"/>
              <w:szCs w:val="32"/>
            </w:rPr>
            <w:tab/>
          </w:r>
          <w:r>
            <w:rPr>
              <w:color w:val="auto"/>
              <w:sz w:val="32"/>
              <w:szCs w:val="32"/>
            </w:rPr>
            <w:fldChar w:fldCharType="begin"/>
          </w:r>
          <w:r>
            <w:rPr>
              <w:color w:val="auto"/>
              <w:sz w:val="32"/>
              <w:szCs w:val="32"/>
            </w:rPr>
            <w:instrText xml:space="preserve"> PAGEREF _Toc29246 \h </w:instrText>
          </w:r>
          <w:r>
            <w:rPr>
              <w:color w:val="auto"/>
              <w:sz w:val="32"/>
              <w:szCs w:val="32"/>
            </w:rPr>
            <w:fldChar w:fldCharType="separate"/>
          </w:r>
          <w:r>
            <w:rPr>
              <w:color w:val="auto"/>
              <w:sz w:val="32"/>
              <w:szCs w:val="32"/>
            </w:rPr>
            <w:t>16</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_Toc12167 </w:instrText>
          </w:r>
          <w:r>
            <w:rPr>
              <w:color w:val="auto"/>
              <w:sz w:val="32"/>
              <w:szCs w:val="32"/>
            </w:rPr>
            <w:fldChar w:fldCharType="separate"/>
          </w:r>
          <w:r>
            <w:rPr>
              <w:rFonts w:hint="default" w:ascii="Times New Roman" w:hAnsi="Times New Roman" w:cs="Times New Roman"/>
              <w:color w:val="auto"/>
              <w:sz w:val="32"/>
              <w:szCs w:val="32"/>
              <w:highlight w:val="none"/>
            </w:rPr>
            <w:t>5.</w:t>
          </w:r>
          <w:r>
            <w:rPr>
              <w:rFonts w:hint="eastAsia" w:ascii="Times New Roman" w:hAnsi="Times New Roman" w:cs="Times New Roman"/>
              <w:color w:val="auto"/>
              <w:sz w:val="32"/>
              <w:szCs w:val="32"/>
              <w:highlight w:val="none"/>
              <w:lang w:val="en-US" w:eastAsia="zh-CN"/>
            </w:rPr>
            <w:t>6</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_Toc12167 \h </w:instrText>
          </w:r>
          <w:r>
            <w:rPr>
              <w:color w:val="auto"/>
              <w:sz w:val="32"/>
              <w:szCs w:val="32"/>
            </w:rPr>
            <w:fldChar w:fldCharType="separate"/>
          </w:r>
          <w:r>
            <w:rPr>
              <w:color w:val="auto"/>
              <w:sz w:val="32"/>
              <w:szCs w:val="32"/>
            </w:rPr>
            <w:t>17</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_Toc30121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5.7</w:t>
          </w:r>
          <w:r>
            <w:rPr>
              <w:rFonts w:hint="default" w:ascii="Times New Roman" w:hAnsi="Times New Roman" w:cs="Times New Roman"/>
              <w:color w:val="auto"/>
              <w:sz w:val="32"/>
              <w:szCs w:val="32"/>
              <w:highlight w:val="none"/>
            </w:rPr>
            <w:t>底盘动态检验区</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_Toc30121 \h </w:instrText>
          </w:r>
          <w:r>
            <w:rPr>
              <w:color w:val="auto"/>
              <w:sz w:val="32"/>
              <w:szCs w:val="32"/>
            </w:rPr>
            <w:fldChar w:fldCharType="separate"/>
          </w:r>
          <w:r>
            <w:rPr>
              <w:color w:val="auto"/>
              <w:sz w:val="32"/>
              <w:szCs w:val="32"/>
            </w:rPr>
            <w:t>18</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_Toc13181 </w:instrText>
          </w:r>
          <w:r>
            <w:rPr>
              <w:color w:val="auto"/>
              <w:sz w:val="32"/>
              <w:szCs w:val="32"/>
            </w:rPr>
            <w:fldChar w:fldCharType="separate"/>
          </w:r>
          <w:r>
            <w:rPr>
              <w:rFonts w:hint="default" w:ascii="Times New Roman" w:hAnsi="Times New Roman"/>
              <w:color w:val="auto"/>
              <w:sz w:val="32"/>
              <w:szCs w:val="32"/>
              <w:highlight w:val="none"/>
              <w:lang w:val="en-US" w:eastAsia="zh-CN"/>
            </w:rPr>
            <w:t>5.7.1</w:t>
          </w:r>
          <w:r>
            <w:rPr>
              <w:rFonts w:hint="default" w:ascii="Times New Roman" w:hAnsi="Times New Roman" w:cs="Times New Roman"/>
              <w:color w:val="auto"/>
              <w:sz w:val="32"/>
              <w:szCs w:val="32"/>
              <w:highlight w:val="none"/>
              <w:lang w:val="en-US" w:eastAsia="zh-CN"/>
            </w:rPr>
            <w:t>要求</w:t>
          </w:r>
          <w:r>
            <w:rPr>
              <w:color w:val="auto"/>
              <w:sz w:val="32"/>
              <w:szCs w:val="32"/>
            </w:rPr>
            <w:tab/>
          </w:r>
          <w:r>
            <w:rPr>
              <w:color w:val="auto"/>
              <w:sz w:val="32"/>
              <w:szCs w:val="32"/>
            </w:rPr>
            <w:fldChar w:fldCharType="begin"/>
          </w:r>
          <w:r>
            <w:rPr>
              <w:color w:val="auto"/>
              <w:sz w:val="32"/>
              <w:szCs w:val="32"/>
            </w:rPr>
            <w:instrText xml:space="preserve"> PAGEREF _Toc13181 \h </w:instrText>
          </w:r>
          <w:r>
            <w:rPr>
              <w:color w:val="auto"/>
              <w:sz w:val="32"/>
              <w:szCs w:val="32"/>
            </w:rPr>
            <w:fldChar w:fldCharType="separate"/>
          </w:r>
          <w:r>
            <w:rPr>
              <w:color w:val="auto"/>
              <w:sz w:val="32"/>
              <w:szCs w:val="32"/>
            </w:rPr>
            <w:t>18</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_Toc27334 </w:instrText>
          </w:r>
          <w:r>
            <w:rPr>
              <w:color w:val="auto"/>
              <w:sz w:val="32"/>
              <w:szCs w:val="32"/>
            </w:rPr>
            <w:fldChar w:fldCharType="separate"/>
          </w:r>
          <w:r>
            <w:rPr>
              <w:rFonts w:hint="default" w:ascii="Times New Roman" w:hAnsi="Times New Roman" w:cs="Times New Roman"/>
              <w:color w:val="auto"/>
              <w:sz w:val="32"/>
              <w:szCs w:val="32"/>
              <w:highlight w:val="none"/>
            </w:rPr>
            <w:t>5.</w:t>
          </w:r>
          <w:r>
            <w:rPr>
              <w:rFonts w:hint="eastAsia" w:ascii="Times New Roman" w:hAnsi="Times New Roman" w:cs="Times New Roman"/>
              <w:color w:val="auto"/>
              <w:sz w:val="32"/>
              <w:szCs w:val="32"/>
              <w:highlight w:val="none"/>
              <w:lang w:val="en-US" w:eastAsia="zh-CN"/>
            </w:rPr>
            <w:t>7</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_Toc27334 \h </w:instrText>
          </w:r>
          <w:r>
            <w:rPr>
              <w:color w:val="auto"/>
              <w:sz w:val="32"/>
              <w:szCs w:val="32"/>
            </w:rPr>
            <w:fldChar w:fldCharType="separate"/>
          </w:r>
          <w:r>
            <w:rPr>
              <w:color w:val="auto"/>
              <w:sz w:val="32"/>
              <w:szCs w:val="32"/>
            </w:rPr>
            <w:t>18</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_Toc20047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5.8</w:t>
          </w:r>
          <w:r>
            <w:rPr>
              <w:rFonts w:hint="default" w:ascii="Times New Roman" w:hAnsi="Times New Roman" w:cs="Times New Roman"/>
              <w:color w:val="auto"/>
              <w:sz w:val="32"/>
              <w:szCs w:val="32"/>
              <w:highlight w:val="none"/>
            </w:rPr>
            <w:t>停车场</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_Toc20047 \h </w:instrText>
          </w:r>
          <w:r>
            <w:rPr>
              <w:color w:val="auto"/>
              <w:sz w:val="32"/>
              <w:szCs w:val="32"/>
            </w:rPr>
            <w:fldChar w:fldCharType="separate"/>
          </w:r>
          <w:r>
            <w:rPr>
              <w:color w:val="auto"/>
              <w:sz w:val="32"/>
              <w:szCs w:val="32"/>
            </w:rPr>
            <w:t>20</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_Toc13425 </w:instrText>
          </w:r>
          <w:r>
            <w:rPr>
              <w:color w:val="auto"/>
              <w:sz w:val="32"/>
              <w:szCs w:val="32"/>
            </w:rPr>
            <w:fldChar w:fldCharType="separate"/>
          </w:r>
          <w:r>
            <w:rPr>
              <w:rFonts w:hint="default" w:ascii="Times New Roman" w:hAnsi="Times New Roman" w:cs="Times New Roman"/>
              <w:color w:val="auto"/>
              <w:sz w:val="32"/>
              <w:szCs w:val="32"/>
              <w:highlight w:val="none"/>
              <w:lang w:val="en-US" w:eastAsia="zh-CN"/>
            </w:rPr>
            <w:t>5.8.1要求</w:t>
          </w:r>
          <w:r>
            <w:rPr>
              <w:color w:val="auto"/>
              <w:sz w:val="32"/>
              <w:szCs w:val="32"/>
            </w:rPr>
            <w:tab/>
          </w:r>
          <w:r>
            <w:rPr>
              <w:color w:val="auto"/>
              <w:sz w:val="32"/>
              <w:szCs w:val="32"/>
            </w:rPr>
            <w:fldChar w:fldCharType="begin"/>
          </w:r>
          <w:r>
            <w:rPr>
              <w:color w:val="auto"/>
              <w:sz w:val="32"/>
              <w:szCs w:val="32"/>
            </w:rPr>
            <w:instrText xml:space="preserve"> PAGEREF _Toc13425 \h </w:instrText>
          </w:r>
          <w:r>
            <w:rPr>
              <w:color w:val="auto"/>
              <w:sz w:val="32"/>
              <w:szCs w:val="32"/>
            </w:rPr>
            <w:fldChar w:fldCharType="separate"/>
          </w:r>
          <w:r>
            <w:rPr>
              <w:color w:val="auto"/>
              <w:sz w:val="32"/>
              <w:szCs w:val="32"/>
            </w:rPr>
            <w:t>20</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_Toc2311 </w:instrText>
          </w:r>
          <w:r>
            <w:rPr>
              <w:color w:val="auto"/>
              <w:sz w:val="32"/>
              <w:szCs w:val="32"/>
            </w:rPr>
            <w:fldChar w:fldCharType="separate"/>
          </w:r>
          <w:r>
            <w:rPr>
              <w:rFonts w:hint="default" w:ascii="Times New Roman" w:hAnsi="Times New Roman" w:cs="Times New Roman"/>
              <w:color w:val="auto"/>
              <w:sz w:val="32"/>
              <w:szCs w:val="32"/>
              <w:highlight w:val="none"/>
            </w:rPr>
            <w:t>5.</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_Toc2311 \h </w:instrText>
          </w:r>
          <w:r>
            <w:rPr>
              <w:color w:val="auto"/>
              <w:sz w:val="32"/>
              <w:szCs w:val="32"/>
            </w:rPr>
            <w:fldChar w:fldCharType="separate"/>
          </w:r>
          <w:r>
            <w:rPr>
              <w:color w:val="auto"/>
              <w:sz w:val="32"/>
              <w:szCs w:val="32"/>
            </w:rPr>
            <w:t>20</w:t>
          </w:r>
          <w:r>
            <w:rPr>
              <w:color w:val="auto"/>
              <w:sz w:val="32"/>
              <w:szCs w:val="32"/>
            </w:rPr>
            <w:fldChar w:fldCharType="end"/>
          </w:r>
          <w:r>
            <w:rPr>
              <w:color w:val="auto"/>
              <w:sz w:val="32"/>
              <w:szCs w:val="32"/>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_Toc2757 </w:instrText>
          </w:r>
          <w:r>
            <w:rPr>
              <w:color w:val="auto"/>
              <w:sz w:val="32"/>
              <w:szCs w:val="32"/>
            </w:rPr>
            <w:fldChar w:fldCharType="separate"/>
          </w:r>
          <w:r>
            <w:rPr>
              <w:rFonts w:hint="default" w:ascii="Times New Roman" w:hAnsi="Times New Roman" w:cs="Times New Roman"/>
              <w:color w:val="auto"/>
              <w:sz w:val="32"/>
              <w:szCs w:val="32"/>
            </w:rPr>
            <w:t xml:space="preserve">6 </w:t>
          </w:r>
          <w:r>
            <w:rPr>
              <w:rFonts w:hint="default" w:ascii="Times New Roman" w:hAnsi="Times New Roman" w:cs="Times New Roman"/>
              <w:color w:val="auto"/>
              <w:sz w:val="32"/>
              <w:szCs w:val="32"/>
              <w:highlight w:val="none"/>
            </w:rPr>
            <w:t>仪器设备</w:t>
          </w:r>
          <w:r>
            <w:rPr>
              <w:color w:val="auto"/>
              <w:sz w:val="32"/>
              <w:szCs w:val="32"/>
            </w:rPr>
            <w:tab/>
          </w:r>
          <w:r>
            <w:rPr>
              <w:color w:val="auto"/>
              <w:sz w:val="32"/>
              <w:szCs w:val="32"/>
            </w:rPr>
            <w:fldChar w:fldCharType="begin"/>
          </w:r>
          <w:r>
            <w:rPr>
              <w:color w:val="auto"/>
              <w:sz w:val="32"/>
              <w:szCs w:val="32"/>
            </w:rPr>
            <w:instrText xml:space="preserve"> PAGEREF _Toc2757 \h </w:instrText>
          </w:r>
          <w:r>
            <w:rPr>
              <w:color w:val="auto"/>
              <w:sz w:val="32"/>
              <w:szCs w:val="32"/>
            </w:rPr>
            <w:fldChar w:fldCharType="separate"/>
          </w:r>
          <w:r>
            <w:rPr>
              <w:color w:val="auto"/>
              <w:sz w:val="32"/>
              <w:szCs w:val="32"/>
            </w:rPr>
            <w:t>20</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_Toc2488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6.1</w:t>
          </w:r>
          <w:r>
            <w:rPr>
              <w:rFonts w:hint="default" w:ascii="Times New Roman" w:hAnsi="Times New Roman" w:cs="Times New Roman"/>
              <w:color w:val="auto"/>
              <w:sz w:val="32"/>
              <w:szCs w:val="32"/>
              <w:highlight w:val="none"/>
            </w:rPr>
            <w:t>仪器设备配备</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_Toc2488 \h </w:instrText>
          </w:r>
          <w:r>
            <w:rPr>
              <w:color w:val="auto"/>
              <w:sz w:val="32"/>
              <w:szCs w:val="32"/>
            </w:rPr>
            <w:fldChar w:fldCharType="separate"/>
          </w:r>
          <w:r>
            <w:rPr>
              <w:color w:val="auto"/>
              <w:sz w:val="32"/>
              <w:szCs w:val="32"/>
            </w:rPr>
            <w:t>20</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_Toc14409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6.1.1要求</w:t>
          </w:r>
          <w:r>
            <w:rPr>
              <w:color w:val="auto"/>
              <w:sz w:val="32"/>
              <w:szCs w:val="32"/>
            </w:rPr>
            <w:tab/>
          </w:r>
          <w:r>
            <w:rPr>
              <w:color w:val="auto"/>
              <w:sz w:val="32"/>
              <w:szCs w:val="32"/>
            </w:rPr>
            <w:fldChar w:fldCharType="begin"/>
          </w:r>
          <w:r>
            <w:rPr>
              <w:color w:val="auto"/>
              <w:sz w:val="32"/>
              <w:szCs w:val="32"/>
            </w:rPr>
            <w:instrText xml:space="preserve"> PAGEREF _Toc14409 \h </w:instrText>
          </w:r>
          <w:r>
            <w:rPr>
              <w:color w:val="auto"/>
              <w:sz w:val="32"/>
              <w:szCs w:val="32"/>
            </w:rPr>
            <w:fldChar w:fldCharType="separate"/>
          </w:r>
          <w:r>
            <w:rPr>
              <w:color w:val="auto"/>
              <w:sz w:val="32"/>
              <w:szCs w:val="32"/>
            </w:rPr>
            <w:t>20</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_Toc17036 </w:instrText>
          </w:r>
          <w:r>
            <w:rPr>
              <w:color w:val="auto"/>
              <w:sz w:val="32"/>
              <w:szCs w:val="32"/>
            </w:rPr>
            <w:fldChar w:fldCharType="separate"/>
          </w:r>
          <w:r>
            <w:rPr>
              <w:rFonts w:hint="default" w:ascii="Times New Roman" w:hAnsi="Times New Roman" w:cs="Times New Roman"/>
              <w:color w:val="auto"/>
              <w:sz w:val="32"/>
              <w:szCs w:val="32"/>
              <w:highlight w:val="none"/>
            </w:rPr>
            <w:t>6.1.</w:t>
          </w: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_Toc17036 \h </w:instrText>
          </w:r>
          <w:r>
            <w:rPr>
              <w:color w:val="auto"/>
              <w:sz w:val="32"/>
              <w:szCs w:val="32"/>
            </w:rPr>
            <w:fldChar w:fldCharType="separate"/>
          </w:r>
          <w:r>
            <w:rPr>
              <w:color w:val="auto"/>
              <w:sz w:val="32"/>
              <w:szCs w:val="32"/>
            </w:rPr>
            <w:t>21</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_Toc22862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6.2</w:t>
          </w:r>
          <w:r>
            <w:rPr>
              <w:rFonts w:hint="default" w:ascii="Times New Roman" w:hAnsi="Times New Roman" w:cs="Times New Roman"/>
              <w:color w:val="auto"/>
              <w:sz w:val="32"/>
              <w:szCs w:val="32"/>
              <w:highlight w:val="none"/>
            </w:rPr>
            <w:t>仪器设备管理</w:t>
          </w:r>
          <w:r>
            <w:rPr>
              <w:rFonts w:hint="eastAsia" w:ascii="Times New Roman" w:hAnsi="Times New Roman" w:cs="Times New Roman"/>
              <w:color w:val="auto"/>
              <w:sz w:val="32"/>
              <w:szCs w:val="32"/>
              <w:highlight w:val="none"/>
              <w:lang w:val="en-US" w:eastAsia="zh-CN"/>
            </w:rPr>
            <w:t>要求</w:t>
          </w:r>
          <w:r>
            <w:rPr>
              <w:rFonts w:hint="default" w:ascii="Times New Roman" w:hAnsi="Times New Roman" w:cs="Times New Roman"/>
              <w:color w:val="auto"/>
              <w:sz w:val="32"/>
              <w:szCs w:val="32"/>
              <w:highlight w:val="none"/>
            </w:rPr>
            <w:t>及判定指南</w:t>
          </w:r>
          <w:r>
            <w:rPr>
              <w:color w:val="auto"/>
              <w:sz w:val="32"/>
              <w:szCs w:val="32"/>
            </w:rPr>
            <w:tab/>
          </w:r>
          <w:r>
            <w:rPr>
              <w:color w:val="auto"/>
              <w:sz w:val="32"/>
              <w:szCs w:val="32"/>
            </w:rPr>
            <w:fldChar w:fldCharType="begin"/>
          </w:r>
          <w:r>
            <w:rPr>
              <w:color w:val="auto"/>
              <w:sz w:val="32"/>
              <w:szCs w:val="32"/>
            </w:rPr>
            <w:instrText xml:space="preserve"> PAGEREF _Toc22862 \h </w:instrText>
          </w:r>
          <w:r>
            <w:rPr>
              <w:color w:val="auto"/>
              <w:sz w:val="32"/>
              <w:szCs w:val="32"/>
            </w:rPr>
            <w:fldChar w:fldCharType="separate"/>
          </w:r>
          <w:r>
            <w:rPr>
              <w:color w:val="auto"/>
              <w:sz w:val="32"/>
              <w:szCs w:val="32"/>
            </w:rPr>
            <w:t>23</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_Toc19990 </w:instrText>
          </w:r>
          <w:r>
            <w:rPr>
              <w:color w:val="auto"/>
              <w:sz w:val="32"/>
              <w:szCs w:val="32"/>
            </w:rPr>
            <w:fldChar w:fldCharType="separate"/>
          </w:r>
          <w:r>
            <w:rPr>
              <w:rFonts w:hint="eastAsia" w:ascii="Times New Roman" w:hAnsi="Times New Roman" w:cs="Times New Roman"/>
              <w:color w:val="auto"/>
              <w:sz w:val="32"/>
              <w:szCs w:val="32"/>
              <w:highlight w:val="none"/>
              <w:lang w:val="en-US" w:eastAsia="zh-CN"/>
            </w:rPr>
            <w:t>6.2.1要求</w:t>
          </w:r>
          <w:r>
            <w:rPr>
              <w:color w:val="auto"/>
              <w:sz w:val="32"/>
              <w:szCs w:val="32"/>
            </w:rPr>
            <w:tab/>
          </w:r>
          <w:r>
            <w:rPr>
              <w:color w:val="auto"/>
              <w:sz w:val="32"/>
              <w:szCs w:val="32"/>
            </w:rPr>
            <w:fldChar w:fldCharType="begin"/>
          </w:r>
          <w:r>
            <w:rPr>
              <w:color w:val="auto"/>
              <w:sz w:val="32"/>
              <w:szCs w:val="32"/>
            </w:rPr>
            <w:instrText xml:space="preserve"> PAGEREF _Toc19990 \h </w:instrText>
          </w:r>
          <w:r>
            <w:rPr>
              <w:color w:val="auto"/>
              <w:sz w:val="32"/>
              <w:szCs w:val="32"/>
            </w:rPr>
            <w:fldChar w:fldCharType="separate"/>
          </w:r>
          <w:r>
            <w:rPr>
              <w:color w:val="auto"/>
              <w:sz w:val="32"/>
              <w:szCs w:val="32"/>
            </w:rPr>
            <w:t>23</w:t>
          </w:r>
          <w:r>
            <w:rPr>
              <w:color w:val="auto"/>
              <w:sz w:val="32"/>
              <w:szCs w:val="32"/>
            </w:rPr>
            <w:fldChar w:fldCharType="end"/>
          </w:r>
          <w:r>
            <w:rPr>
              <w:color w:val="auto"/>
              <w:sz w:val="32"/>
              <w:szCs w:val="32"/>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_Toc30591 </w:instrText>
          </w:r>
          <w:r>
            <w:rPr>
              <w:color w:val="auto"/>
              <w:sz w:val="32"/>
              <w:szCs w:val="32"/>
            </w:rPr>
            <w:fldChar w:fldCharType="separate"/>
          </w:r>
          <w:r>
            <w:rPr>
              <w:rFonts w:hint="default" w:ascii="Times New Roman" w:hAnsi="Times New Roman" w:cs="Times New Roman"/>
              <w:color w:val="auto"/>
              <w:sz w:val="32"/>
              <w:szCs w:val="32"/>
              <w:highlight w:val="none"/>
            </w:rPr>
            <w:t>6.2.</w:t>
          </w: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_Toc30591 \h </w:instrText>
          </w:r>
          <w:r>
            <w:rPr>
              <w:color w:val="auto"/>
              <w:sz w:val="32"/>
              <w:szCs w:val="32"/>
            </w:rPr>
            <w:fldChar w:fldCharType="separate"/>
          </w:r>
          <w:r>
            <w:rPr>
              <w:color w:val="auto"/>
              <w:sz w:val="32"/>
              <w:szCs w:val="32"/>
            </w:rPr>
            <w:t>24</w:t>
          </w:r>
          <w:r>
            <w:rPr>
              <w:color w:val="auto"/>
              <w:sz w:val="32"/>
              <w:szCs w:val="32"/>
            </w:rPr>
            <w:fldChar w:fldCharType="end"/>
          </w:r>
          <w:r>
            <w:rPr>
              <w:color w:val="auto"/>
              <w:sz w:val="32"/>
              <w:szCs w:val="32"/>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_Toc2870 </w:instrText>
          </w:r>
          <w:r>
            <w:rPr>
              <w:color w:val="auto"/>
              <w:sz w:val="32"/>
              <w:szCs w:val="32"/>
            </w:rPr>
            <w:fldChar w:fldCharType="separate"/>
          </w:r>
          <w:r>
            <w:rPr>
              <w:rFonts w:hint="default" w:ascii="Times New Roman" w:hAnsi="Times New Roman" w:cs="Times New Roman"/>
              <w:color w:val="auto"/>
              <w:sz w:val="32"/>
              <w:szCs w:val="32"/>
            </w:rPr>
            <w:t xml:space="preserve">7 </w:t>
          </w:r>
          <w:r>
            <w:rPr>
              <w:rFonts w:hint="default" w:ascii="Times New Roman" w:hAnsi="Times New Roman" w:cs="Times New Roman"/>
              <w:color w:val="auto"/>
              <w:sz w:val="32"/>
              <w:szCs w:val="32"/>
              <w:highlight w:val="none"/>
            </w:rPr>
            <w:t>管理体系</w:t>
          </w:r>
          <w:r>
            <w:rPr>
              <w:color w:val="auto"/>
              <w:sz w:val="32"/>
              <w:szCs w:val="32"/>
            </w:rPr>
            <w:tab/>
          </w:r>
          <w:r>
            <w:rPr>
              <w:color w:val="auto"/>
              <w:sz w:val="32"/>
              <w:szCs w:val="32"/>
            </w:rPr>
            <w:fldChar w:fldCharType="begin"/>
          </w:r>
          <w:r>
            <w:rPr>
              <w:color w:val="auto"/>
              <w:sz w:val="32"/>
              <w:szCs w:val="32"/>
            </w:rPr>
            <w:instrText xml:space="preserve"> PAGEREF _Toc2870 \h </w:instrText>
          </w:r>
          <w:r>
            <w:rPr>
              <w:color w:val="auto"/>
              <w:sz w:val="32"/>
              <w:szCs w:val="32"/>
            </w:rPr>
            <w:fldChar w:fldCharType="separate"/>
          </w:r>
          <w:r>
            <w:rPr>
              <w:color w:val="auto"/>
              <w:sz w:val="32"/>
              <w:szCs w:val="32"/>
            </w:rPr>
            <w:t>28</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_Toc27312 </w:instrText>
          </w:r>
          <w:r>
            <w:rPr>
              <w:color w:val="auto"/>
              <w:sz w:val="32"/>
              <w:szCs w:val="32"/>
            </w:rPr>
            <w:fldChar w:fldCharType="separate"/>
          </w:r>
          <w:r>
            <w:rPr>
              <w:rFonts w:hint="default" w:ascii="Times New Roman" w:hAnsi="Times New Roman" w:cs="Times New Roman"/>
              <w:color w:val="auto"/>
              <w:sz w:val="32"/>
              <w:szCs w:val="32"/>
              <w:highlight w:val="none"/>
            </w:rPr>
            <w:t>7.1</w:t>
          </w:r>
          <w:r>
            <w:rPr>
              <w:rFonts w:hint="eastAsia" w:ascii="Times New Roman" w:hAnsi="Times New Roman" w:cs="Times New Roman"/>
              <w:color w:val="auto"/>
              <w:sz w:val="32"/>
              <w:szCs w:val="32"/>
              <w:highlight w:val="none"/>
              <w:lang w:val="en-US" w:eastAsia="zh-CN"/>
            </w:rPr>
            <w:t>相关</w:t>
          </w:r>
          <w:r>
            <w:rPr>
              <w:rFonts w:hint="eastAsia"/>
              <w:color w:val="auto"/>
              <w:sz w:val="32"/>
              <w:szCs w:val="32"/>
              <w:lang w:val="en-US" w:eastAsia="zh-CN"/>
            </w:rPr>
            <w:t>要求</w:t>
          </w:r>
          <w:r>
            <w:rPr>
              <w:color w:val="auto"/>
              <w:sz w:val="32"/>
              <w:szCs w:val="32"/>
            </w:rPr>
            <w:tab/>
          </w:r>
          <w:r>
            <w:rPr>
              <w:color w:val="auto"/>
              <w:sz w:val="32"/>
              <w:szCs w:val="32"/>
            </w:rPr>
            <w:fldChar w:fldCharType="begin"/>
          </w:r>
          <w:r>
            <w:rPr>
              <w:color w:val="auto"/>
              <w:sz w:val="32"/>
              <w:szCs w:val="32"/>
            </w:rPr>
            <w:instrText xml:space="preserve"> PAGEREF _Toc27312 \h </w:instrText>
          </w:r>
          <w:r>
            <w:rPr>
              <w:color w:val="auto"/>
              <w:sz w:val="32"/>
              <w:szCs w:val="32"/>
            </w:rPr>
            <w:fldChar w:fldCharType="separate"/>
          </w:r>
          <w:r>
            <w:rPr>
              <w:color w:val="auto"/>
              <w:sz w:val="32"/>
              <w:szCs w:val="32"/>
            </w:rPr>
            <w:t>28</w:t>
          </w:r>
          <w:r>
            <w:rPr>
              <w:color w:val="auto"/>
              <w:sz w:val="32"/>
              <w:szCs w:val="32"/>
            </w:rPr>
            <w:fldChar w:fldCharType="end"/>
          </w:r>
          <w:r>
            <w:rPr>
              <w:color w:val="auto"/>
              <w:sz w:val="32"/>
              <w:szCs w:val="32"/>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520" w:lineRule="exact"/>
            <w:textAlignment w:val="auto"/>
            <w:rPr>
              <w:color w:val="auto"/>
              <w:sz w:val="32"/>
              <w:szCs w:val="32"/>
            </w:rPr>
          </w:pPr>
          <w:r>
            <w:rPr>
              <w:color w:val="auto"/>
              <w:sz w:val="32"/>
              <w:szCs w:val="32"/>
            </w:rPr>
            <w:fldChar w:fldCharType="begin"/>
          </w:r>
          <w:r>
            <w:rPr>
              <w:color w:val="auto"/>
              <w:sz w:val="32"/>
              <w:szCs w:val="32"/>
            </w:rPr>
            <w:instrText xml:space="preserve"> HYPERLINK \l _Toc23825 </w:instrText>
          </w:r>
          <w:r>
            <w:rPr>
              <w:color w:val="auto"/>
              <w:sz w:val="32"/>
              <w:szCs w:val="32"/>
            </w:rPr>
            <w:fldChar w:fldCharType="separate"/>
          </w:r>
          <w:r>
            <w:rPr>
              <w:rFonts w:hint="default" w:ascii="Times New Roman" w:hAnsi="Times New Roman" w:cs="Times New Roman"/>
              <w:color w:val="auto"/>
              <w:sz w:val="32"/>
              <w:szCs w:val="32"/>
              <w:highlight w:val="none"/>
            </w:rPr>
            <w:t>7.</w:t>
          </w: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判定指南</w:t>
          </w:r>
          <w:r>
            <w:rPr>
              <w:color w:val="auto"/>
              <w:sz w:val="32"/>
              <w:szCs w:val="32"/>
            </w:rPr>
            <w:tab/>
          </w:r>
          <w:r>
            <w:rPr>
              <w:color w:val="auto"/>
              <w:sz w:val="32"/>
              <w:szCs w:val="32"/>
            </w:rPr>
            <w:fldChar w:fldCharType="begin"/>
          </w:r>
          <w:r>
            <w:rPr>
              <w:color w:val="auto"/>
              <w:sz w:val="32"/>
              <w:szCs w:val="32"/>
            </w:rPr>
            <w:instrText xml:space="preserve"> PAGEREF _Toc23825 \h </w:instrText>
          </w:r>
          <w:r>
            <w:rPr>
              <w:color w:val="auto"/>
              <w:sz w:val="32"/>
              <w:szCs w:val="32"/>
            </w:rPr>
            <w:fldChar w:fldCharType="separate"/>
          </w:r>
          <w:r>
            <w:rPr>
              <w:color w:val="auto"/>
              <w:sz w:val="32"/>
              <w:szCs w:val="32"/>
            </w:rPr>
            <w:t>28</w:t>
          </w:r>
          <w:r>
            <w:rPr>
              <w:color w:val="auto"/>
              <w:sz w:val="32"/>
              <w:szCs w:val="32"/>
            </w:rPr>
            <w:fldChar w:fldCharType="end"/>
          </w:r>
          <w:r>
            <w:rPr>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方正仿宋_GB2312" w:eastAsia="方正仿宋_GB2312" w:hAnsiTheme="minorHAnsi" w:cstheme="minorBidi"/>
              <w:color w:val="auto"/>
              <w:kern w:val="2"/>
              <w:sz w:val="32"/>
              <w:szCs w:val="24"/>
              <w:lang w:val="en-US" w:eastAsia="zh-CN" w:bidi="ar-SA"/>
            </w:rPr>
          </w:pPr>
          <w:r>
            <w:rPr>
              <w:color w:val="auto"/>
              <w:sz w:val="32"/>
              <w:szCs w:val="32"/>
            </w:rPr>
            <w:fldChar w:fldCharType="end"/>
          </w:r>
        </w:p>
      </w:sdtContent>
    </w:sdt>
    <w:p>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p>
      <w:pPr>
        <w:pStyle w:val="14"/>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新疆维吾尔自治区机动车检验机构资质认定</w:t>
      </w:r>
    </w:p>
    <w:p>
      <w:pPr>
        <w:pStyle w:val="14"/>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评审工作指南</w:t>
      </w:r>
    </w:p>
    <w:p>
      <w:pPr>
        <w:pStyle w:val="12"/>
        <w:outlineLvl w:val="9"/>
        <w:rPr>
          <w:rFonts w:hint="default" w:ascii="Times New Roman" w:hAnsi="Times New Roman" w:eastAsia="方正小标宋简体" w:cs="Times New Roman"/>
          <w:color w:val="auto"/>
          <w:kern w:val="0"/>
          <w:sz w:val="44"/>
          <w:szCs w:val="44"/>
          <w:highlight w:val="none"/>
        </w:rPr>
      </w:pPr>
    </w:p>
    <w:p>
      <w:pPr>
        <w:keepNext w:val="0"/>
        <w:keepLines w:val="0"/>
        <w:pageBreakBefore w:val="0"/>
        <w:widowControl w:val="0"/>
        <w:kinsoku/>
        <w:overflowPunct/>
        <w:topLinePunct w:val="0"/>
        <w:bidi w:val="0"/>
        <w:spacing w:line="560" w:lineRule="exact"/>
        <w:ind w:left="0" w:leftChars="0" w:right="0" w:firstLine="612" w:firstLineChars="200"/>
        <w:rPr>
          <w:rFonts w:hint="default" w:ascii="Times New Roman" w:hAnsi="Times New Roman" w:eastAsia="仿宋" w:cs="Times New Roman"/>
          <w:color w:val="auto"/>
          <w:sz w:val="31"/>
          <w:szCs w:val="31"/>
          <w:highlight w:val="none"/>
        </w:rPr>
      </w:pPr>
    </w:p>
    <w:p>
      <w:pPr>
        <w:pStyle w:val="2"/>
        <w:numPr>
          <w:ilvl w:val="0"/>
          <w:numId w:val="5"/>
        </w:numPr>
        <w:ind w:left="0" w:leftChars="0" w:firstLine="632" w:firstLineChars="0"/>
        <w:rPr>
          <w:rFonts w:hint="default" w:ascii="Times New Roman" w:hAnsi="Times New Roman" w:cs="Times New Roman"/>
          <w:b w:val="0"/>
          <w:color w:val="auto"/>
          <w:highlight w:val="none"/>
        </w:rPr>
      </w:pPr>
      <w:bookmarkStart w:id="0" w:name="_Toc30883"/>
      <w:bookmarkStart w:id="1" w:name="_Toc22587"/>
      <w:bookmarkStart w:id="2" w:name="_Toc18785"/>
      <w:bookmarkStart w:id="3" w:name="_Toc5375"/>
      <w:r>
        <w:rPr>
          <w:rFonts w:hint="default" w:ascii="Times New Roman" w:hAnsi="Times New Roman" w:cs="Times New Roman"/>
          <w:color w:val="auto"/>
          <w:highlight w:val="none"/>
        </w:rPr>
        <w:t>目的</w:t>
      </w:r>
      <w:bookmarkEnd w:id="0"/>
      <w:bookmarkEnd w:id="1"/>
      <w:bookmarkEnd w:id="2"/>
      <w:bookmarkEnd w:id="3"/>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为进一步规范新疆机动车检验机构资质认定技术</w:t>
      </w:r>
      <w:r>
        <w:rPr>
          <w:rFonts w:hint="default" w:ascii="Times New Roman" w:hAnsi="Times New Roman" w:cs="Times New Roman"/>
          <w:color w:val="auto"/>
          <w:highlight w:val="none"/>
          <w:shd w:val="clear" w:color="auto" w:fill="auto"/>
        </w:rPr>
        <w:t>评审工作</w:t>
      </w:r>
      <w:r>
        <w:rPr>
          <w:rFonts w:hint="eastAsia" w:ascii="Times New Roman" w:hAnsi="Times New Roman" w:cs="Times New Roman"/>
          <w:color w:val="auto"/>
          <w:highlight w:val="none"/>
          <w:shd w:val="clear" w:color="auto" w:fill="auto"/>
          <w:lang w:eastAsia="zh-CN"/>
        </w:rPr>
        <w:t>，</w:t>
      </w:r>
      <w:r>
        <w:rPr>
          <w:rFonts w:hint="eastAsia" w:eastAsia="仿宋_GB2312" w:cs="仿宋_GB2312"/>
          <w:color w:val="000000"/>
          <w:spacing w:val="-6"/>
          <w:sz w:val="32"/>
          <w:szCs w:val="32"/>
          <w:lang w:eastAsia="zh-CN"/>
        </w:rPr>
        <w:t>推动</w:t>
      </w:r>
      <w:r>
        <w:rPr>
          <w:rFonts w:hint="eastAsia" w:ascii="Times New Roman" w:hAnsi="Times New Roman" w:eastAsia="仿宋_GB2312" w:cs="仿宋_GB2312"/>
          <w:color w:val="000000"/>
          <w:spacing w:val="-6"/>
          <w:sz w:val="32"/>
          <w:szCs w:val="32"/>
        </w:rPr>
        <w:t>机动车检验机构准入评审</w:t>
      </w:r>
      <w:r>
        <w:rPr>
          <w:rFonts w:hint="eastAsia" w:eastAsia="仿宋_GB2312" w:cs="仿宋_GB2312"/>
          <w:color w:val="000000"/>
          <w:spacing w:val="-6"/>
          <w:sz w:val="32"/>
          <w:szCs w:val="32"/>
          <w:lang w:eastAsia="zh-CN"/>
        </w:rPr>
        <w:t>工作</w:t>
      </w:r>
      <w:r>
        <w:rPr>
          <w:rFonts w:hint="eastAsia" w:ascii="Times New Roman" w:hAnsi="Times New Roman" w:eastAsia="仿宋_GB2312" w:cs="仿宋_GB2312"/>
          <w:color w:val="000000"/>
          <w:spacing w:val="-6"/>
          <w:sz w:val="32"/>
          <w:szCs w:val="32"/>
        </w:rPr>
        <w:t>统一规范、科学准确，</w:t>
      </w:r>
      <w:r>
        <w:rPr>
          <w:rFonts w:hint="default" w:ascii="Times New Roman" w:hAnsi="Times New Roman" w:cs="Times New Roman"/>
          <w:color w:val="auto"/>
          <w:highlight w:val="none"/>
        </w:rPr>
        <w:t>有效提升资质认定审批质量，结合评审工作实际，编制本指南。</w:t>
      </w:r>
    </w:p>
    <w:p>
      <w:pPr>
        <w:pStyle w:val="2"/>
        <w:numPr>
          <w:ilvl w:val="0"/>
          <w:numId w:val="5"/>
        </w:numPr>
        <w:ind w:left="0" w:leftChars="0" w:firstLine="632" w:firstLineChars="0"/>
        <w:rPr>
          <w:rFonts w:hint="default" w:ascii="Times New Roman" w:hAnsi="Times New Roman" w:cs="Times New Roman"/>
          <w:b w:val="0"/>
          <w:color w:val="auto"/>
          <w:highlight w:val="none"/>
        </w:rPr>
      </w:pPr>
      <w:bookmarkStart w:id="4" w:name="_Toc26723"/>
      <w:bookmarkStart w:id="5" w:name="_Toc2122"/>
      <w:bookmarkStart w:id="6" w:name="_Toc5210"/>
      <w:bookmarkStart w:id="7" w:name="_Toc1407"/>
      <w:r>
        <w:rPr>
          <w:rFonts w:hint="default" w:ascii="Times New Roman" w:hAnsi="Times New Roman" w:cs="Times New Roman"/>
          <w:color w:val="auto"/>
          <w:highlight w:val="none"/>
        </w:rPr>
        <w:t>依据</w:t>
      </w:r>
      <w:bookmarkEnd w:id="4"/>
      <w:bookmarkEnd w:id="5"/>
      <w:bookmarkEnd w:id="6"/>
      <w:bookmarkEnd w:id="7"/>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《检验检测机构资质认定管理办法》</w:t>
      </w:r>
    </w:p>
    <w:p>
      <w:pPr>
        <w:pStyle w:val="7"/>
        <w:rPr>
          <w:rFonts w:hint="eastAsia" w:ascii="Times New Roman" w:hAnsi="Times New Roman" w:eastAsia="方正仿宋_GB2312" w:cs="Times New Roman"/>
          <w:color w:val="auto"/>
          <w:highlight w:val="none"/>
          <w:lang w:eastAsia="zh-CN"/>
        </w:rPr>
      </w:pPr>
      <w:r>
        <w:rPr>
          <w:rFonts w:hint="default" w:ascii="Times New Roman" w:hAnsi="Times New Roman" w:cs="Times New Roman"/>
          <w:color w:val="auto"/>
          <w:highlight w:val="none"/>
        </w:rPr>
        <w:t>《检验检测机构资质认定评</w:t>
      </w:r>
      <w:bookmarkStart w:id="156" w:name="_GoBack"/>
      <w:bookmarkEnd w:id="156"/>
      <w:r>
        <w:rPr>
          <w:rFonts w:hint="default" w:ascii="Times New Roman" w:hAnsi="Times New Roman" w:cs="Times New Roman"/>
          <w:color w:val="auto"/>
          <w:highlight w:val="none"/>
        </w:rPr>
        <w:t>审准则》</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以下简称《准则》</w:t>
      </w:r>
      <w:r>
        <w:rPr>
          <w:rFonts w:hint="eastAsia" w:ascii="Times New Roman" w:hAnsi="Times New Roman" w:cs="Times New Roman"/>
          <w:color w:val="auto"/>
          <w:highlight w:val="none"/>
          <w:lang w:eastAsia="zh-CN"/>
        </w:rPr>
        <w:t>）</w:t>
      </w:r>
    </w:p>
    <w:p>
      <w:pPr>
        <w:pStyle w:val="7"/>
        <w:ind w:firstLine="608"/>
        <w:rPr>
          <w:rFonts w:hint="eastAsia" w:ascii="Times New Roman" w:hAnsi="Times New Roman" w:eastAsia="方正仿宋_GB2312" w:cs="Times New Roman"/>
          <w:color w:val="auto"/>
          <w:highlight w:val="none"/>
          <w:lang w:eastAsia="zh-CN"/>
        </w:rPr>
      </w:pPr>
      <w:r>
        <w:rPr>
          <w:rFonts w:hint="default" w:ascii="Times New Roman" w:hAnsi="Times New Roman" w:cs="Times New Roman"/>
          <w:color w:val="auto"/>
          <w:highlight w:val="none"/>
        </w:rPr>
        <w:t>《机动车检验机构资质认定评审补充技术要求》</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以下简称《补充要求》</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及释义</w:t>
      </w:r>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38900-2020《机动车安全技术检验项目和方法》</w:t>
      </w:r>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7258-2017《机动车运行安全技术条件》</w:t>
      </w:r>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1589-2016《汽车、挂车及汽车列车外廓尺寸、轴荷及质量限值》</w:t>
      </w:r>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GA</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802-2019《道路交通管理机动车类型》</w:t>
      </w:r>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3847-2018《柴油车污染物排放限值及测量方法（自由加速法及加载减速法）》</w:t>
      </w:r>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18285-2018《汽油车污染物排放限值及测量方法（双怠速法及简易工况法）》</w:t>
      </w:r>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HJ</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1237-2021《机动车排放定期检验规范》</w:t>
      </w:r>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HJ</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1238-2021《汽车排放定期检验信息采集传输技术规范》</w:t>
      </w:r>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GB/T</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35347《</w:t>
      </w:r>
      <w:r>
        <w:rPr>
          <w:rFonts w:hint="eastAsia" w:ascii="Times New Roman" w:hAnsi="Times New Roman" w:cs="Times New Roman"/>
          <w:color w:val="auto"/>
          <w:highlight w:val="none"/>
          <w:lang w:val="en-US" w:eastAsia="zh-CN"/>
        </w:rPr>
        <w:t>机动车安全技术检测站</w:t>
      </w:r>
      <w:r>
        <w:rPr>
          <w:rFonts w:hint="default" w:ascii="Times New Roman" w:hAnsi="Times New Roman" w:cs="Times New Roman"/>
          <w:color w:val="auto"/>
          <w:highlight w:val="none"/>
        </w:rPr>
        <w:t>》</w:t>
      </w:r>
    </w:p>
    <w:p>
      <w:pPr>
        <w:pStyle w:val="7"/>
        <w:ind w:left="0" w:leftChars="0" w:firstLine="672" w:firstLineChars="300"/>
        <w:rPr>
          <w:rFonts w:hint="default" w:ascii="Times New Roman" w:hAnsi="Times New Roman" w:eastAsia="方正仿宋_GB2312" w:cs="Times New Roman"/>
          <w:color w:val="auto"/>
          <w:sz w:val="24"/>
          <w:szCs w:val="24"/>
          <w:highlight w:val="none"/>
          <w:lang w:eastAsia="zh-CN"/>
        </w:rPr>
      </w:pPr>
      <w:r>
        <w:rPr>
          <w:rFonts w:hint="default" w:ascii="Times New Roman" w:hAnsi="Times New Roman" w:eastAsia="方正仿宋_GB2312" w:cs="Times New Roman"/>
          <w:color w:val="auto"/>
          <w:sz w:val="24"/>
          <w:szCs w:val="24"/>
        </w:rPr>
        <w:t>注：GB/T</w:t>
      </w:r>
      <w:r>
        <w:rPr>
          <w:rFonts w:hint="eastAsia" w:ascii="Times New Roman" w:hAnsi="Times New Roman" w:cs="Times New Roman"/>
          <w:color w:val="auto"/>
          <w:sz w:val="24"/>
          <w:szCs w:val="24"/>
          <w:lang w:val="en-US" w:eastAsia="zh-CN"/>
        </w:rPr>
        <w:t xml:space="preserve"> </w:t>
      </w:r>
      <w:r>
        <w:rPr>
          <w:rFonts w:hint="default" w:ascii="Times New Roman" w:hAnsi="Times New Roman" w:eastAsia="方正仿宋_GB2312" w:cs="Times New Roman"/>
          <w:color w:val="auto"/>
          <w:sz w:val="24"/>
          <w:szCs w:val="24"/>
        </w:rPr>
        <w:t>35347目前处于征求意见阶段，待正式发布后以现行有效正式文本为准。</w:t>
      </w:r>
    </w:p>
    <w:p>
      <w:pPr>
        <w:pStyle w:val="2"/>
        <w:numPr>
          <w:ilvl w:val="0"/>
          <w:numId w:val="5"/>
        </w:numPr>
        <w:ind w:left="0" w:leftChars="0" w:firstLine="632" w:firstLineChars="0"/>
        <w:rPr>
          <w:rFonts w:hint="default" w:ascii="Times New Roman" w:hAnsi="Times New Roman" w:cs="Times New Roman"/>
          <w:b w:val="0"/>
          <w:color w:val="auto"/>
          <w:highlight w:val="none"/>
        </w:rPr>
      </w:pPr>
      <w:bookmarkStart w:id="8" w:name="_Toc3805"/>
      <w:bookmarkStart w:id="9" w:name="_Toc31875"/>
      <w:bookmarkStart w:id="10" w:name="_Toc8262"/>
      <w:bookmarkStart w:id="11" w:name="_Toc21616"/>
      <w:r>
        <w:rPr>
          <w:rFonts w:hint="default" w:ascii="Times New Roman" w:hAnsi="Times New Roman" w:cs="Times New Roman"/>
          <w:color w:val="auto"/>
          <w:highlight w:val="none"/>
        </w:rPr>
        <w:t>适用范围</w:t>
      </w:r>
      <w:bookmarkEnd w:id="8"/>
      <w:bookmarkEnd w:id="9"/>
      <w:bookmarkEnd w:id="10"/>
      <w:bookmarkEnd w:id="11"/>
    </w:p>
    <w:p>
      <w:pPr>
        <w:pStyle w:val="7"/>
        <w:ind w:left="0" w:leftChars="0"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本《指南》适用于在新疆开展的机动车检验机构资质认定技术评审活动，本《指南》不适用于仅从事摩托车检验的机构。</w:t>
      </w:r>
    </w:p>
    <w:p>
      <w:pPr>
        <w:pStyle w:val="2"/>
        <w:numPr>
          <w:ilvl w:val="0"/>
          <w:numId w:val="5"/>
        </w:numPr>
        <w:ind w:left="0" w:leftChars="0" w:firstLine="632" w:firstLineChars="0"/>
        <w:rPr>
          <w:rFonts w:hint="default" w:ascii="Times New Roman" w:hAnsi="Times New Roman" w:cs="Times New Roman"/>
          <w:b w:val="0"/>
          <w:color w:val="auto"/>
          <w:highlight w:val="none"/>
        </w:rPr>
      </w:pPr>
      <w:bookmarkStart w:id="12" w:name="_Toc1919"/>
      <w:bookmarkStart w:id="13" w:name="_Toc31323"/>
      <w:bookmarkStart w:id="14" w:name="_Toc4115"/>
      <w:bookmarkStart w:id="15" w:name="_Toc11969"/>
      <w:bookmarkStart w:id="16" w:name="_Toc16268"/>
      <w:r>
        <w:rPr>
          <w:rFonts w:hint="default" w:ascii="Times New Roman" w:hAnsi="Times New Roman" w:cs="Times New Roman"/>
          <w:color w:val="auto"/>
          <w:highlight w:val="none"/>
        </w:rPr>
        <w:t>人员</w:t>
      </w:r>
      <w:bookmarkEnd w:id="12"/>
      <w:bookmarkEnd w:id="13"/>
      <w:bookmarkEnd w:id="14"/>
      <w:bookmarkEnd w:id="15"/>
    </w:p>
    <w:p>
      <w:pPr>
        <w:pStyle w:val="3"/>
        <w:numPr>
          <w:ilvl w:val="0"/>
          <w:numId w:val="0"/>
        </w:numPr>
        <w:ind w:leftChars="0" w:firstLine="632"/>
        <w:rPr>
          <w:rFonts w:hint="default" w:ascii="Times New Roman" w:hAnsi="Times New Roman" w:cs="Times New Roman"/>
          <w:b w:val="0"/>
          <w:color w:val="auto"/>
          <w:highlight w:val="none"/>
        </w:rPr>
      </w:pPr>
      <w:bookmarkStart w:id="17" w:name="_Toc18602"/>
      <w:bookmarkStart w:id="18" w:name="_Toc25306"/>
      <w:bookmarkStart w:id="19" w:name="_Toc5973"/>
      <w:bookmarkStart w:id="20" w:name="_Toc12723"/>
      <w:r>
        <w:rPr>
          <w:rFonts w:hint="eastAsia" w:ascii="Times New Roman" w:hAnsi="Times New Roman" w:cs="Times New Roman"/>
          <w:color w:val="auto"/>
          <w:highlight w:val="none"/>
          <w:lang w:val="en-US" w:eastAsia="zh-CN"/>
        </w:rPr>
        <w:t>4.1</w:t>
      </w:r>
      <w:r>
        <w:rPr>
          <w:rFonts w:hint="default" w:ascii="Times New Roman" w:hAnsi="Times New Roman" w:cs="Times New Roman"/>
          <w:color w:val="auto"/>
          <w:highlight w:val="none"/>
        </w:rPr>
        <w:t>人员</w:t>
      </w:r>
      <w:r>
        <w:rPr>
          <w:rFonts w:hint="eastAsia" w:ascii="Times New Roman" w:hAnsi="Times New Roman" w:cs="Times New Roman"/>
          <w:color w:val="auto"/>
          <w:highlight w:val="none"/>
          <w:lang w:val="en-US" w:eastAsia="zh-CN"/>
        </w:rPr>
        <w:t>岗位要求</w:t>
      </w:r>
      <w:bookmarkEnd w:id="16"/>
      <w:bookmarkEnd w:id="17"/>
      <w:r>
        <w:rPr>
          <w:rFonts w:hint="default" w:ascii="Times New Roman" w:hAnsi="Times New Roman" w:cs="Times New Roman"/>
          <w:color w:val="auto"/>
          <w:highlight w:val="none"/>
        </w:rPr>
        <w:t>及判定指南</w:t>
      </w:r>
      <w:bookmarkEnd w:id="18"/>
      <w:bookmarkEnd w:id="19"/>
      <w:bookmarkEnd w:id="20"/>
    </w:p>
    <w:p>
      <w:pPr>
        <w:pStyle w:val="4"/>
        <w:numPr>
          <w:ilvl w:val="0"/>
          <w:numId w:val="0"/>
        </w:numPr>
        <w:ind w:leftChars="0" w:firstLine="632" w:firstLineChars="200"/>
        <w:rPr>
          <w:rFonts w:hint="default" w:ascii="Times New Roman" w:hAnsi="Times New Roman" w:cs="Times New Roman"/>
          <w:b w:val="0"/>
          <w:color w:val="auto"/>
          <w:highlight w:val="none"/>
        </w:rPr>
      </w:pPr>
      <w:bookmarkStart w:id="21" w:name="_Toc15920"/>
      <w:bookmarkStart w:id="22" w:name="_Toc2873"/>
      <w:bookmarkStart w:id="23" w:name="_Toc9015"/>
      <w:r>
        <w:rPr>
          <w:rFonts w:hint="eastAsia" w:ascii="Times New Roman" w:hAnsi="Times New Roman" w:cs="Times New Roman"/>
          <w:color w:val="auto"/>
          <w:highlight w:val="none"/>
          <w:lang w:val="en-US" w:eastAsia="zh-CN"/>
        </w:rPr>
        <w:t>4.1.1</w:t>
      </w:r>
      <w:r>
        <w:rPr>
          <w:rFonts w:hint="default" w:ascii="Times New Roman" w:hAnsi="Times New Roman" w:cs="Times New Roman"/>
          <w:color w:val="auto"/>
          <w:highlight w:val="none"/>
        </w:rPr>
        <w:t>要求</w:t>
      </w:r>
      <w:bookmarkEnd w:id="21"/>
      <w:bookmarkEnd w:id="22"/>
      <w:bookmarkEnd w:id="23"/>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《准则》2.9：检验检测机构应当具有与其从事检验检测活动相适应的检验检测技术人员和管理人员。</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《补充要求》第七条及释义：检验机构应当按照资质认定要求，配置相应的检验人员。机动车检验机构检验人员应当包括</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但不限于</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登录员、外观检验员、底盘部件检验员、引车员、OBD查验员、排放检验员等。</w:t>
      </w:r>
      <w:r>
        <w:rPr>
          <w:rFonts w:hint="default" w:ascii="Times New Roman" w:hAnsi="Times New Roman" w:cs="Times New Roman"/>
          <w:b w:val="0"/>
          <w:bCs w:val="0"/>
          <w:color w:val="auto"/>
          <w:highlight w:val="none"/>
        </w:rPr>
        <w:t>检验人员的检验能力应当与所承担的机动车检验工作相匹配。</w:t>
      </w:r>
    </w:p>
    <w:p>
      <w:pPr>
        <w:pStyle w:val="4"/>
        <w:numPr>
          <w:ilvl w:val="0"/>
          <w:numId w:val="0"/>
        </w:numPr>
        <w:ind w:leftChars="0" w:firstLine="632" w:firstLineChars="200"/>
        <w:rPr>
          <w:rFonts w:hint="default" w:ascii="Times New Roman" w:hAnsi="Times New Roman" w:cs="Times New Roman"/>
          <w:b w:val="0"/>
          <w:color w:val="auto"/>
          <w:highlight w:val="none"/>
        </w:rPr>
      </w:pPr>
      <w:bookmarkStart w:id="24" w:name="_Toc4679"/>
      <w:bookmarkStart w:id="25" w:name="_Toc30966"/>
      <w:bookmarkStart w:id="26" w:name="_Toc21698"/>
      <w:r>
        <w:rPr>
          <w:rFonts w:hint="eastAsia" w:ascii="Times New Roman" w:hAnsi="Times New Roman" w:cs="Times New Roman"/>
          <w:color w:val="auto"/>
          <w:highlight w:val="none"/>
          <w:lang w:val="en-US" w:eastAsia="zh-CN"/>
        </w:rPr>
        <w:t>4.1.2</w:t>
      </w:r>
      <w:r>
        <w:rPr>
          <w:rFonts w:hint="default" w:ascii="Times New Roman" w:hAnsi="Times New Roman" w:cs="Times New Roman"/>
          <w:color w:val="auto"/>
          <w:highlight w:val="none"/>
        </w:rPr>
        <w:t>判定指南</w:t>
      </w:r>
      <w:bookmarkEnd w:id="24"/>
      <w:bookmarkEnd w:id="25"/>
      <w:bookmarkEnd w:id="26"/>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岗位设置按照《准则》及《补充要求》的相关规定，结合GB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38900-2020、GB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3847-2018、GB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18285-2018等检验标准要求和新疆机动车检验工作实际，机构应设置的岗位包括管理岗位、检验岗位和服务岗位。</w:t>
      </w:r>
    </w:p>
    <w:p>
      <w:pPr>
        <w:pStyle w:val="7"/>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a）</w:t>
      </w:r>
      <w:r>
        <w:rPr>
          <w:rFonts w:hint="default" w:ascii="Times New Roman" w:hAnsi="Times New Roman" w:cs="Times New Roman"/>
          <w:color w:val="auto"/>
          <w:highlight w:val="none"/>
        </w:rPr>
        <w:t>管理岗位是指最高管理者、技术负责人、质量负责人、授权签字人、内审员、监督员、资料管理员、设备管理员、网络管理员等人员（详见表1）</w:t>
      </w:r>
      <w:r>
        <w:rPr>
          <w:rFonts w:hint="eastAsia" w:ascii="Times New Roman" w:hAnsi="Times New Roman" w:cs="Times New Roman"/>
          <w:color w:val="auto"/>
          <w:highlight w:val="none"/>
          <w:lang w:eastAsia="zh-CN"/>
        </w:rPr>
        <w:t>；</w:t>
      </w:r>
    </w:p>
    <w:p>
      <w:pPr>
        <w:pStyle w:val="30"/>
        <w:rPr>
          <w:rFonts w:hint="default" w:ascii="Times New Roman" w:hAnsi="Times New Roman" w:cs="Times New Roman"/>
          <w:color w:val="auto"/>
          <w:highlight w:val="none"/>
        </w:rPr>
      </w:pPr>
      <w:r>
        <w:rPr>
          <w:rFonts w:hint="default" w:ascii="Times New Roman" w:hAnsi="Times New Roman" w:cs="Times New Roman"/>
          <w:color w:val="auto"/>
          <w:highlight w:val="none"/>
        </w:rPr>
        <w:t>表1</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管理岗位人员配置表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8"/>
        <w:gridCol w:w="2628"/>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40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黑体" w:cs="Times New Roman"/>
                <w:b w:val="0"/>
                <w:bCs w:val="0"/>
                <w:color w:val="auto"/>
                <w:kern w:val="0"/>
                <w:sz w:val="24"/>
                <w:szCs w:val="24"/>
                <w:highlight w:val="none"/>
                <w:lang w:val="en-US" w:eastAsia="zh-CN" w:bidi="ar-SA"/>
              </w:rPr>
            </w:pPr>
            <w:r>
              <w:rPr>
                <w:rFonts w:hint="default" w:ascii="Times New Roman" w:hAnsi="Times New Roman" w:eastAsia="黑体" w:cs="Times New Roman"/>
                <w:b w:val="0"/>
                <w:bCs w:val="0"/>
                <w:color w:val="auto"/>
                <w:kern w:val="0"/>
                <w:sz w:val="24"/>
                <w:szCs w:val="24"/>
                <w:highlight w:val="none"/>
                <w:lang w:val="en-US" w:eastAsia="zh-CN" w:bidi="ar-SA"/>
              </w:rPr>
              <w:t>序号</w:t>
            </w:r>
          </w:p>
        </w:tc>
        <w:tc>
          <w:tcPr>
            <w:tcW w:w="262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黑体" w:cs="Times New Roman"/>
                <w:b w:val="0"/>
                <w:bCs w:val="0"/>
                <w:color w:val="auto"/>
                <w:kern w:val="0"/>
                <w:sz w:val="24"/>
                <w:szCs w:val="24"/>
                <w:highlight w:val="none"/>
                <w:lang w:val="en-US" w:eastAsia="zh-CN" w:bidi="ar-SA"/>
              </w:rPr>
            </w:pPr>
            <w:r>
              <w:rPr>
                <w:rFonts w:hint="default" w:ascii="Times New Roman" w:hAnsi="Times New Roman" w:eastAsia="黑体" w:cs="Times New Roman"/>
                <w:b w:val="0"/>
                <w:bCs w:val="0"/>
                <w:color w:val="auto"/>
                <w:kern w:val="0"/>
                <w:sz w:val="24"/>
                <w:szCs w:val="24"/>
                <w:highlight w:val="none"/>
                <w:lang w:val="en-US" w:eastAsia="zh-CN" w:bidi="ar-SA"/>
              </w:rPr>
              <w:t>岗位</w:t>
            </w:r>
          </w:p>
        </w:tc>
        <w:tc>
          <w:tcPr>
            <w:tcW w:w="3027"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黑体" w:cs="Times New Roman"/>
                <w:b w:val="0"/>
                <w:bCs w:val="0"/>
                <w:color w:val="auto"/>
                <w:kern w:val="0"/>
                <w:sz w:val="24"/>
                <w:szCs w:val="24"/>
                <w:highlight w:val="none"/>
                <w:lang w:val="en-US" w:eastAsia="zh-CN" w:bidi="ar-SA"/>
              </w:rPr>
            </w:pPr>
            <w:r>
              <w:rPr>
                <w:rFonts w:hint="default" w:ascii="Times New Roman" w:hAnsi="Times New Roman" w:eastAsia="黑体" w:cs="Times New Roman"/>
                <w:b w:val="0"/>
                <w:bCs w:val="0"/>
                <w:color w:val="auto"/>
                <w:kern w:val="0"/>
                <w:sz w:val="24"/>
                <w:szCs w:val="24"/>
                <w:highlight w:val="none"/>
                <w:lang w:val="en-US" w:eastAsia="zh-CN" w:bidi="ar-SA"/>
              </w:rPr>
              <w:t>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0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w:t>
            </w:r>
          </w:p>
        </w:tc>
        <w:tc>
          <w:tcPr>
            <w:tcW w:w="262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最高管理者</w:t>
            </w:r>
          </w:p>
        </w:tc>
        <w:tc>
          <w:tcPr>
            <w:tcW w:w="3027"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0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2</w:t>
            </w:r>
          </w:p>
        </w:tc>
        <w:tc>
          <w:tcPr>
            <w:tcW w:w="262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技术负责人</w:t>
            </w:r>
          </w:p>
        </w:tc>
        <w:tc>
          <w:tcPr>
            <w:tcW w:w="3027"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0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3</w:t>
            </w:r>
          </w:p>
        </w:tc>
        <w:tc>
          <w:tcPr>
            <w:tcW w:w="262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质量负责人</w:t>
            </w:r>
          </w:p>
        </w:tc>
        <w:tc>
          <w:tcPr>
            <w:tcW w:w="3027"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0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4</w:t>
            </w:r>
          </w:p>
        </w:tc>
        <w:tc>
          <w:tcPr>
            <w:tcW w:w="262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授权签字人</w:t>
            </w:r>
          </w:p>
        </w:tc>
        <w:tc>
          <w:tcPr>
            <w:tcW w:w="3027"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0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5</w:t>
            </w:r>
          </w:p>
        </w:tc>
        <w:tc>
          <w:tcPr>
            <w:tcW w:w="262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内审员</w:t>
            </w:r>
          </w:p>
        </w:tc>
        <w:tc>
          <w:tcPr>
            <w:tcW w:w="3027"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0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6</w:t>
            </w:r>
          </w:p>
        </w:tc>
        <w:tc>
          <w:tcPr>
            <w:tcW w:w="262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监督员</w:t>
            </w:r>
          </w:p>
        </w:tc>
        <w:tc>
          <w:tcPr>
            <w:tcW w:w="3027"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40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7</w:t>
            </w:r>
          </w:p>
        </w:tc>
        <w:tc>
          <w:tcPr>
            <w:tcW w:w="262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设备管理员</w:t>
            </w:r>
          </w:p>
        </w:tc>
        <w:tc>
          <w:tcPr>
            <w:tcW w:w="3027"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0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8</w:t>
            </w:r>
          </w:p>
        </w:tc>
        <w:tc>
          <w:tcPr>
            <w:tcW w:w="262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资料管理员</w:t>
            </w:r>
          </w:p>
        </w:tc>
        <w:tc>
          <w:tcPr>
            <w:tcW w:w="3027"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40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9</w:t>
            </w:r>
          </w:p>
        </w:tc>
        <w:tc>
          <w:tcPr>
            <w:tcW w:w="262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网络管理员</w:t>
            </w:r>
          </w:p>
        </w:tc>
        <w:tc>
          <w:tcPr>
            <w:tcW w:w="3027"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3"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236" w:firstLineChars="100"/>
              <w:jc w:val="both"/>
              <w:textAlignment w:val="auto"/>
              <w:rPr>
                <w:rFonts w:hint="default" w:ascii="方正仿宋_GB2312" w:hAnsi="方正仿宋_GB2312" w:eastAsia="方正仿宋_GB2312" w:cs="方正仿宋_GB2312"/>
                <w:color w:val="auto"/>
                <w:kern w:val="0"/>
                <w:sz w:val="24"/>
                <w:szCs w:val="24"/>
                <w:highlight w:val="none"/>
                <w:lang w:val="en-US" w:eastAsia="zh-CN" w:bidi="ar-SA"/>
              </w:rPr>
            </w:pPr>
            <w:r>
              <w:rPr>
                <w:rFonts w:hint="default" w:ascii="方正仿宋_GB2312" w:hAnsi="方正仿宋_GB2312" w:eastAsia="方正仿宋_GB2312" w:cs="方正仿宋_GB2312"/>
                <w:color w:val="auto"/>
                <w:kern w:val="0"/>
                <w:sz w:val="24"/>
                <w:szCs w:val="24"/>
                <w:highlight w:val="none"/>
                <w:lang w:val="en-US" w:eastAsia="zh-CN" w:bidi="ar-SA"/>
              </w:rPr>
              <w:t>注</w:t>
            </w:r>
            <w:r>
              <w:rPr>
                <w:rFonts w:hint="eastAsia" w:ascii="方正仿宋_GB2312" w:hAnsi="方正仿宋_GB2312" w:eastAsia="方正仿宋_GB2312" w:cs="方正仿宋_GB2312"/>
                <w:color w:val="auto"/>
                <w:kern w:val="0"/>
                <w:sz w:val="24"/>
                <w:szCs w:val="24"/>
                <w:highlight w:val="none"/>
                <w:lang w:val="en-US" w:eastAsia="zh-CN" w:bidi="ar-SA"/>
              </w:rPr>
              <w:t>1</w:t>
            </w:r>
            <w:r>
              <w:rPr>
                <w:rFonts w:hint="default" w:ascii="方正仿宋_GB2312" w:hAnsi="方正仿宋_GB2312" w:eastAsia="方正仿宋_GB2312" w:cs="方正仿宋_GB2312"/>
                <w:color w:val="auto"/>
                <w:kern w:val="0"/>
                <w:sz w:val="24"/>
                <w:szCs w:val="24"/>
                <w:highlight w:val="none"/>
                <w:lang w:val="en-US" w:eastAsia="zh-CN" w:bidi="ar-SA"/>
              </w:rPr>
              <w:t>：√表示应配置</w:t>
            </w:r>
            <w:r>
              <w:rPr>
                <w:rFonts w:hint="eastAsia" w:hAnsi="方正仿宋_GB2312" w:cs="方正仿宋_GB2312"/>
                <w:color w:val="auto"/>
                <w:kern w:val="0"/>
                <w:sz w:val="24"/>
                <w:szCs w:val="24"/>
                <w:highlight w:val="none"/>
                <w:lang w:val="en-US" w:eastAsia="zh-CN" w:bidi="ar-SA"/>
              </w:rPr>
              <w:t>；</w:t>
            </w:r>
          </w:p>
          <w:p>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236" w:firstLineChars="100"/>
              <w:jc w:val="both"/>
              <w:textAlignment w:val="auto"/>
              <w:rPr>
                <w:rFonts w:hint="default" w:ascii="Times New Roman" w:hAnsi="Times New Roman" w:eastAsia="仿宋" w:cs="Times New Roman"/>
                <w:color w:val="auto"/>
                <w:spacing w:val="-4"/>
                <w:sz w:val="24"/>
                <w:szCs w:val="24"/>
                <w:highlight w:val="none"/>
                <w:lang w:val="en-US" w:eastAsia="zh-CN"/>
              </w:rPr>
            </w:pPr>
            <w:r>
              <w:rPr>
                <w:rFonts w:hint="eastAsia" w:ascii="方正仿宋_GB2312" w:hAnsi="方正仿宋_GB2312" w:eastAsia="方正仿宋_GB2312" w:cs="方正仿宋_GB2312"/>
                <w:color w:val="auto"/>
                <w:kern w:val="0"/>
                <w:sz w:val="24"/>
                <w:szCs w:val="24"/>
                <w:highlight w:val="none"/>
                <w:lang w:val="en-US" w:eastAsia="zh-CN" w:bidi="ar-SA"/>
              </w:rPr>
              <w:t>注2：最高管理者可由法定代表人担任。</w:t>
            </w:r>
          </w:p>
        </w:tc>
      </w:tr>
    </w:tbl>
    <w:p>
      <w:pPr>
        <w:pStyle w:val="7"/>
        <w:numPr>
          <w:ilvl w:val="0"/>
          <w:numId w:val="0"/>
        </w:numPr>
        <w:ind w:firstLine="608" w:firstLineChars="200"/>
        <w:rPr>
          <w:rFonts w:hint="eastAsia" w:ascii="Times New Roman" w:hAnsi="Times New Roman" w:eastAsia="方正仿宋_GB2312" w:cs="Times New Roman"/>
          <w:color w:val="auto"/>
          <w:highlight w:val="none"/>
          <w:lang w:eastAsia="zh-CN"/>
        </w:rPr>
      </w:pPr>
      <w:r>
        <w:rPr>
          <w:rFonts w:hint="eastAsia" w:ascii="Times New Roman" w:hAnsi="Times New Roman" w:cs="Times New Roman"/>
          <w:color w:val="auto"/>
          <w:highlight w:val="none"/>
          <w:lang w:val="en-US" w:eastAsia="zh-CN"/>
        </w:rPr>
        <w:t>b）</w:t>
      </w:r>
      <w:r>
        <w:rPr>
          <w:rFonts w:hint="default" w:ascii="Times New Roman" w:hAnsi="Times New Roman" w:cs="Times New Roman"/>
          <w:color w:val="auto"/>
          <w:highlight w:val="none"/>
        </w:rPr>
        <w:t>检验岗位是指登录员、外观检验员、底盘部件检验员、引车员、OBD查验员、排放检验员、排放辅助检查人员等（详见表2）</w:t>
      </w:r>
      <w:r>
        <w:rPr>
          <w:rFonts w:hint="eastAsia" w:ascii="Times New Roman" w:hAnsi="Times New Roman" w:cs="Times New Roman"/>
          <w:color w:val="auto"/>
          <w:highlight w:val="none"/>
          <w:lang w:eastAsia="zh-CN"/>
        </w:rPr>
        <w:t>；</w:t>
      </w:r>
    </w:p>
    <w:p>
      <w:pPr>
        <w:pStyle w:val="30"/>
        <w:rPr>
          <w:rFonts w:hint="default" w:ascii="Times New Roman" w:hAnsi="Times New Roman" w:cs="Times New Roman"/>
          <w:color w:val="auto"/>
          <w:highlight w:val="none"/>
        </w:rPr>
      </w:pPr>
      <w:r>
        <w:rPr>
          <w:rFonts w:hint="default" w:ascii="Times New Roman" w:hAnsi="Times New Roman" w:cs="Times New Roman"/>
          <w:color w:val="auto"/>
          <w:highlight w:val="none"/>
        </w:rPr>
        <w:t>表2</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检验岗位人员配置表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3698"/>
        <w:gridCol w:w="1689"/>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173" w:type="dxa"/>
            <w:vMerge w:val="restart"/>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序号</w:t>
            </w:r>
          </w:p>
        </w:tc>
        <w:tc>
          <w:tcPr>
            <w:tcW w:w="3698" w:type="dxa"/>
            <w:vMerge w:val="restart"/>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岗位</w:t>
            </w:r>
          </w:p>
        </w:tc>
        <w:tc>
          <w:tcPr>
            <w:tcW w:w="3387" w:type="dxa"/>
            <w:gridSpan w:val="2"/>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黑体" w:cs="Times New Roman"/>
                <w:color w:val="auto"/>
                <w:kern w:val="0"/>
                <w:sz w:val="24"/>
                <w:szCs w:val="24"/>
                <w:highlight w:val="none"/>
                <w:lang w:val="en-US" w:eastAsia="zh-CN" w:bidi="ar-SA"/>
              </w:rPr>
            </w:pPr>
            <w:r>
              <w:rPr>
                <w:rFonts w:hint="eastAsia" w:ascii="Times New Roman" w:hAnsi="Times New Roman" w:eastAsia="黑体" w:cs="Times New Roman"/>
                <w:color w:val="auto"/>
                <w:kern w:val="0"/>
                <w:sz w:val="24"/>
                <w:szCs w:val="24"/>
                <w:highlight w:val="none"/>
                <w:lang w:val="en-US" w:eastAsia="zh-CN" w:bidi="ar-SA"/>
              </w:rPr>
              <w:t>申请能力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1173" w:type="dxa"/>
            <w:vMerge w:val="continue"/>
            <w:vAlign w:val="center"/>
          </w:tcPr>
          <w:p>
            <w:pPr>
              <w:keepNext w:val="0"/>
              <w:keepLines w:val="0"/>
              <w:pageBreakBefore w:val="0"/>
              <w:widowControl w:val="0"/>
              <w:suppressLineNumbers w:val="0"/>
              <w:kinsoku/>
              <w:overflowPunct/>
              <w:topLinePunct w:val="0"/>
              <w:bidi w:val="0"/>
              <w:spacing w:line="560" w:lineRule="exact"/>
              <w:ind w:left="0" w:leftChars="0" w:right="0" w:firstLine="472" w:firstLineChars="200"/>
              <w:jc w:val="center"/>
              <w:rPr>
                <w:rFonts w:hint="default" w:ascii="Times New Roman" w:hAnsi="Times New Roman" w:eastAsia="黑体" w:cs="Times New Roman"/>
                <w:color w:val="auto"/>
                <w:kern w:val="0"/>
                <w:sz w:val="24"/>
                <w:szCs w:val="24"/>
                <w:highlight w:val="none"/>
                <w:lang w:val="en-US" w:eastAsia="zh-CN" w:bidi="ar-SA"/>
              </w:rPr>
            </w:pPr>
          </w:p>
        </w:tc>
        <w:tc>
          <w:tcPr>
            <w:tcW w:w="3698" w:type="dxa"/>
            <w:vMerge w:val="continue"/>
            <w:vAlign w:val="center"/>
          </w:tcPr>
          <w:p>
            <w:pPr>
              <w:keepNext w:val="0"/>
              <w:keepLines w:val="0"/>
              <w:pageBreakBefore w:val="0"/>
              <w:widowControl w:val="0"/>
              <w:suppressLineNumbers w:val="0"/>
              <w:kinsoku/>
              <w:overflowPunct/>
              <w:topLinePunct w:val="0"/>
              <w:bidi w:val="0"/>
              <w:spacing w:line="560" w:lineRule="exact"/>
              <w:ind w:left="0" w:leftChars="0" w:right="0" w:firstLine="472" w:firstLineChars="200"/>
              <w:jc w:val="center"/>
              <w:rPr>
                <w:rFonts w:hint="default" w:ascii="Times New Roman" w:hAnsi="Times New Roman" w:eastAsia="黑体" w:cs="Times New Roman"/>
                <w:color w:val="auto"/>
                <w:kern w:val="0"/>
                <w:sz w:val="24"/>
                <w:szCs w:val="24"/>
                <w:highlight w:val="none"/>
                <w:lang w:val="en-US" w:eastAsia="zh-CN" w:bidi="ar-SA"/>
              </w:rPr>
            </w:pPr>
          </w:p>
        </w:tc>
        <w:tc>
          <w:tcPr>
            <w:tcW w:w="1689"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汽车检验</w:t>
            </w:r>
          </w:p>
        </w:tc>
        <w:tc>
          <w:tcPr>
            <w:tcW w:w="169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摩托车检验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173"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w:t>
            </w:r>
          </w:p>
        </w:tc>
        <w:tc>
          <w:tcPr>
            <w:tcW w:w="369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登录员</w:t>
            </w:r>
          </w:p>
        </w:tc>
        <w:tc>
          <w:tcPr>
            <w:tcW w:w="1689"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c>
          <w:tcPr>
            <w:tcW w:w="1698"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73"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2</w:t>
            </w:r>
          </w:p>
        </w:tc>
        <w:tc>
          <w:tcPr>
            <w:tcW w:w="369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外观检验员</w:t>
            </w:r>
          </w:p>
        </w:tc>
        <w:tc>
          <w:tcPr>
            <w:tcW w:w="1689"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c>
          <w:tcPr>
            <w:tcW w:w="1698"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73"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3</w:t>
            </w:r>
          </w:p>
        </w:tc>
        <w:tc>
          <w:tcPr>
            <w:tcW w:w="369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引车员</w:t>
            </w:r>
          </w:p>
        </w:tc>
        <w:tc>
          <w:tcPr>
            <w:tcW w:w="1689"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c>
          <w:tcPr>
            <w:tcW w:w="1698"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173"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4</w:t>
            </w:r>
          </w:p>
        </w:tc>
        <w:tc>
          <w:tcPr>
            <w:tcW w:w="369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底盘</w:t>
            </w:r>
            <w:r>
              <w:rPr>
                <w:rFonts w:hint="eastAsia" w:ascii="Times New Roman" w:hAnsi="Times New Roman" w:eastAsia="仿宋" w:cs="Times New Roman"/>
                <w:color w:val="auto"/>
                <w:kern w:val="0"/>
                <w:sz w:val="24"/>
                <w:szCs w:val="24"/>
                <w:highlight w:val="none"/>
                <w:u w:val="none"/>
                <w:lang w:val="en-US" w:eastAsia="zh-CN" w:bidi="ar-SA"/>
              </w:rPr>
              <w:t>部件</w:t>
            </w:r>
            <w:r>
              <w:rPr>
                <w:rFonts w:hint="default" w:ascii="Times New Roman" w:hAnsi="Times New Roman" w:eastAsia="仿宋" w:cs="Times New Roman"/>
                <w:color w:val="auto"/>
                <w:kern w:val="0"/>
                <w:sz w:val="24"/>
                <w:szCs w:val="24"/>
                <w:highlight w:val="none"/>
                <w:lang w:val="en-US" w:eastAsia="zh-CN" w:bidi="ar-SA"/>
              </w:rPr>
              <w:t>检验员</w:t>
            </w:r>
          </w:p>
        </w:tc>
        <w:tc>
          <w:tcPr>
            <w:tcW w:w="1689"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c>
          <w:tcPr>
            <w:tcW w:w="1698" w:type="dxa"/>
            <w:vAlign w:val="center"/>
          </w:tcPr>
          <w:p>
            <w:pPr>
              <w:keepNext w:val="0"/>
              <w:keepLines w:val="0"/>
              <w:pageBreakBefore w:val="0"/>
              <w:widowControl w:val="0"/>
              <w:kinsoku/>
              <w:overflowPunct/>
              <w:topLinePunct w:val="0"/>
              <w:autoSpaceDE w:val="0"/>
              <w:autoSpaceDN w:val="0"/>
              <w:bidi w:val="0"/>
              <w:spacing w:line="560" w:lineRule="exact"/>
              <w:ind w:right="0"/>
              <w:jc w:val="center"/>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73"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5</w:t>
            </w:r>
          </w:p>
        </w:tc>
        <w:tc>
          <w:tcPr>
            <w:tcW w:w="369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底盘动态检验员</w:t>
            </w:r>
          </w:p>
        </w:tc>
        <w:tc>
          <w:tcPr>
            <w:tcW w:w="1689"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c>
          <w:tcPr>
            <w:tcW w:w="1698"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173"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6</w:t>
            </w:r>
          </w:p>
        </w:tc>
        <w:tc>
          <w:tcPr>
            <w:tcW w:w="369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OBD查验员</w:t>
            </w:r>
          </w:p>
        </w:tc>
        <w:tc>
          <w:tcPr>
            <w:tcW w:w="1689"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c>
          <w:tcPr>
            <w:tcW w:w="1698"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73"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7</w:t>
            </w:r>
          </w:p>
        </w:tc>
        <w:tc>
          <w:tcPr>
            <w:tcW w:w="369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排放</w:t>
            </w:r>
            <w:r>
              <w:rPr>
                <w:rFonts w:hint="eastAsia" w:ascii="Times New Roman" w:hAnsi="Times New Roman" w:eastAsia="仿宋" w:cs="Times New Roman"/>
                <w:color w:val="auto"/>
                <w:kern w:val="0"/>
                <w:sz w:val="24"/>
                <w:szCs w:val="24"/>
                <w:highlight w:val="none"/>
                <w:lang w:val="en-US" w:eastAsia="zh-CN" w:bidi="ar-SA"/>
              </w:rPr>
              <w:t>计算机操作</w:t>
            </w:r>
            <w:r>
              <w:rPr>
                <w:rFonts w:hint="default" w:ascii="Times New Roman" w:hAnsi="Times New Roman" w:eastAsia="仿宋" w:cs="Times New Roman"/>
                <w:color w:val="auto"/>
                <w:kern w:val="0"/>
                <w:sz w:val="24"/>
                <w:szCs w:val="24"/>
                <w:highlight w:val="none"/>
                <w:lang w:val="en-US" w:eastAsia="zh-CN" w:bidi="ar-SA"/>
              </w:rPr>
              <w:t>员</w:t>
            </w:r>
          </w:p>
        </w:tc>
        <w:tc>
          <w:tcPr>
            <w:tcW w:w="1689"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c>
          <w:tcPr>
            <w:tcW w:w="1698"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173"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8</w:t>
            </w:r>
          </w:p>
        </w:tc>
        <w:tc>
          <w:tcPr>
            <w:tcW w:w="3698" w:type="dxa"/>
            <w:vAlign w:val="center"/>
          </w:tcPr>
          <w:p>
            <w:pPr>
              <w:keepNext w:val="0"/>
              <w:keepLines w:val="0"/>
              <w:pageBreakBefore w:val="0"/>
              <w:widowControl w:val="0"/>
              <w:suppressLineNumbers w:val="0"/>
              <w:kinsoku/>
              <w:overflowPunct/>
              <w:topLinePunct w:val="0"/>
              <w:bidi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排放辅助</w:t>
            </w:r>
            <w:r>
              <w:rPr>
                <w:rFonts w:hint="eastAsia" w:ascii="Times New Roman" w:hAnsi="Times New Roman" w:eastAsia="仿宋" w:cs="Times New Roman"/>
                <w:color w:val="auto"/>
                <w:kern w:val="0"/>
                <w:sz w:val="24"/>
                <w:szCs w:val="24"/>
                <w:highlight w:val="none"/>
                <w:lang w:val="en-US" w:eastAsia="zh-CN" w:bidi="ar-SA"/>
              </w:rPr>
              <w:t>检查</w:t>
            </w:r>
            <w:r>
              <w:rPr>
                <w:rFonts w:hint="default" w:ascii="Times New Roman" w:hAnsi="Times New Roman" w:eastAsia="仿宋" w:cs="Times New Roman"/>
                <w:color w:val="auto"/>
                <w:kern w:val="0"/>
                <w:sz w:val="24"/>
                <w:szCs w:val="24"/>
                <w:highlight w:val="none"/>
                <w:lang w:val="en-US" w:eastAsia="zh-CN" w:bidi="ar-SA"/>
              </w:rPr>
              <w:t>人员</w:t>
            </w:r>
          </w:p>
        </w:tc>
        <w:tc>
          <w:tcPr>
            <w:tcW w:w="1689"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c>
          <w:tcPr>
            <w:tcW w:w="1698" w:type="dxa"/>
            <w:vAlign w:val="center"/>
          </w:tcPr>
          <w:p>
            <w:pPr>
              <w:keepNext w:val="0"/>
              <w:keepLines w:val="0"/>
              <w:pageBreakBefore w:val="0"/>
              <w:widowControl w:val="0"/>
              <w:suppressLineNumbers w:val="0"/>
              <w:kinsoku/>
              <w:overflowPunct/>
              <w:topLinePunct w:val="0"/>
              <w:autoSpaceDE w:val="0"/>
              <w:autoSpaceDN w:val="0"/>
              <w:bidi w:val="0"/>
              <w:spacing w:line="560" w:lineRule="exact"/>
              <w:ind w:right="0" w:rightChars="0"/>
              <w:jc w:val="center"/>
              <w:rPr>
                <w:rFonts w:hint="default" w:ascii="Times New Roman" w:hAnsi="Times New Roman" w:eastAsia="仿宋" w:cs="Times New Roman"/>
                <w:color w:val="auto"/>
                <w:spacing w:val="0"/>
                <w:kern w:val="2"/>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258"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spacing w:line="400" w:lineRule="exact"/>
              <w:ind w:right="0" w:firstLine="236" w:firstLineChars="100"/>
              <w:jc w:val="both"/>
              <w:textAlignment w:val="auto"/>
              <w:rPr>
                <w:rFonts w:hint="default" w:ascii="Times New Roman" w:hAnsi="Times New Roman" w:eastAsia="仿宋" w:cs="Times New Roman"/>
                <w:color w:val="auto"/>
                <w:sz w:val="24"/>
                <w:lang w:val="en-US" w:eastAsia="zh-CN"/>
              </w:rPr>
            </w:pPr>
            <w:r>
              <w:rPr>
                <w:rFonts w:hint="eastAsia" w:ascii="方正仿宋_GB2312" w:hAnsi="方正仿宋_GB2312" w:eastAsia="方正仿宋_GB2312" w:cs="方正仿宋_GB2312"/>
                <w:color w:val="auto"/>
                <w:kern w:val="0"/>
                <w:sz w:val="24"/>
                <w:szCs w:val="24"/>
                <w:highlight w:val="none"/>
                <w:lang w:val="en-US" w:eastAsia="zh-CN" w:bidi="ar-SA"/>
              </w:rPr>
              <w:t>注：√表示应配置，×表示无需配置。</w:t>
            </w:r>
          </w:p>
        </w:tc>
      </w:tr>
    </w:tbl>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c）</w:t>
      </w:r>
      <w:r>
        <w:rPr>
          <w:rFonts w:hint="default" w:ascii="Times New Roman" w:hAnsi="Times New Roman" w:cs="Times New Roman"/>
          <w:color w:val="auto"/>
          <w:highlight w:val="none"/>
        </w:rPr>
        <w:t>服务岗位是指综合咨询导办</w:t>
      </w:r>
      <w:r>
        <w:rPr>
          <w:rFonts w:hint="eastAsia" w:ascii="Times New Roman" w:hAnsi="Times New Roman" w:cs="Times New Roman"/>
          <w:color w:val="auto"/>
          <w:highlight w:val="none"/>
          <w:lang w:val="en-US" w:eastAsia="zh-CN"/>
        </w:rPr>
        <w:t>员</w:t>
      </w:r>
      <w:r>
        <w:rPr>
          <w:rFonts w:hint="default" w:ascii="Times New Roman" w:hAnsi="Times New Roman" w:cs="Times New Roman"/>
          <w:color w:val="auto"/>
          <w:highlight w:val="none"/>
        </w:rPr>
        <w:t>、资料审核员、资料受理和检验报告扫描上传人员等服务人员（详见表3）</w:t>
      </w:r>
      <w:r>
        <w:rPr>
          <w:rFonts w:hint="eastAsia" w:ascii="Times New Roman" w:hAnsi="Times New Roman" w:cs="Times New Roman"/>
          <w:color w:val="auto"/>
          <w:highlight w:val="none"/>
          <w:lang w:eastAsia="zh-CN"/>
        </w:rPr>
        <w:t>。</w:t>
      </w:r>
    </w:p>
    <w:p>
      <w:pPr>
        <w:pStyle w:val="30"/>
        <w:rPr>
          <w:rFonts w:hint="default" w:ascii="Times New Roman" w:hAnsi="Times New Roman" w:cs="Times New Roman"/>
          <w:color w:val="auto"/>
          <w:highlight w:val="none"/>
        </w:rPr>
      </w:pPr>
      <w:r>
        <w:rPr>
          <w:rFonts w:hint="default" w:ascii="Times New Roman" w:hAnsi="Times New Roman" w:cs="Times New Roman"/>
          <w:color w:val="auto"/>
          <w:highlight w:val="none"/>
        </w:rPr>
        <w:t>表3</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服务岗位人员配置表</w:t>
      </w:r>
    </w:p>
    <w:tbl>
      <w:tblPr>
        <w:tblStyle w:val="16"/>
        <w:tblpPr w:leftFromText="180" w:rightFromText="180" w:vertAnchor="text" w:tblpXSpec="center" w:tblpY="6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2853"/>
        <w:gridCol w:w="2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295" w:type="dxa"/>
          </w:tcPr>
          <w:p>
            <w:pPr>
              <w:keepNext w:val="0"/>
              <w:keepLines w:val="0"/>
              <w:pageBreakBefore w:val="0"/>
              <w:widowControl w:val="0"/>
              <w:suppressLineNumbers w:val="0"/>
              <w:kinsoku/>
              <w:wordWrap/>
              <w:overflowPunct/>
              <w:topLinePunct w:val="0"/>
              <w:bidi w:val="0"/>
              <w:adjustRightInd/>
              <w:snapToGrid/>
              <w:spacing w:line="400" w:lineRule="exact"/>
              <w:ind w:right="0"/>
              <w:jc w:val="center"/>
              <w:textAlignment w:val="auto"/>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序号</w:t>
            </w:r>
          </w:p>
        </w:tc>
        <w:tc>
          <w:tcPr>
            <w:tcW w:w="2853" w:type="dxa"/>
          </w:tcPr>
          <w:p>
            <w:pPr>
              <w:keepNext w:val="0"/>
              <w:keepLines w:val="0"/>
              <w:pageBreakBefore w:val="0"/>
              <w:widowControl w:val="0"/>
              <w:suppressLineNumbers w:val="0"/>
              <w:kinsoku/>
              <w:wordWrap/>
              <w:overflowPunct/>
              <w:topLinePunct w:val="0"/>
              <w:bidi w:val="0"/>
              <w:adjustRightInd/>
              <w:snapToGrid/>
              <w:spacing w:line="400" w:lineRule="exact"/>
              <w:ind w:right="0"/>
              <w:jc w:val="center"/>
              <w:textAlignment w:val="auto"/>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岗位</w:t>
            </w:r>
          </w:p>
        </w:tc>
        <w:tc>
          <w:tcPr>
            <w:tcW w:w="2915" w:type="dxa"/>
          </w:tcPr>
          <w:p>
            <w:pPr>
              <w:keepNext w:val="0"/>
              <w:keepLines w:val="0"/>
              <w:pageBreakBefore w:val="0"/>
              <w:widowControl w:val="0"/>
              <w:suppressLineNumbers w:val="0"/>
              <w:kinsoku/>
              <w:wordWrap/>
              <w:overflowPunct/>
              <w:topLinePunct w:val="0"/>
              <w:bidi w:val="0"/>
              <w:adjustRightInd/>
              <w:snapToGrid/>
              <w:spacing w:line="400" w:lineRule="exact"/>
              <w:ind w:right="0"/>
              <w:jc w:val="center"/>
              <w:textAlignment w:val="auto"/>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5" w:type="dxa"/>
          </w:tcPr>
          <w:p>
            <w:pPr>
              <w:keepNext w:val="0"/>
              <w:keepLines w:val="0"/>
              <w:pageBreakBefore w:val="0"/>
              <w:widowControl w:val="0"/>
              <w:suppressLineNumbers w:val="0"/>
              <w:kinsoku/>
              <w:wordWrap/>
              <w:overflowPunct/>
              <w:topLinePunct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w:t>
            </w:r>
          </w:p>
        </w:tc>
        <w:tc>
          <w:tcPr>
            <w:tcW w:w="2853" w:type="dxa"/>
          </w:tcPr>
          <w:p>
            <w:pPr>
              <w:keepNext w:val="0"/>
              <w:keepLines w:val="0"/>
              <w:pageBreakBefore w:val="0"/>
              <w:widowControl w:val="0"/>
              <w:suppressLineNumbers w:val="0"/>
              <w:kinsoku/>
              <w:wordWrap/>
              <w:overflowPunct/>
              <w:topLinePunct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综合咨询导办员</w:t>
            </w:r>
          </w:p>
        </w:tc>
        <w:tc>
          <w:tcPr>
            <w:tcW w:w="2915" w:type="dxa"/>
          </w:tcPr>
          <w:p>
            <w:pPr>
              <w:keepNext w:val="0"/>
              <w:keepLines w:val="0"/>
              <w:pageBreakBefore w:val="0"/>
              <w:widowControl w:val="0"/>
              <w:suppressLineNumbers w:val="0"/>
              <w:kinsoku/>
              <w:wordWrap/>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5" w:type="dxa"/>
            <w:vAlign w:val="center"/>
          </w:tcPr>
          <w:p>
            <w:pPr>
              <w:keepNext w:val="0"/>
              <w:keepLines w:val="0"/>
              <w:pageBreakBefore w:val="0"/>
              <w:widowControl w:val="0"/>
              <w:suppressLineNumbers w:val="0"/>
              <w:kinsoku/>
              <w:wordWrap/>
              <w:overflowPunct/>
              <w:topLinePunct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2</w:t>
            </w:r>
          </w:p>
        </w:tc>
        <w:tc>
          <w:tcPr>
            <w:tcW w:w="2853" w:type="dxa"/>
            <w:vAlign w:val="center"/>
          </w:tcPr>
          <w:p>
            <w:pPr>
              <w:keepNext w:val="0"/>
              <w:keepLines w:val="0"/>
              <w:pageBreakBefore w:val="0"/>
              <w:widowControl w:val="0"/>
              <w:suppressLineNumbers w:val="0"/>
              <w:kinsoku/>
              <w:wordWrap/>
              <w:overflowPunct/>
              <w:topLinePunct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资料审核员、资料受理和检验报告扫描上传人员</w:t>
            </w:r>
          </w:p>
        </w:tc>
        <w:tc>
          <w:tcPr>
            <w:tcW w:w="2915" w:type="dxa"/>
            <w:vAlign w:val="center"/>
          </w:tcPr>
          <w:p>
            <w:pPr>
              <w:keepNext w:val="0"/>
              <w:keepLines w:val="0"/>
              <w:pageBreakBefore w:val="0"/>
              <w:widowControl w:val="0"/>
              <w:suppressLineNumbers w:val="0"/>
              <w:kinsoku/>
              <w:wordWrap/>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3" w:type="dxa"/>
            <w:gridSpan w:val="3"/>
            <w:vAlign w:val="center"/>
          </w:tcPr>
          <w:p>
            <w:pPr>
              <w:keepNext w:val="0"/>
              <w:keepLines w:val="0"/>
              <w:pageBreakBefore w:val="0"/>
              <w:widowControl w:val="0"/>
              <w:suppressLineNumbers w:val="0"/>
              <w:kinsoku/>
              <w:wordWrap/>
              <w:overflowPunct/>
              <w:topLinePunct w:val="0"/>
              <w:autoSpaceDE w:val="0"/>
              <w:autoSpaceDN w:val="0"/>
              <w:bidi w:val="0"/>
              <w:adjustRightInd/>
              <w:snapToGrid/>
              <w:spacing w:line="400" w:lineRule="exact"/>
              <w:ind w:right="0" w:rightChars="0"/>
              <w:jc w:val="both"/>
              <w:textAlignment w:val="auto"/>
              <w:rPr>
                <w:rFonts w:hint="default" w:ascii="Times New Roman" w:hAnsi="Times New Roman" w:eastAsia="仿宋" w:cs="Times New Roman"/>
                <w:color w:val="auto"/>
                <w:spacing w:val="0"/>
                <w:sz w:val="24"/>
                <w:szCs w:val="24"/>
                <w:highlight w:val="none"/>
              </w:rPr>
            </w:pPr>
            <w:r>
              <w:rPr>
                <w:rFonts w:hint="eastAsia" w:ascii="方正仿宋_GB2312" w:hAnsi="方正仿宋_GB2312" w:eastAsia="方正仿宋_GB2312" w:cs="方正仿宋_GB2312"/>
                <w:color w:val="auto"/>
                <w:kern w:val="0"/>
                <w:sz w:val="24"/>
                <w:szCs w:val="24"/>
                <w:highlight w:val="none"/>
                <w:lang w:val="en-US" w:eastAsia="zh-CN" w:bidi="ar-SA"/>
              </w:rPr>
              <w:t>注：√表示应配置。</w:t>
            </w:r>
          </w:p>
        </w:tc>
      </w:tr>
    </w:tbl>
    <w:p>
      <w:pPr>
        <w:keepNext w:val="0"/>
        <w:keepLines w:val="0"/>
        <w:pageBreakBefore w:val="0"/>
        <w:widowControl w:val="0"/>
        <w:suppressLineNumbers w:val="0"/>
        <w:kinsoku/>
        <w:overflowPunct/>
        <w:topLinePunct w:val="0"/>
        <w:bidi w:val="0"/>
        <w:spacing w:line="560" w:lineRule="exact"/>
        <w:ind w:right="0"/>
        <w:jc w:val="left"/>
        <w:rPr>
          <w:rFonts w:hint="default" w:ascii="Times New Roman" w:hAnsi="Times New Roman" w:eastAsia="仿宋" w:cs="Times New Roman"/>
          <w:color w:val="auto"/>
          <w:kern w:val="0"/>
          <w:sz w:val="31"/>
          <w:szCs w:val="31"/>
          <w:highlight w:val="none"/>
          <w:lang w:val="en-US" w:eastAsia="zh-CN" w:bidi="ar-SA"/>
        </w:rPr>
      </w:pPr>
    </w:p>
    <w:p>
      <w:pPr>
        <w:pStyle w:val="3"/>
        <w:numPr>
          <w:ilvl w:val="0"/>
          <w:numId w:val="0"/>
        </w:numPr>
        <w:ind w:leftChars="0" w:firstLine="632" w:firstLineChars="200"/>
        <w:rPr>
          <w:rFonts w:hint="default" w:ascii="Times New Roman" w:hAnsi="Times New Roman" w:cs="Times New Roman"/>
          <w:b w:val="0"/>
          <w:color w:val="auto"/>
          <w:highlight w:val="none"/>
        </w:rPr>
      </w:pPr>
      <w:bookmarkStart w:id="27" w:name="_Toc32479"/>
      <w:bookmarkStart w:id="28" w:name="_Toc15546"/>
      <w:bookmarkStart w:id="29" w:name="_Toc30919"/>
      <w:bookmarkStart w:id="30" w:name="_Toc1965"/>
      <w:r>
        <w:rPr>
          <w:rFonts w:hint="eastAsia" w:ascii="Times New Roman" w:hAnsi="Times New Roman" w:cs="Times New Roman"/>
          <w:color w:val="auto"/>
          <w:highlight w:val="none"/>
          <w:lang w:val="en-US" w:eastAsia="zh-CN"/>
        </w:rPr>
        <w:t>4.2</w:t>
      </w:r>
      <w:r>
        <w:rPr>
          <w:rFonts w:hint="default" w:ascii="Times New Roman" w:hAnsi="Times New Roman" w:cs="Times New Roman"/>
          <w:color w:val="auto"/>
          <w:highlight w:val="none"/>
        </w:rPr>
        <w:t>人员配置</w:t>
      </w:r>
      <w:bookmarkEnd w:id="27"/>
      <w:r>
        <w:rPr>
          <w:rFonts w:hint="eastAsia"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及判定指南</w:t>
      </w:r>
      <w:bookmarkEnd w:id="28"/>
      <w:bookmarkEnd w:id="29"/>
      <w:bookmarkEnd w:id="30"/>
    </w:p>
    <w:p>
      <w:pPr>
        <w:pStyle w:val="4"/>
        <w:numPr>
          <w:ilvl w:val="0"/>
          <w:numId w:val="0"/>
        </w:numPr>
        <w:ind w:left="0" w:leftChars="0" w:firstLine="632" w:firstLineChars="0"/>
        <w:rPr>
          <w:rFonts w:hint="default" w:ascii="Times New Roman" w:hAnsi="Times New Roman" w:cs="Times New Roman"/>
          <w:b w:val="0"/>
          <w:color w:val="auto"/>
          <w:highlight w:val="none"/>
        </w:rPr>
      </w:pPr>
      <w:bookmarkStart w:id="31" w:name="_Toc1836"/>
      <w:bookmarkStart w:id="32" w:name="_Toc31222"/>
      <w:bookmarkStart w:id="33" w:name="_Toc13931"/>
      <w:r>
        <w:rPr>
          <w:rFonts w:hint="default" w:ascii="Times New Roman" w:hAnsi="Times New Roman" w:eastAsia="方正仿宋_GB2312" w:cs="Times New Roman"/>
          <w:b w:val="0"/>
          <w:color w:val="auto"/>
          <w:sz w:val="32"/>
          <w:szCs w:val="32"/>
        </w:rPr>
        <w:t>4.2.1</w:t>
      </w:r>
      <w:r>
        <w:rPr>
          <w:rFonts w:hint="default" w:ascii="Times New Roman" w:hAnsi="Times New Roman" w:cs="Times New Roman"/>
          <w:color w:val="auto"/>
          <w:highlight w:val="none"/>
        </w:rPr>
        <w:t>要求</w:t>
      </w:r>
      <w:bookmarkEnd w:id="31"/>
      <w:bookmarkEnd w:id="32"/>
      <w:bookmarkEnd w:id="33"/>
    </w:p>
    <w:p>
      <w:pPr>
        <w:bidi w:val="0"/>
        <w:ind w:firstLine="632" w:firstLineChars="200"/>
        <w:rPr>
          <w:rFonts w:hint="eastAsia"/>
          <w:color w:val="auto"/>
          <w:lang w:val="en-US" w:eastAsia="zh-CN"/>
        </w:rPr>
      </w:pPr>
      <w:r>
        <w:rPr>
          <w:rFonts w:hint="default"/>
          <w:color w:val="auto"/>
        </w:rPr>
        <w:t>《补充要求》第九条及释义：机动车检验机构检验人员数量应当与检测线数量及日检验车辆数量相匹配，满足机动车检验的要求。</w:t>
      </w:r>
    </w:p>
    <w:p>
      <w:pPr>
        <w:pStyle w:val="4"/>
        <w:numPr>
          <w:ilvl w:val="0"/>
          <w:numId w:val="0"/>
        </w:numPr>
        <w:ind w:left="0" w:leftChars="0" w:firstLine="632" w:firstLineChars="0"/>
        <w:rPr>
          <w:rFonts w:hint="default" w:ascii="Times New Roman" w:hAnsi="Times New Roman" w:eastAsia="方正仿宋_GB2312" w:cs="Times New Roman"/>
          <w:b w:val="0"/>
          <w:color w:val="auto"/>
          <w:sz w:val="32"/>
          <w:szCs w:val="32"/>
          <w:lang w:val="en-US" w:eastAsia="zh-CN"/>
        </w:rPr>
      </w:pPr>
      <w:bookmarkStart w:id="34" w:name="_Toc20645"/>
      <w:bookmarkStart w:id="35" w:name="_Toc7404"/>
      <w:r>
        <w:rPr>
          <w:rFonts w:hint="eastAsia" w:ascii="Times New Roman" w:hAnsi="Times New Roman" w:eastAsia="方正仿宋_GB2312" w:cs="Times New Roman"/>
          <w:b w:val="0"/>
          <w:color w:val="auto"/>
          <w:sz w:val="32"/>
          <w:szCs w:val="32"/>
          <w:lang w:val="en-US" w:eastAsia="zh-CN"/>
        </w:rPr>
        <w:t>4.2.2判定指南</w:t>
      </w:r>
      <w:bookmarkEnd w:id="34"/>
      <w:bookmarkEnd w:id="35"/>
    </w:p>
    <w:p>
      <w:pPr>
        <w:pStyle w:val="7"/>
        <w:numPr>
          <w:ilvl w:val="0"/>
          <w:numId w:val="0"/>
        </w:numPr>
        <w:ind w:firstLine="608" w:firstLineChars="200"/>
        <w:rPr>
          <w:rFonts w:hint="default" w:ascii="Times New Roman" w:hAnsi="Times New Roman" w:cs="Times New Roman"/>
          <w:b w:val="0"/>
          <w:strike w:val="0"/>
          <w:color w:val="auto"/>
          <w:highlight w:val="none"/>
          <w:u w:val="none"/>
        </w:rPr>
      </w:pPr>
      <w:r>
        <w:rPr>
          <w:rFonts w:hint="eastAsia" w:ascii="Times New Roman" w:hAnsi="Times New Roman" w:eastAsia="方正仿宋_GB2312" w:cs="Times New Roman"/>
          <w:color w:val="auto"/>
          <w:sz w:val="32"/>
          <w:szCs w:val="20"/>
          <w:highlight w:val="none"/>
          <w:u w:val="none"/>
          <w:lang w:val="en-US" w:eastAsia="zh-CN"/>
        </w:rPr>
        <w:t>4.2.2.1机动车检验机构接受现场评审时，应当提交管理、检验、服务等岗位人员的劳动合同及社保缴费明细；首次申请资质认定的，还应提供相关人员在本机构从业满3个月的社保缴费明细。人员社保缴纳单位与本机构不一致的，该人员视为无效在岗人员（兵团社保、社区社保及其他特殊情形除外）。</w:t>
      </w:r>
    </w:p>
    <w:p>
      <w:pPr>
        <w:pStyle w:val="7"/>
        <w:numPr>
          <w:ilvl w:val="0"/>
          <w:numId w:val="0"/>
        </w:numPr>
        <w:ind w:firstLine="608" w:firstLineChars="20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4.2.2.2</w:t>
      </w:r>
      <w:r>
        <w:rPr>
          <w:rFonts w:hint="default" w:ascii="Times New Roman" w:hAnsi="Times New Roman" w:cs="Times New Roman"/>
          <w:color w:val="auto"/>
          <w:highlight w:val="none"/>
        </w:rPr>
        <w:t>机构基本配置</w:t>
      </w:r>
      <w:r>
        <w:rPr>
          <w:rFonts w:hint="eastAsia" w:ascii="Times New Roman" w:hAnsi="Times New Roman" w:cs="Times New Roman"/>
          <w:color w:val="auto"/>
          <w:highlight w:val="none"/>
          <w:lang w:val="en-US" w:eastAsia="zh-CN"/>
        </w:rPr>
        <w:t>从业</w:t>
      </w:r>
      <w:r>
        <w:rPr>
          <w:rFonts w:hint="default" w:ascii="Times New Roman" w:hAnsi="Times New Roman" w:cs="Times New Roman"/>
          <w:color w:val="auto"/>
          <w:highlight w:val="none"/>
        </w:rPr>
        <w:t>人员不少于10人，</w:t>
      </w:r>
      <w:r>
        <w:rPr>
          <w:rFonts w:hint="eastAsia" w:ascii="Times New Roman" w:hAnsi="Times New Roman" w:cs="Times New Roman"/>
          <w:strike w:val="0"/>
          <w:dstrike w:val="0"/>
          <w:color w:val="auto"/>
          <w:highlight w:val="none"/>
          <w:u w:val="none"/>
          <w:lang w:val="en-US" w:eastAsia="zh-CN"/>
        </w:rPr>
        <w:t>多条</w:t>
      </w:r>
      <w:r>
        <w:rPr>
          <w:rFonts w:hint="default" w:ascii="Times New Roman" w:hAnsi="Times New Roman" w:cs="Times New Roman"/>
          <w:color w:val="auto"/>
          <w:highlight w:val="none"/>
          <w:u w:val="none"/>
        </w:rPr>
        <w:t>安检</w:t>
      </w:r>
      <w:r>
        <w:rPr>
          <w:rFonts w:hint="eastAsia" w:ascii="Times New Roman" w:hAnsi="Times New Roman" w:cs="Times New Roman"/>
          <w:color w:val="auto"/>
          <w:highlight w:val="none"/>
          <w:u w:val="none"/>
          <w:lang w:val="en-US" w:eastAsia="zh-CN"/>
        </w:rPr>
        <w:t>线</w:t>
      </w:r>
      <w:r>
        <w:rPr>
          <w:rFonts w:hint="default" w:ascii="Times New Roman" w:hAnsi="Times New Roman" w:cs="Times New Roman"/>
          <w:color w:val="auto"/>
          <w:highlight w:val="none"/>
          <w:u w:val="none"/>
        </w:rPr>
        <w:t>、</w:t>
      </w:r>
      <w:r>
        <w:rPr>
          <w:rFonts w:hint="eastAsia" w:ascii="Times New Roman" w:hAnsi="Times New Roman" w:cs="Times New Roman"/>
          <w:color w:val="auto"/>
          <w:highlight w:val="none"/>
          <w:u w:val="none"/>
          <w:lang w:val="en-US" w:eastAsia="zh-CN"/>
        </w:rPr>
        <w:t>多条</w:t>
      </w:r>
      <w:r>
        <w:rPr>
          <w:rFonts w:hint="default" w:ascii="Times New Roman" w:hAnsi="Times New Roman" w:cs="Times New Roman"/>
          <w:color w:val="auto"/>
          <w:highlight w:val="none"/>
          <w:u w:val="none"/>
        </w:rPr>
        <w:t>环检</w:t>
      </w:r>
      <w:r>
        <w:rPr>
          <w:rFonts w:hint="default" w:ascii="Times New Roman" w:hAnsi="Times New Roman" w:cs="Times New Roman"/>
          <w:color w:val="auto"/>
          <w:highlight w:val="none"/>
        </w:rPr>
        <w:t>线，适当增加线内检验人员数量。</w:t>
      </w:r>
    </w:p>
    <w:p>
      <w:pPr>
        <w:bidi w:val="0"/>
        <w:ind w:firstLine="608" w:firstLineChars="200"/>
        <w:rPr>
          <w:rFonts w:hint="default" w:ascii="Times New Roman" w:hAnsi="Times New Roman" w:eastAsia="方正仿宋_GB2312" w:cs="Times New Roman"/>
          <w:color w:val="auto"/>
          <w:spacing w:val="-6"/>
          <w:sz w:val="32"/>
          <w:szCs w:val="20"/>
          <w:highlight w:val="none"/>
          <w:lang w:val="en-US" w:eastAsia="zh-CN"/>
        </w:rPr>
      </w:pPr>
      <w:bookmarkStart w:id="36" w:name="_Toc15784"/>
      <w:r>
        <w:rPr>
          <w:rFonts w:hint="default" w:ascii="Times New Roman" w:hAnsi="Times New Roman" w:eastAsia="方正仿宋_GB2312" w:cs="Times New Roman"/>
          <w:color w:val="auto"/>
          <w:spacing w:val="-6"/>
          <w:sz w:val="32"/>
          <w:szCs w:val="20"/>
          <w:highlight w:val="none"/>
          <w:lang w:val="en-US" w:eastAsia="zh-CN"/>
        </w:rPr>
        <w:t>4.2.2</w:t>
      </w:r>
      <w:r>
        <w:rPr>
          <w:rFonts w:hint="eastAsia" w:ascii="Times New Roman" w:hAnsi="Times New Roman" w:eastAsia="方正仿宋_GB2312" w:cs="Times New Roman"/>
          <w:color w:val="auto"/>
          <w:spacing w:val="-6"/>
          <w:sz w:val="32"/>
          <w:szCs w:val="20"/>
          <w:highlight w:val="none"/>
          <w:lang w:val="en-US" w:eastAsia="zh-CN"/>
        </w:rPr>
        <w:t>.3</w:t>
      </w:r>
      <w:r>
        <w:rPr>
          <w:rFonts w:hint="default" w:ascii="Times New Roman" w:hAnsi="Times New Roman" w:eastAsia="方正仿宋_GB2312" w:cs="Times New Roman"/>
          <w:color w:val="auto"/>
          <w:spacing w:val="-6"/>
          <w:sz w:val="32"/>
          <w:szCs w:val="20"/>
          <w:highlight w:val="none"/>
          <w:lang w:val="en-US" w:eastAsia="zh-CN"/>
        </w:rPr>
        <w:t>人员兼岗要求</w:t>
      </w:r>
      <w:bookmarkEnd w:id="36"/>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08" w:firstLineChars="200"/>
        <w:jc w:val="both"/>
        <w:textAlignment w:val="auto"/>
        <w:rPr>
          <w:rFonts w:hint="default" w:ascii="Times New Roman" w:hAnsi="Times New Roman" w:eastAsia="方正仿宋_GB2312" w:cs="Times New Roman"/>
          <w:strike w:val="0"/>
          <w:dstrike w:val="0"/>
          <w:color w:val="auto"/>
          <w:spacing w:val="-6"/>
          <w:kern w:val="0"/>
          <w:sz w:val="32"/>
          <w:szCs w:val="20"/>
          <w:highlight w:val="none"/>
          <w:u w:val="none"/>
          <w:lang w:val="en-US" w:eastAsia="zh-CN"/>
        </w:rPr>
      </w:pPr>
      <w:r>
        <w:rPr>
          <w:rFonts w:hint="eastAsia" w:ascii="Times New Roman" w:hAnsi="Times New Roman" w:eastAsia="方正仿宋_GB2312" w:cs="Times New Roman"/>
          <w:strike w:val="0"/>
          <w:dstrike w:val="0"/>
          <w:color w:val="auto"/>
          <w:spacing w:val="-6"/>
          <w:kern w:val="0"/>
          <w:sz w:val="32"/>
          <w:szCs w:val="20"/>
          <w:highlight w:val="none"/>
          <w:u w:val="none"/>
          <w:lang w:val="en-US" w:eastAsia="zh-CN"/>
        </w:rPr>
        <w:t>机构各岗位之间可相互兼任，应合理设置岗位职责、明确任职能力要求，兼顾工作独立性与运行效率，下列情形除外：</w:t>
      </w:r>
    </w:p>
    <w:p>
      <w:pPr>
        <w:pStyle w:val="7"/>
        <w:keepNext w:val="0"/>
        <w:keepLines w:val="0"/>
        <w:pageBreakBefore w:val="0"/>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2312" w:cs="Times New Roman"/>
          <w:strike w:val="0"/>
          <w:dstrike w:val="0"/>
          <w:color w:val="auto"/>
          <w:spacing w:val="-6"/>
          <w:kern w:val="0"/>
          <w:sz w:val="32"/>
          <w:szCs w:val="20"/>
          <w:highlight w:val="none"/>
          <w:u w:val="none"/>
        </w:rPr>
      </w:pPr>
      <w:r>
        <w:rPr>
          <w:rFonts w:hint="default" w:ascii="Times New Roman" w:hAnsi="Times New Roman" w:eastAsia="方正仿宋_GB2312" w:cs="Times New Roman"/>
          <w:strike w:val="0"/>
          <w:dstrike w:val="0"/>
          <w:color w:val="auto"/>
          <w:spacing w:val="-6"/>
          <w:kern w:val="0"/>
          <w:sz w:val="32"/>
          <w:szCs w:val="20"/>
        </w:rPr>
        <w:t>a）</w:t>
      </w:r>
      <w:r>
        <w:rPr>
          <w:rFonts w:hint="default" w:ascii="Times New Roman" w:hAnsi="Times New Roman" w:eastAsia="方正仿宋_GB2312" w:cs="Times New Roman"/>
          <w:strike w:val="0"/>
          <w:dstrike w:val="0"/>
          <w:color w:val="auto"/>
          <w:spacing w:val="-6"/>
          <w:kern w:val="0"/>
          <w:sz w:val="32"/>
          <w:szCs w:val="20"/>
          <w:highlight w:val="none"/>
          <w:u w:val="none"/>
        </w:rPr>
        <w:t>质量负责人和技术负责人不应由同一人担任；</w:t>
      </w:r>
    </w:p>
    <w:p>
      <w:pPr>
        <w:pStyle w:val="7"/>
        <w:keepNext w:val="0"/>
        <w:keepLines w:val="0"/>
        <w:pageBreakBefore w:val="0"/>
        <w:numPr>
          <w:ilvl w:val="0"/>
          <w:numId w:val="0"/>
        </w:numPr>
        <w:kinsoku/>
        <w:wordWrap/>
        <w:overflowPunct/>
        <w:topLinePunct w:val="0"/>
        <w:autoSpaceDE/>
        <w:autoSpaceDN/>
        <w:bidi w:val="0"/>
        <w:adjustRightInd/>
        <w:snapToGrid/>
        <w:spacing w:line="560" w:lineRule="exact"/>
        <w:ind w:firstLine="608" w:firstLineChars="200"/>
        <w:textAlignment w:val="auto"/>
        <w:rPr>
          <w:rFonts w:hint="eastAsia" w:ascii="Times New Roman" w:hAnsi="Times New Roman" w:eastAsia="方正仿宋_GB2312" w:cs="Times New Roman"/>
          <w:strike w:val="0"/>
          <w:dstrike w:val="0"/>
          <w:color w:val="auto"/>
          <w:spacing w:val="-6"/>
          <w:kern w:val="0"/>
          <w:sz w:val="32"/>
          <w:szCs w:val="20"/>
          <w:highlight w:val="none"/>
          <w:u w:val="none"/>
          <w:lang w:val="en-US" w:eastAsia="zh-CN" w:bidi="ar-SA"/>
        </w:rPr>
      </w:pPr>
      <w:r>
        <w:rPr>
          <w:rFonts w:hint="eastAsia" w:ascii="Times New Roman" w:hAnsi="Times New Roman" w:eastAsia="方正仿宋_GB2312" w:cs="Times New Roman"/>
          <w:strike w:val="0"/>
          <w:dstrike w:val="0"/>
          <w:color w:val="auto"/>
          <w:spacing w:val="-6"/>
          <w:kern w:val="0"/>
          <w:sz w:val="32"/>
          <w:szCs w:val="20"/>
          <w:lang w:val="en-US" w:eastAsia="zh-CN" w:bidi="ar-SA"/>
        </w:rPr>
        <w:t>b）</w:t>
      </w:r>
      <w:r>
        <w:rPr>
          <w:rFonts w:hint="eastAsia" w:ascii="Times New Roman" w:hAnsi="Times New Roman" w:eastAsia="方正仿宋_GB2312" w:cs="Times New Roman"/>
          <w:strike w:val="0"/>
          <w:color w:val="auto"/>
          <w:kern w:val="0"/>
          <w:sz w:val="32"/>
          <w:szCs w:val="20"/>
          <w:highlight w:val="none"/>
          <w:u w:val="none"/>
          <w:lang w:val="en-US" w:eastAsia="zh-CN" w:bidi="ar-SA"/>
        </w:rPr>
        <w:t>只有1名授权签字人的机构，授权签字人不得兼任检验人员</w:t>
      </w:r>
      <w:r>
        <w:rPr>
          <w:rFonts w:hint="eastAsia" w:ascii="Times New Roman" w:hAnsi="Times New Roman" w:cs="Times New Roman"/>
          <w:strike w:val="0"/>
          <w:color w:val="auto"/>
          <w:kern w:val="0"/>
          <w:sz w:val="32"/>
          <w:szCs w:val="20"/>
          <w:highlight w:val="none"/>
          <w:u w:val="none"/>
          <w:lang w:val="en-US" w:eastAsia="zh-CN" w:bidi="ar-SA"/>
        </w:rPr>
        <w:t>；</w:t>
      </w:r>
    </w:p>
    <w:p>
      <w:pPr>
        <w:keepNext w:val="0"/>
        <w:keepLines w:val="0"/>
        <w:pageBreakBefore w:val="0"/>
        <w:widowControl w:val="0"/>
        <w:suppressLineNumbers w:val="0"/>
        <w:kinsoku/>
        <w:wordWrap/>
        <w:overflowPunct/>
        <w:topLinePunct w:val="0"/>
        <w:autoSpaceDE/>
        <w:autoSpaceDN/>
        <w:bidi w:val="0"/>
        <w:adjustRightInd/>
        <w:snapToGrid/>
        <w:spacing w:line="560" w:lineRule="exact"/>
        <w:ind w:right="0" w:firstLine="608" w:firstLineChars="200"/>
        <w:jc w:val="both"/>
        <w:textAlignment w:val="auto"/>
        <w:rPr>
          <w:rFonts w:hint="eastAsia" w:ascii="Times New Roman" w:hAnsi="Times New Roman" w:cs="Times New Roman"/>
          <w:strike w:val="0"/>
          <w:dstrike w:val="0"/>
          <w:color w:val="auto"/>
          <w:spacing w:val="-6"/>
          <w:kern w:val="0"/>
          <w:sz w:val="32"/>
          <w:szCs w:val="20"/>
          <w:highlight w:val="none"/>
          <w:u w:val="none"/>
          <w:lang w:eastAsia="zh-CN"/>
        </w:rPr>
      </w:pPr>
      <w:r>
        <w:rPr>
          <w:rFonts w:hint="eastAsia" w:ascii="Times New Roman" w:hAnsi="Times New Roman" w:eastAsia="方正仿宋_GB2312" w:cs="Times New Roman"/>
          <w:strike w:val="0"/>
          <w:dstrike w:val="0"/>
          <w:color w:val="auto"/>
          <w:spacing w:val="-6"/>
          <w:kern w:val="0"/>
          <w:sz w:val="32"/>
          <w:szCs w:val="20"/>
          <w:lang w:val="en-US" w:eastAsia="zh-CN" w:bidi="ar-SA"/>
        </w:rPr>
        <w:t>c）</w:t>
      </w:r>
      <w:r>
        <w:rPr>
          <w:rFonts w:hint="default" w:ascii="Times New Roman" w:hAnsi="Times New Roman" w:eastAsia="方正仿宋_GB2312" w:cs="Times New Roman"/>
          <w:strike w:val="0"/>
          <w:dstrike w:val="0"/>
          <w:color w:val="auto"/>
          <w:spacing w:val="-6"/>
          <w:kern w:val="0"/>
          <w:sz w:val="32"/>
          <w:szCs w:val="20"/>
          <w:highlight w:val="none"/>
          <w:u w:val="none"/>
        </w:rPr>
        <w:t>检验同一辆车时，每名检验人员只能从事一个岗位的检验工作</w:t>
      </w:r>
      <w:r>
        <w:rPr>
          <w:rFonts w:hint="eastAsia" w:ascii="Times New Roman" w:hAnsi="Times New Roman" w:cs="Times New Roman"/>
          <w:strike w:val="0"/>
          <w:dstrike w:val="0"/>
          <w:color w:val="auto"/>
          <w:spacing w:val="-6"/>
          <w:kern w:val="0"/>
          <w:sz w:val="32"/>
          <w:szCs w:val="20"/>
          <w:highlight w:val="none"/>
          <w:u w:val="none"/>
          <w:lang w:eastAsia="zh-CN"/>
        </w:rPr>
        <w:t>，</w:t>
      </w:r>
      <w:r>
        <w:rPr>
          <w:rFonts w:hint="eastAsia" w:ascii="Times New Roman" w:hAnsi="Times New Roman" w:cs="Times New Roman"/>
          <w:strike w:val="0"/>
          <w:dstrike w:val="0"/>
          <w:color w:val="auto"/>
          <w:spacing w:val="-6"/>
          <w:kern w:val="0"/>
          <w:sz w:val="32"/>
          <w:szCs w:val="20"/>
          <w:highlight w:val="none"/>
          <w:u w:val="none"/>
          <w:lang w:val="en-US" w:eastAsia="zh-CN"/>
        </w:rPr>
        <w:t>但</w:t>
      </w:r>
      <w:r>
        <w:rPr>
          <w:rFonts w:hint="eastAsia" w:ascii="Times New Roman" w:hAnsi="Times New Roman" w:eastAsia="方正仿宋_GB2312" w:cs="Times New Roman"/>
          <w:strike w:val="0"/>
          <w:dstrike w:val="0"/>
          <w:color w:val="auto"/>
          <w:spacing w:val="-6"/>
          <w:kern w:val="0"/>
          <w:sz w:val="32"/>
          <w:szCs w:val="20"/>
          <w:highlight w:val="none"/>
          <w:u w:val="none"/>
          <w:lang w:val="en-US" w:eastAsia="zh-CN"/>
        </w:rPr>
        <w:t>下列情形除外：引车员可以兼任底盘动态检验员；外观检验员、引车员或排放计算机操作员可以兼任OBD查验员</w:t>
      </w:r>
      <w:r>
        <w:rPr>
          <w:rFonts w:hint="eastAsia" w:ascii="Times New Roman" w:hAnsi="Times New Roman" w:cs="Times New Roman"/>
          <w:strike w:val="0"/>
          <w:dstrike w:val="0"/>
          <w:color w:val="auto"/>
          <w:spacing w:val="-6"/>
          <w:kern w:val="0"/>
          <w:sz w:val="32"/>
          <w:szCs w:val="20"/>
          <w:highlight w:val="none"/>
          <w:u w:val="none"/>
          <w:lang w:val="en-US" w:eastAsia="zh-CN"/>
        </w:rPr>
        <w:t>；排放计算机操作员可以兼任排放辅助检查人员</w:t>
      </w:r>
      <w:r>
        <w:rPr>
          <w:rFonts w:hint="eastAsia" w:ascii="Times New Roman" w:hAnsi="Times New Roman" w:cs="Times New Roman"/>
          <w:strike w:val="0"/>
          <w:dstrike w:val="0"/>
          <w:color w:val="auto"/>
          <w:spacing w:val="-6"/>
          <w:kern w:val="0"/>
          <w:sz w:val="32"/>
          <w:szCs w:val="20"/>
          <w:highlight w:val="none"/>
          <w:u w:val="none"/>
          <w:lang w:eastAsia="zh-CN"/>
        </w:rPr>
        <w:t>；</w:t>
      </w:r>
    </w:p>
    <w:p>
      <w:pPr>
        <w:pStyle w:val="7"/>
        <w:numPr>
          <w:ilvl w:val="0"/>
          <w:numId w:val="0"/>
        </w:numPr>
        <w:ind w:firstLine="608" w:firstLineChars="200"/>
        <w:rPr>
          <w:rFonts w:hint="default" w:ascii="Times New Roman" w:hAnsi="Times New Roman" w:cs="Times New Roman"/>
          <w:b w:val="0"/>
          <w:color w:val="auto"/>
          <w:highlight w:val="none"/>
        </w:rPr>
      </w:pPr>
      <w:r>
        <w:rPr>
          <w:rFonts w:hint="eastAsia" w:ascii="Times New Roman" w:hAnsi="Times New Roman" w:cs="Times New Roman"/>
          <w:color w:val="auto"/>
          <w:highlight w:val="none"/>
          <w:lang w:val="en-US" w:eastAsia="zh-CN"/>
        </w:rPr>
        <w:t>d）</w:t>
      </w:r>
      <w:r>
        <w:rPr>
          <w:rFonts w:hint="default" w:ascii="Times New Roman" w:hAnsi="Times New Roman" w:cs="Times New Roman"/>
          <w:color w:val="auto"/>
          <w:highlight w:val="none"/>
        </w:rPr>
        <w:t>对于具有多场所的机动车检验机构在管理体系文件中应制定多场所人员的使用规则及要求，包括管理人员、检验人员、服务人员的调用、轮岗、签署要求等规定。</w:t>
      </w:r>
    </w:p>
    <w:p>
      <w:pPr>
        <w:pStyle w:val="2"/>
        <w:numPr>
          <w:ilvl w:val="0"/>
          <w:numId w:val="5"/>
        </w:numPr>
        <w:ind w:left="0" w:leftChars="0" w:firstLine="632" w:firstLineChars="0"/>
        <w:rPr>
          <w:rFonts w:hint="default" w:ascii="Times New Roman" w:hAnsi="Times New Roman" w:cs="Times New Roman"/>
          <w:b w:val="0"/>
          <w:color w:val="auto"/>
          <w:highlight w:val="none"/>
        </w:rPr>
      </w:pPr>
      <w:bookmarkStart w:id="37" w:name="_Toc16675"/>
      <w:bookmarkStart w:id="38" w:name="_Toc32508"/>
      <w:bookmarkStart w:id="39" w:name="_Toc10052"/>
      <w:bookmarkStart w:id="40" w:name="_Toc13764"/>
      <w:bookmarkStart w:id="41" w:name="_Toc5253"/>
      <w:r>
        <w:rPr>
          <w:rFonts w:hint="default" w:ascii="Times New Roman" w:hAnsi="Times New Roman" w:cs="Times New Roman"/>
          <w:color w:val="auto"/>
          <w:highlight w:val="none"/>
        </w:rPr>
        <w:t>场所设施</w:t>
      </w:r>
      <w:bookmarkEnd w:id="37"/>
      <w:bookmarkEnd w:id="38"/>
      <w:bookmarkEnd w:id="39"/>
      <w:bookmarkEnd w:id="40"/>
      <w:bookmarkEnd w:id="41"/>
    </w:p>
    <w:p>
      <w:pPr>
        <w:pStyle w:val="3"/>
        <w:pageBreakBefore w:val="0"/>
        <w:numPr>
          <w:ilvl w:val="1"/>
          <w:numId w:val="5"/>
        </w:numPr>
        <w:kinsoku/>
        <w:wordWrap/>
        <w:overflowPunct/>
        <w:topLinePunct w:val="0"/>
        <w:autoSpaceDE/>
        <w:autoSpaceDN/>
        <w:bidi w:val="0"/>
        <w:adjustRightInd/>
        <w:snapToGrid/>
        <w:spacing w:line="560" w:lineRule="exact"/>
        <w:ind w:left="631" w:leftChars="0" w:firstLine="0" w:firstLineChars="0"/>
        <w:textAlignment w:val="auto"/>
        <w:rPr>
          <w:rFonts w:hint="default" w:ascii="Times New Roman" w:hAnsi="Times New Roman" w:cs="Times New Roman"/>
          <w:color w:val="auto"/>
          <w:highlight w:val="none"/>
        </w:rPr>
      </w:pPr>
      <w:bookmarkStart w:id="42" w:name="_Toc25135"/>
      <w:bookmarkStart w:id="43" w:name="_Toc7697"/>
      <w:bookmarkStart w:id="44" w:name="_Toc16888"/>
      <w:bookmarkStart w:id="45" w:name="_Toc22655"/>
      <w:bookmarkStart w:id="46" w:name="_Toc15969"/>
      <w:r>
        <w:rPr>
          <w:rFonts w:hint="default" w:ascii="Times New Roman" w:hAnsi="Times New Roman" w:cs="Times New Roman"/>
          <w:color w:val="auto"/>
          <w:highlight w:val="none"/>
        </w:rPr>
        <w:t>工作场所</w:t>
      </w:r>
      <w:bookmarkEnd w:id="42"/>
      <w:r>
        <w:rPr>
          <w:rFonts w:hint="eastAsia"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及判定指南</w:t>
      </w:r>
      <w:bookmarkEnd w:id="43"/>
      <w:bookmarkEnd w:id="44"/>
      <w:bookmarkEnd w:id="45"/>
    </w:p>
    <w:p>
      <w:pPr>
        <w:pStyle w:val="7"/>
        <w:pageBreakBefore w:val="0"/>
        <w:kinsoku/>
        <w:wordWrap/>
        <w:overflowPunct/>
        <w:topLinePunct w:val="0"/>
        <w:autoSpaceDE/>
        <w:autoSpaceDN/>
        <w:bidi w:val="0"/>
        <w:adjustRightInd/>
        <w:snapToGrid/>
        <w:spacing w:line="560" w:lineRule="exact"/>
        <w:ind w:left="0" w:leftChars="0" w:firstLine="608" w:firstLineChars="200"/>
        <w:textAlignment w:val="auto"/>
        <w:outlineLvl w:val="2"/>
        <w:rPr>
          <w:rFonts w:hint="eastAsia" w:ascii="Times New Roman" w:hAnsi="Times New Roman" w:eastAsia="方正仿宋_GB2312"/>
          <w:color w:val="auto"/>
          <w:highlight w:val="none"/>
          <w:lang w:val="en-US" w:eastAsia="zh-CN"/>
        </w:rPr>
      </w:pPr>
      <w:bookmarkStart w:id="47" w:name="_Toc4406"/>
      <w:bookmarkStart w:id="48" w:name="_Toc12055"/>
      <w:r>
        <w:rPr>
          <w:rFonts w:hint="eastAsia" w:ascii="Times New Roman" w:hAnsi="Times New Roman"/>
          <w:color w:val="auto"/>
          <w:highlight w:val="none"/>
          <w:lang w:val="en-US" w:eastAsia="zh-CN"/>
        </w:rPr>
        <w:t>5.1.1要求</w:t>
      </w:r>
      <w:bookmarkEnd w:id="47"/>
      <w:bookmarkEnd w:id="48"/>
    </w:p>
    <w:p>
      <w:pPr>
        <w:pStyle w:val="7"/>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《准则》2.10：检验检测机构应当具有固定的工作场所，工作环境符合检验检测要求。</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《准则》2.10.1*17：检验检测机构对工作场所具有完全的使用权，并能提供证明文件。如租用、借用场地，租用、借用场地的期限不少于1年。</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十四条及释义：机动车检验机构应当具有所有权或者完全使用权的固定工作场所，包括自有产权，上级划拨或允许使用，或有租赁协议。工作场所不得与他人共用，不得占用社会道路，不得存在场外飞地等。</w:t>
      </w:r>
    </w:p>
    <w:p>
      <w:pPr>
        <w:pStyle w:val="7"/>
        <w:numPr>
          <w:ilvl w:val="3"/>
          <w:numId w:val="0"/>
        </w:numPr>
        <w:ind w:firstLine="608"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十五条及释义：机动车检验机构场地、建筑物等设施应满足承检车型检验项目和安全作业的要求，并设置相应的办公、检验、服务等区域。在检验区域内对车辆进行有移动性质的检测时应封闭管理，有隔离设施防止无关人员进入，确保检验安全。</w:t>
      </w:r>
    </w:p>
    <w:p>
      <w:pPr>
        <w:pStyle w:val="7"/>
        <w:ind w:firstLine="608" w:firstLineChars="200"/>
        <w:outlineLvl w:val="2"/>
        <w:rPr>
          <w:rFonts w:hint="default" w:ascii="Times New Roman" w:hAnsi="Times New Roman" w:cs="Times New Roman"/>
          <w:color w:val="auto"/>
          <w:highlight w:val="none"/>
          <w:lang w:val="en-US" w:eastAsia="zh-CN"/>
        </w:rPr>
      </w:pPr>
      <w:bookmarkStart w:id="49" w:name="_Toc30807"/>
      <w:bookmarkStart w:id="50" w:name="_Toc9527"/>
      <w:bookmarkStart w:id="51" w:name="_Toc2631"/>
      <w:r>
        <w:rPr>
          <w:rFonts w:hint="eastAsia" w:ascii="Times New Roman" w:hAnsi="Times New Roman" w:cs="Times New Roman"/>
          <w:color w:val="auto"/>
          <w:highlight w:val="none"/>
          <w:lang w:val="en-US" w:eastAsia="zh-CN"/>
        </w:rPr>
        <w:t>5.1.2判定指南</w:t>
      </w:r>
      <w:bookmarkEnd w:id="49"/>
      <w:bookmarkEnd w:id="50"/>
      <w:bookmarkEnd w:id="51"/>
    </w:p>
    <w:p>
      <w:pPr>
        <w:pStyle w:val="7"/>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5.1.2.1</w:t>
      </w:r>
      <w:r>
        <w:rPr>
          <w:rFonts w:hint="default" w:ascii="Times New Roman" w:hAnsi="Times New Roman" w:cs="Times New Roman"/>
          <w:color w:val="auto"/>
          <w:highlight w:val="none"/>
        </w:rPr>
        <w:t>机动车检验机构提供的工作场所具有所有权或完全使用权的证明文件包括：</w:t>
      </w:r>
    </w:p>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a）</w:t>
      </w:r>
      <w:r>
        <w:rPr>
          <w:rFonts w:hint="default" w:ascii="Times New Roman" w:hAnsi="Times New Roman" w:cs="Times New Roman"/>
          <w:color w:val="auto"/>
          <w:highlight w:val="none"/>
        </w:rPr>
        <w:t>使用自有房屋的，应有房屋的不动产权证书（或房屋所有权证）；使用非自有房屋的，应有有效的租赁（借用）合同（</w:t>
      </w:r>
      <w:r>
        <w:rPr>
          <w:rFonts w:hint="eastAsia" w:ascii="Times New Roman" w:hAnsi="Times New Roman" w:cs="Times New Roman"/>
          <w:color w:val="auto"/>
          <w:highlight w:val="none"/>
          <w:lang w:val="en-US" w:eastAsia="zh-CN"/>
        </w:rPr>
        <w:t>或</w:t>
      </w:r>
      <w:r>
        <w:rPr>
          <w:rFonts w:hint="default" w:ascii="Times New Roman" w:hAnsi="Times New Roman" w:cs="Times New Roman"/>
          <w:color w:val="auto"/>
          <w:highlight w:val="none"/>
        </w:rPr>
        <w:t>无偿使用证明）和房屋的不动产权证书（或房屋所有权证）</w:t>
      </w:r>
      <w:r>
        <w:rPr>
          <w:rFonts w:hint="eastAsia" w:ascii="Times New Roman" w:hAnsi="Times New Roman" w:cs="Times New Roman"/>
          <w:color w:val="auto"/>
          <w:highlight w:val="none"/>
          <w:lang w:eastAsia="zh-CN"/>
        </w:rPr>
        <w:t>；</w:t>
      </w:r>
    </w:p>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b）</w:t>
      </w:r>
      <w:r>
        <w:rPr>
          <w:rFonts w:hint="default" w:ascii="Times New Roman" w:hAnsi="Times New Roman" w:cs="Times New Roman"/>
          <w:color w:val="auto"/>
          <w:highlight w:val="none"/>
        </w:rPr>
        <w:t>尚未取得房屋的不动产权证书（或房屋所有权证）且属于国有土地房屋的，应有房屋买卖合同等产权来源证明及竣工验收证明等交付使用证明</w:t>
      </w:r>
      <w:r>
        <w:rPr>
          <w:rFonts w:hint="eastAsia" w:ascii="Times New Roman" w:hAnsi="Times New Roman" w:cs="Times New Roman"/>
          <w:color w:val="auto"/>
          <w:highlight w:val="none"/>
          <w:lang w:eastAsia="zh-CN"/>
        </w:rPr>
        <w:t>；</w:t>
      </w:r>
    </w:p>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c）</w:t>
      </w:r>
      <w:r>
        <w:rPr>
          <w:rFonts w:hint="default" w:ascii="Times New Roman" w:hAnsi="Times New Roman" w:cs="Times New Roman"/>
          <w:color w:val="auto"/>
          <w:highlight w:val="none"/>
        </w:rPr>
        <w:t>属于集体土地房屋的或者由于特殊原因无房屋产权来源证明的，可以提交</w:t>
      </w:r>
      <w:r>
        <w:rPr>
          <w:rFonts w:hint="eastAsia" w:ascii="Times New Roman" w:hAnsi="Times New Roman" w:cs="Times New Roman"/>
          <w:color w:val="auto"/>
          <w:highlight w:val="none"/>
          <w:lang w:val="en-US" w:eastAsia="zh-CN"/>
        </w:rPr>
        <w:t>具备管理权限和职能的单位</w:t>
      </w:r>
      <w:r>
        <w:rPr>
          <w:rFonts w:hint="default" w:ascii="Times New Roman" w:hAnsi="Times New Roman" w:cs="Times New Roman"/>
          <w:color w:val="auto"/>
          <w:highlight w:val="none"/>
        </w:rPr>
        <w:t>出具的</w:t>
      </w:r>
      <w:r>
        <w:rPr>
          <w:rFonts w:hint="eastAsia" w:ascii="Times New Roman" w:hAnsi="Times New Roman" w:cs="Times New Roman"/>
          <w:color w:val="auto"/>
          <w:highlight w:val="none"/>
          <w:lang w:val="en-US" w:eastAsia="zh-CN"/>
        </w:rPr>
        <w:t>证明材料，材料</w:t>
      </w:r>
      <w:r>
        <w:rPr>
          <w:rFonts w:hint="default" w:ascii="Times New Roman" w:hAnsi="Times New Roman" w:cs="Times New Roman"/>
          <w:color w:val="auto"/>
          <w:highlight w:val="none"/>
        </w:rPr>
        <w:t>明确</w:t>
      </w:r>
      <w:r>
        <w:rPr>
          <w:rFonts w:hint="eastAsia" w:ascii="Times New Roman" w:hAnsi="Times New Roman" w:cs="Times New Roman"/>
          <w:color w:val="auto"/>
          <w:highlight w:val="none"/>
          <w:lang w:val="en-US" w:eastAsia="zh-CN"/>
        </w:rPr>
        <w:t>房</w:t>
      </w:r>
      <w:r>
        <w:rPr>
          <w:rFonts w:hint="default" w:ascii="Times New Roman" w:hAnsi="Times New Roman" w:cs="Times New Roman"/>
          <w:color w:val="auto"/>
          <w:highlight w:val="none"/>
        </w:rPr>
        <w:t>产权属主体、产权性质、行政区划、街道门牌号码等基本内容</w:t>
      </w:r>
      <w:r>
        <w:rPr>
          <w:rFonts w:hint="eastAsia" w:ascii="Times New Roman" w:hAnsi="Times New Roman" w:cs="Times New Roman"/>
          <w:color w:val="auto"/>
          <w:highlight w:val="none"/>
          <w:lang w:eastAsia="zh-CN"/>
        </w:rPr>
        <w:t>；</w:t>
      </w:r>
    </w:p>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d）</w:t>
      </w:r>
      <w:r>
        <w:rPr>
          <w:rFonts w:hint="default" w:ascii="Times New Roman" w:hAnsi="Times New Roman" w:cs="Times New Roman"/>
          <w:color w:val="auto"/>
          <w:highlight w:val="none"/>
        </w:rPr>
        <w:t>由各类产业聚集园区提供工作场所的，应有园区管委会出具的该场所地址证明文件</w:t>
      </w:r>
      <w:r>
        <w:rPr>
          <w:rFonts w:hint="eastAsia" w:ascii="Times New Roman" w:hAnsi="Times New Roman" w:cs="Times New Roman"/>
          <w:color w:val="auto"/>
          <w:highlight w:val="none"/>
          <w:lang w:eastAsia="zh-CN"/>
        </w:rPr>
        <w:t>。</w:t>
      </w:r>
    </w:p>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default" w:ascii="Times New Roman" w:hAnsi="Times New Roman" w:cs="Times New Roman"/>
          <w:color w:val="auto"/>
          <w:highlight w:val="none"/>
        </w:rPr>
        <w:t>机动车检验机构提供的场所不动产权证书和租用场所范围的场地平面图，应与产权证明、租用合同（如有）及机构实际场所布局一致，并覆盖全部工作场所，图中应清晰界定工作场所内各区域的边界范围，明确标注各区域，包括车辆进出口位置、场内道路、外检区、检测车间、办公区、停车场、路试区域、各检验工位之间的流转通道</w:t>
      </w:r>
      <w:r>
        <w:rPr>
          <w:rFonts w:hint="eastAsia" w:ascii="Times New Roman" w:hAnsi="Times New Roman" w:cs="Times New Roman"/>
          <w:color w:val="auto"/>
          <w:highlight w:val="none"/>
          <w:lang w:eastAsia="zh-CN"/>
        </w:rPr>
        <w:t>等</w:t>
      </w:r>
      <w:r>
        <w:rPr>
          <w:rFonts w:hint="default" w:ascii="Times New Roman" w:hAnsi="Times New Roman" w:cs="Times New Roman"/>
          <w:color w:val="auto"/>
          <w:highlight w:val="none"/>
        </w:rPr>
        <w:t>具体位置、场地尺寸</w:t>
      </w:r>
      <w:r>
        <w:rPr>
          <w:rFonts w:hint="eastAsia" w:ascii="Times New Roman" w:hAnsi="Times New Roman" w:cs="Times New Roman"/>
          <w:color w:val="auto"/>
          <w:highlight w:val="none"/>
          <w:lang w:eastAsia="zh-CN"/>
        </w:rPr>
        <w:t>。</w:t>
      </w:r>
    </w:p>
    <w:p>
      <w:pPr>
        <w:pStyle w:val="7"/>
        <w:numPr>
          <w:ilvl w:val="0"/>
          <w:numId w:val="0"/>
        </w:numPr>
        <w:ind w:firstLine="608" w:firstLineChars="200"/>
        <w:rPr>
          <w:rFonts w:hint="eastAsia" w:ascii="Times New Roman" w:hAnsi="Times New Roman" w:eastAsia="方正仿宋_GB2312" w:cs="Times New Roman"/>
          <w:color w:val="auto"/>
          <w:highlight w:val="none"/>
          <w:u w:val="none"/>
          <w:lang w:val="en-US" w:eastAsia="zh-CN"/>
        </w:rPr>
      </w:pPr>
      <w:r>
        <w:rPr>
          <w:rFonts w:hint="eastAsia" w:ascii="Times New Roman" w:hAnsi="Times New Roman" w:cs="Times New Roman"/>
          <w:color w:val="auto"/>
          <w:highlight w:val="none"/>
          <w:lang w:val="en-US" w:eastAsia="zh-CN"/>
        </w:rPr>
        <w:t>5.1.2.2</w:t>
      </w:r>
      <w:r>
        <w:rPr>
          <w:rFonts w:hint="default" w:ascii="Times New Roman" w:hAnsi="Times New Roman" w:cs="Times New Roman"/>
          <w:color w:val="auto"/>
          <w:highlight w:val="none"/>
        </w:rPr>
        <w:t>对于设置在工业园区、汽车产业园区、物流园区、商贸市场、客运站</w:t>
      </w:r>
      <w:r>
        <w:rPr>
          <w:rFonts w:hint="eastAsia" w:ascii="Times New Roman" w:hAnsi="Times New Roman" w:cs="Times New Roman"/>
          <w:color w:val="auto"/>
          <w:highlight w:val="none"/>
          <w:lang w:eastAsia="zh-CN"/>
        </w:rPr>
        <w:t>等</w:t>
      </w:r>
      <w:r>
        <w:rPr>
          <w:rFonts w:hint="default" w:ascii="Times New Roman" w:hAnsi="Times New Roman" w:cs="Times New Roman"/>
          <w:color w:val="auto"/>
          <w:highlight w:val="none"/>
        </w:rPr>
        <w:t>处的工作场所，此类工作场所具有完全使用权边界认定条件为：一是应与园区、市场内的其他单位进行有效的物理隔离，具有固定且不可拆卸的隔离设施，隔离设施高度不低于1.5</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，不得以锥形桶、警戒带等可拆卸、可移动方式隔离；二是不得将社会道路，包括园区、市场内等供公共车辆通行的道路、应急通道纳入工作场所内；三是工作场所封闭区域外</w:t>
      </w:r>
      <w:r>
        <w:rPr>
          <w:rFonts w:hint="default" w:ascii="Times New Roman" w:hAnsi="Times New Roman" w:cs="Times New Roman"/>
          <w:color w:val="auto"/>
          <w:highlight w:val="none"/>
          <w:u w:val="none"/>
        </w:rPr>
        <w:t>可借助</w:t>
      </w:r>
      <w:r>
        <w:rPr>
          <w:rFonts w:hint="eastAsia" w:ascii="Times New Roman" w:hAnsi="Times New Roman" w:cs="Times New Roman"/>
          <w:strike w:val="0"/>
          <w:dstrike w:val="0"/>
          <w:color w:val="auto"/>
          <w:highlight w:val="none"/>
          <w:u w:val="none"/>
          <w:lang w:val="en-US" w:eastAsia="zh-CN"/>
        </w:rPr>
        <w:t>园区公共道路通往市政道路</w:t>
      </w:r>
      <w:r>
        <w:rPr>
          <w:rFonts w:hint="eastAsia" w:ascii="Times New Roman" w:hAnsi="Times New Roman" w:cs="Times New Roman"/>
          <w:color w:val="auto"/>
          <w:highlight w:val="none"/>
          <w:u w:val="none"/>
          <w:lang w:eastAsia="zh-CN"/>
        </w:rPr>
        <w:t>。</w:t>
      </w:r>
    </w:p>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5.1.2.3</w:t>
      </w:r>
      <w:r>
        <w:rPr>
          <w:rFonts w:hint="default" w:ascii="Times New Roman" w:hAnsi="Times New Roman" w:cs="Times New Roman"/>
          <w:color w:val="auto"/>
          <w:highlight w:val="none"/>
        </w:rPr>
        <w:t>工作场所内不得有机动车生产、销售、维修等单位</w:t>
      </w:r>
      <w:r>
        <w:rPr>
          <w:rFonts w:hint="eastAsia" w:ascii="Times New Roman" w:hAnsi="Times New Roman" w:cs="Times New Roman"/>
          <w:color w:val="auto"/>
          <w:highlight w:val="none"/>
          <w:lang w:eastAsia="zh-CN"/>
        </w:rPr>
        <w:t>。</w:t>
      </w:r>
    </w:p>
    <w:p>
      <w:pPr>
        <w:pStyle w:val="7"/>
        <w:numPr>
          <w:ilvl w:val="0"/>
          <w:numId w:val="0"/>
        </w:numPr>
        <w:ind w:firstLine="608" w:firstLineChars="200"/>
        <w:rPr>
          <w:rFonts w:hint="eastAsia" w:ascii="Times New Roman" w:hAnsi="Times New Roman" w:eastAsia="方正仿宋_GB2312" w:cs="Times New Roman"/>
          <w:color w:val="auto"/>
          <w:highlight w:val="none"/>
          <w:lang w:eastAsia="zh-CN"/>
        </w:rPr>
      </w:pPr>
      <w:r>
        <w:rPr>
          <w:rFonts w:hint="eastAsia" w:ascii="Times New Roman" w:hAnsi="Times New Roman" w:cs="Times New Roman"/>
          <w:color w:val="auto"/>
          <w:highlight w:val="none"/>
          <w:lang w:val="en-US" w:eastAsia="zh-CN"/>
        </w:rPr>
        <w:t>5.1.2.4</w:t>
      </w:r>
      <w:r>
        <w:rPr>
          <w:rFonts w:hint="default" w:ascii="Times New Roman" w:hAnsi="Times New Roman" w:cs="Times New Roman"/>
          <w:color w:val="auto"/>
          <w:highlight w:val="none"/>
        </w:rPr>
        <w:t>对于由公安机关交通管理部门设置在检验机构工作场所内的车辆登记服务站，是公安机关服务群众的非经营性场所</w:t>
      </w:r>
      <w:r>
        <w:rPr>
          <w:rFonts w:hint="eastAsia" w:ascii="Times New Roman" w:hAnsi="Times New Roman" w:cs="Times New Roman"/>
          <w:color w:val="auto"/>
          <w:highlight w:val="none"/>
          <w:lang w:eastAsia="zh-CN"/>
        </w:rPr>
        <w:t>。</w:t>
      </w:r>
    </w:p>
    <w:p>
      <w:pPr>
        <w:pStyle w:val="7"/>
        <w:numPr>
          <w:ilvl w:val="0"/>
          <w:numId w:val="0"/>
        </w:numPr>
        <w:ind w:firstLine="608" w:firstLineChars="200"/>
        <w:rPr>
          <w:rFonts w:hint="default" w:ascii="Times New Roman" w:hAnsi="Times New Roman" w:cs="Times New Roman"/>
          <w:b w:val="0"/>
          <w:color w:val="auto"/>
          <w:highlight w:val="none"/>
        </w:rPr>
      </w:pPr>
      <w:r>
        <w:rPr>
          <w:rFonts w:hint="eastAsia" w:ascii="Times New Roman" w:hAnsi="Times New Roman" w:cs="Times New Roman"/>
          <w:color w:val="auto"/>
          <w:highlight w:val="none"/>
          <w:lang w:val="en-US" w:eastAsia="zh-CN"/>
        </w:rPr>
        <w:t>5.1.2.5</w:t>
      </w:r>
      <w:r>
        <w:rPr>
          <w:rFonts w:hint="default" w:ascii="Times New Roman" w:hAnsi="Times New Roman" w:cs="Times New Roman"/>
          <w:color w:val="auto"/>
          <w:highlight w:val="none"/>
        </w:rPr>
        <w:t>机动车检验机构注册登记地址与检验检测场所地址不一致时，应在《</w:t>
      </w:r>
      <w:r>
        <w:rPr>
          <w:rFonts w:hint="default" w:ascii="Times New Roman" w:hAnsi="Times New Roman" w:eastAsia="方正仿宋_GB2312" w:cs="Times New Roman"/>
          <w:color w:val="auto"/>
          <w:spacing w:val="-6"/>
          <w:sz w:val="32"/>
          <w:highlight w:val="none"/>
        </w:rPr>
        <w:t>检验检测机构资质认定申请书</w:t>
      </w:r>
      <w:r>
        <w:rPr>
          <w:rFonts w:hint="default" w:ascii="Times New Roman" w:hAnsi="Times New Roman" w:cs="Times New Roman"/>
          <w:color w:val="auto"/>
          <w:highlight w:val="none"/>
        </w:rPr>
        <w:t>》注明注册地址和检验检测场所地址。</w:t>
      </w:r>
    </w:p>
    <w:p>
      <w:pPr>
        <w:pStyle w:val="3"/>
        <w:numPr>
          <w:ilvl w:val="0"/>
          <w:numId w:val="0"/>
        </w:numPr>
        <w:ind w:firstLine="632" w:firstLineChars="200"/>
        <w:rPr>
          <w:rFonts w:hint="default" w:ascii="Times New Roman" w:hAnsi="Times New Roman" w:cs="Times New Roman"/>
          <w:color w:val="auto"/>
          <w:highlight w:val="none"/>
        </w:rPr>
      </w:pPr>
      <w:bookmarkStart w:id="52" w:name="_Toc26386"/>
      <w:bookmarkStart w:id="53" w:name="_Toc25506"/>
      <w:bookmarkStart w:id="54" w:name="_Toc24773"/>
      <w:bookmarkStart w:id="55" w:name="_Toc27343"/>
      <w:r>
        <w:rPr>
          <w:rFonts w:hint="eastAsia" w:ascii="Times New Roman" w:hAnsi="Times New Roman" w:cs="Times New Roman"/>
          <w:color w:val="auto"/>
          <w:highlight w:val="none"/>
          <w:lang w:val="en-US" w:eastAsia="zh-CN"/>
        </w:rPr>
        <w:t>5.2</w:t>
      </w:r>
      <w:r>
        <w:rPr>
          <w:rFonts w:hint="default" w:ascii="Times New Roman" w:hAnsi="Times New Roman" w:cs="Times New Roman"/>
          <w:color w:val="auto"/>
          <w:highlight w:val="none"/>
        </w:rPr>
        <w:t>场所区域设置</w:t>
      </w:r>
      <w:bookmarkEnd w:id="52"/>
      <w:r>
        <w:rPr>
          <w:rFonts w:hint="eastAsia"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及判定指南</w:t>
      </w:r>
      <w:bookmarkEnd w:id="53"/>
      <w:bookmarkEnd w:id="54"/>
      <w:bookmarkEnd w:id="55"/>
    </w:p>
    <w:p>
      <w:pPr>
        <w:ind w:firstLine="632" w:firstLineChars="200"/>
        <w:outlineLvl w:val="2"/>
        <w:rPr>
          <w:rFonts w:hint="default" w:eastAsia="方正仿宋_GB2312"/>
          <w:color w:val="auto"/>
          <w:lang w:val="en-US" w:eastAsia="zh-CN"/>
        </w:rPr>
      </w:pPr>
      <w:bookmarkStart w:id="56" w:name="_Toc16591"/>
      <w:bookmarkStart w:id="57" w:name="_Toc16214"/>
      <w:bookmarkStart w:id="58" w:name="_Toc8810"/>
      <w:r>
        <w:rPr>
          <w:rFonts w:hint="eastAsia" w:ascii="Times New Roman" w:hAnsi="Times New Roman" w:cs="Times New Roman"/>
          <w:color w:val="auto"/>
          <w:highlight w:val="none"/>
          <w:lang w:val="en-US" w:eastAsia="zh-CN"/>
        </w:rPr>
        <w:t>5.2.1要求</w:t>
      </w:r>
      <w:bookmarkEnd w:id="56"/>
      <w:bookmarkEnd w:id="57"/>
      <w:bookmarkEnd w:id="58"/>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准则》2.10.2.20：检验检测机构应当有效识别检验检测活动所涉及的安全因素（如危险化学品的规范存储和领用、危废处理的合规性、气瓶的安全管理和使用等），并设置必要的防护设施、应急设施，制定相应预案。</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《补充要求》第十五条：机动车检验机构场地、建筑物等设施应当满足承检车型检验项目和安全作业的要求，并设置相应的办公、检验、服务等区域。</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办公区域应当设置办公室、档案室</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分类存放技术档案、车辆档案</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、机房。</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检验区域应当设置预检区、外检区、车辆底盘部件检验区</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可与具备其功能的检验区合并</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、检测车间</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仪器设备自动控制区</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、底盘动态检验区、行车制动性能路试检验区</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适用时</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、驻车制动性</w:t>
      </w:r>
      <w:r>
        <w:rPr>
          <w:rFonts w:hint="eastAsia" w:ascii="Times New Roman" w:hAnsi="Times New Roman" w:cs="Times New Roman"/>
          <w:color w:val="auto"/>
          <w:highlight w:val="none"/>
          <w:lang w:val="en-US" w:eastAsia="zh-CN"/>
        </w:rPr>
        <w:t>能</w:t>
      </w:r>
      <w:r>
        <w:rPr>
          <w:rFonts w:hint="default" w:ascii="Times New Roman" w:hAnsi="Times New Roman" w:cs="Times New Roman"/>
          <w:color w:val="auto"/>
          <w:highlight w:val="none"/>
        </w:rPr>
        <w:t>路试检验区、整备/空车质量和外廓尺寸检验区</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适用时</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。外检区应当设置外检棚或外检车间。在检验区域内对车辆进行有移动性质的检测时应当封闭管理，有隔离设施防止无关人员进入，确保检验安全。</w:t>
      </w:r>
    </w:p>
    <w:p>
      <w:pPr>
        <w:pStyle w:val="4"/>
        <w:numPr>
          <w:ilvl w:val="3"/>
          <w:numId w:val="0"/>
        </w:numPr>
        <w:ind w:firstLine="632" w:firstLineChars="200"/>
        <w:rPr>
          <w:rFonts w:hint="default" w:ascii="Times New Roman" w:hAnsi="Times New Roman" w:cs="Times New Roman"/>
          <w:color w:val="auto"/>
          <w:highlight w:val="none"/>
        </w:rPr>
      </w:pPr>
      <w:bookmarkStart w:id="59" w:name="_Toc5279"/>
      <w:bookmarkStart w:id="60" w:name="_Toc11879"/>
      <w:bookmarkStart w:id="61" w:name="_Toc2720"/>
      <w:r>
        <w:rPr>
          <w:rFonts w:hint="eastAsia" w:ascii="Times New Roman" w:hAnsi="Times New Roman" w:cs="Times New Roman"/>
          <w:color w:val="auto"/>
          <w:highlight w:val="none"/>
          <w:lang w:val="en-US" w:eastAsia="zh-CN"/>
        </w:rPr>
        <w:t>5.2.2</w:t>
      </w:r>
      <w:r>
        <w:rPr>
          <w:rFonts w:hint="default" w:ascii="Times New Roman" w:hAnsi="Times New Roman" w:cs="Times New Roman"/>
          <w:color w:val="auto"/>
          <w:highlight w:val="none"/>
        </w:rPr>
        <w:t>判定指南</w:t>
      </w:r>
      <w:bookmarkEnd w:id="59"/>
      <w:bookmarkEnd w:id="60"/>
      <w:bookmarkEnd w:id="61"/>
    </w:p>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5.2.2.1</w:t>
      </w:r>
      <w:r>
        <w:rPr>
          <w:rFonts w:hint="default" w:ascii="Times New Roman" w:hAnsi="Times New Roman" w:cs="Times New Roman"/>
          <w:color w:val="auto"/>
          <w:highlight w:val="none"/>
        </w:rPr>
        <w:t>小型车辆外检棚或外检车间的长度应不小于6</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，宽度不小于3</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；大型车辆外检棚或外检车间的长度应不小于18</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，宽度不小于4</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w:t>
      </w:r>
    </w:p>
    <w:p>
      <w:pPr>
        <w:pStyle w:val="7"/>
        <w:numPr>
          <w:ilvl w:val="0"/>
          <w:numId w:val="0"/>
        </w:numPr>
        <w:ind w:firstLine="608" w:firstLineChars="200"/>
        <w:rPr>
          <w:rFonts w:hint="default" w:ascii="Times New Roman" w:hAnsi="Times New Roman" w:cs="Times New Roman"/>
          <w:b w:val="0"/>
          <w:color w:val="auto"/>
          <w:highlight w:val="none"/>
        </w:rPr>
      </w:pPr>
      <w:r>
        <w:rPr>
          <w:rFonts w:hint="eastAsia" w:ascii="Times New Roman" w:hAnsi="Times New Roman" w:cs="Times New Roman"/>
          <w:color w:val="auto"/>
          <w:highlight w:val="none"/>
          <w:lang w:val="en-US" w:eastAsia="zh-CN"/>
        </w:rPr>
        <w:t>5.2.2.2</w:t>
      </w:r>
      <w:r>
        <w:rPr>
          <w:rFonts w:hint="default" w:ascii="Times New Roman" w:hAnsi="Times New Roman" w:cs="Times New Roman"/>
          <w:color w:val="auto"/>
          <w:highlight w:val="none"/>
        </w:rPr>
        <w:t>机动车检验机构应在本机构检测场所内完成车辆检测全部工作，不得在检测过程中倒车进入下一工位进行检测，不得在检测完成后倒车驶出检测线。</w:t>
      </w:r>
    </w:p>
    <w:p>
      <w:pPr>
        <w:pStyle w:val="7"/>
        <w:numPr>
          <w:ilvl w:val="0"/>
          <w:numId w:val="0"/>
        </w:numPr>
        <w:ind w:firstLine="608" w:firstLineChars="200"/>
        <w:rPr>
          <w:rFonts w:hint="default" w:ascii="Times New Roman" w:hAnsi="Times New Roman" w:cs="Times New Roman"/>
          <w:b w:val="0"/>
          <w:color w:val="auto"/>
          <w:highlight w:val="none"/>
        </w:rPr>
      </w:pPr>
      <w:r>
        <w:rPr>
          <w:rFonts w:hint="eastAsia" w:ascii="Times New Roman" w:hAnsi="Times New Roman" w:cs="Times New Roman"/>
          <w:color w:val="auto"/>
          <w:highlight w:val="none"/>
          <w:lang w:val="en-US" w:eastAsia="zh-CN"/>
        </w:rPr>
        <w:t>5.2.2.3</w:t>
      </w:r>
      <w:r>
        <w:rPr>
          <w:rFonts w:hint="default" w:ascii="Times New Roman" w:hAnsi="Times New Roman" w:cs="Times New Roman"/>
          <w:color w:val="auto"/>
          <w:highlight w:val="none"/>
        </w:rPr>
        <w:t>对车辆进行有移动性质的检测（安全技术检验、排放检验检测线上的检测，底盘动态检验、路试行车制动、路试驻车制动）时应当封闭管理，有隔离设施防止无关人员进入，确保检验安全。</w:t>
      </w:r>
    </w:p>
    <w:p>
      <w:pPr>
        <w:pStyle w:val="7"/>
        <w:numPr>
          <w:ilvl w:val="0"/>
          <w:numId w:val="0"/>
        </w:numPr>
        <w:ind w:firstLine="608" w:firstLineChars="200"/>
        <w:rPr>
          <w:rFonts w:hint="default" w:ascii="Times New Roman" w:hAnsi="Times New Roman" w:cs="Times New Roman"/>
          <w:b w:val="0"/>
          <w:color w:val="auto"/>
          <w:highlight w:val="none"/>
        </w:rPr>
      </w:pPr>
      <w:r>
        <w:rPr>
          <w:rFonts w:hint="eastAsia" w:ascii="Times New Roman" w:hAnsi="Times New Roman" w:cs="Times New Roman"/>
          <w:color w:val="auto"/>
          <w:highlight w:val="none"/>
          <w:lang w:val="en-US" w:eastAsia="zh-CN"/>
        </w:rPr>
        <w:t>5.2.2.4</w:t>
      </w:r>
      <w:r>
        <w:rPr>
          <w:rFonts w:hint="default" w:ascii="Times New Roman" w:hAnsi="Times New Roman" w:cs="Times New Roman"/>
          <w:color w:val="auto"/>
          <w:highlight w:val="none"/>
        </w:rPr>
        <w:t>办公区域和检测区域的场地及建筑物等应当满足安全作业要求，自建或改造的办公区域（包括业务大厅）、检测车间应提供安全性能鉴定等证明材料。</w:t>
      </w:r>
    </w:p>
    <w:p>
      <w:pPr>
        <w:pStyle w:val="3"/>
        <w:numPr>
          <w:ilvl w:val="0"/>
          <w:numId w:val="0"/>
        </w:numPr>
        <w:ind w:firstLine="632" w:firstLineChars="200"/>
        <w:rPr>
          <w:rFonts w:hint="default" w:ascii="Times New Roman" w:hAnsi="Times New Roman" w:cs="Times New Roman"/>
          <w:color w:val="auto"/>
          <w:highlight w:val="none"/>
        </w:rPr>
      </w:pPr>
      <w:bookmarkStart w:id="62" w:name="_Toc15497"/>
      <w:bookmarkStart w:id="63" w:name="_Toc11015"/>
      <w:bookmarkStart w:id="64" w:name="_Toc12482"/>
      <w:r>
        <w:rPr>
          <w:rFonts w:hint="eastAsia" w:ascii="Times New Roman" w:hAnsi="Times New Roman" w:cs="Times New Roman"/>
          <w:color w:val="auto"/>
          <w:highlight w:val="none"/>
          <w:lang w:val="en-US" w:eastAsia="zh-CN"/>
        </w:rPr>
        <w:t>5.3</w:t>
      </w:r>
      <w:r>
        <w:rPr>
          <w:rFonts w:hint="default" w:ascii="Times New Roman" w:hAnsi="Times New Roman" w:cs="Times New Roman"/>
          <w:color w:val="auto"/>
          <w:highlight w:val="none"/>
        </w:rPr>
        <w:t>内部道路</w:t>
      </w:r>
      <w:r>
        <w:rPr>
          <w:rFonts w:hint="eastAsia"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及判定指南</w:t>
      </w:r>
      <w:bookmarkEnd w:id="62"/>
      <w:bookmarkEnd w:id="63"/>
      <w:bookmarkEnd w:id="64"/>
    </w:p>
    <w:p>
      <w:pPr>
        <w:ind w:firstLine="632" w:firstLineChars="200"/>
        <w:outlineLvl w:val="2"/>
        <w:rPr>
          <w:rFonts w:hint="default" w:eastAsia="方正仿宋_GB2312"/>
          <w:color w:val="auto"/>
          <w:lang w:val="en-US" w:eastAsia="zh-CN"/>
        </w:rPr>
      </w:pPr>
      <w:bookmarkStart w:id="65" w:name="_Toc12159"/>
      <w:bookmarkStart w:id="66" w:name="_Toc26713"/>
      <w:bookmarkStart w:id="67" w:name="_Toc27307"/>
      <w:r>
        <w:rPr>
          <w:rFonts w:hint="eastAsia" w:ascii="Times New Roman" w:hAnsi="Times New Roman" w:cs="Times New Roman"/>
          <w:color w:val="auto"/>
          <w:highlight w:val="none"/>
          <w:lang w:val="en-US" w:eastAsia="zh-CN"/>
        </w:rPr>
        <w:t>5.3.1要求</w:t>
      </w:r>
      <w:bookmarkEnd w:id="65"/>
      <w:bookmarkEnd w:id="66"/>
      <w:bookmarkEnd w:id="67"/>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w:t>
      </w:r>
      <w:r>
        <w:rPr>
          <w:rFonts w:hint="eastAsia" w:ascii="Times New Roman" w:hAnsi="Times New Roman" w:cs="Times New Roman"/>
          <w:color w:val="auto"/>
          <w:highlight w:val="none"/>
          <w:lang w:val="en-US" w:eastAsia="zh-CN"/>
        </w:rPr>
        <w:t>十</w:t>
      </w:r>
      <w:r>
        <w:rPr>
          <w:rFonts w:hint="default" w:ascii="Times New Roman" w:hAnsi="Times New Roman" w:cs="Times New Roman"/>
          <w:color w:val="auto"/>
          <w:highlight w:val="none"/>
        </w:rPr>
        <w:t>五条及释义</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机动车检验机构场地、建筑物等设施应满足承检车型检验项目和安全作业的要求，并设置相应的办公、检验、服务等区域</w:t>
      </w:r>
      <w:r>
        <w:rPr>
          <w:rFonts w:hint="default" w:ascii="Times New Roman" w:hAnsi="Times New Roman" w:cs="Times New Roman"/>
          <w:color w:val="auto"/>
          <w:highlight w:val="none"/>
        </w:rPr>
        <w:t>。</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《补充要求》第十六条及释义</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机动车检验机构内部道路应当为水泥或者沥青路面，并做到视线良好、保持畅通，道路的长度、转弯半径应当满足承载车型的正常行驶要求。</w:t>
      </w:r>
    </w:p>
    <w:p>
      <w:pPr>
        <w:pStyle w:val="4"/>
        <w:numPr>
          <w:ilvl w:val="3"/>
          <w:numId w:val="0"/>
        </w:numPr>
        <w:ind w:firstLine="632" w:firstLineChars="200"/>
        <w:rPr>
          <w:rFonts w:hint="default" w:ascii="Times New Roman" w:hAnsi="Times New Roman" w:cs="Times New Roman"/>
          <w:color w:val="auto"/>
          <w:highlight w:val="none"/>
        </w:rPr>
      </w:pPr>
      <w:bookmarkStart w:id="68" w:name="_Toc22295"/>
      <w:bookmarkStart w:id="69" w:name="_Toc30609"/>
      <w:bookmarkStart w:id="70" w:name="_Toc19582"/>
      <w:r>
        <w:rPr>
          <w:rFonts w:hint="eastAsia" w:ascii="Times New Roman" w:hAnsi="Times New Roman" w:cs="Times New Roman"/>
          <w:color w:val="auto"/>
          <w:highlight w:val="none"/>
          <w:lang w:val="en-US" w:eastAsia="zh-CN"/>
        </w:rPr>
        <w:t>5.3.2</w:t>
      </w:r>
      <w:r>
        <w:rPr>
          <w:rFonts w:hint="default" w:ascii="Times New Roman" w:hAnsi="Times New Roman" w:cs="Times New Roman"/>
          <w:color w:val="auto"/>
          <w:highlight w:val="none"/>
        </w:rPr>
        <w:t>判定指南</w:t>
      </w:r>
      <w:bookmarkEnd w:id="68"/>
      <w:bookmarkEnd w:id="69"/>
      <w:bookmarkEnd w:id="70"/>
    </w:p>
    <w:p>
      <w:pPr>
        <w:pStyle w:val="7"/>
        <w:rPr>
          <w:rFonts w:hint="default" w:ascii="Times New Roman" w:hAnsi="Times New Roman" w:cs="Times New Roman"/>
          <w:color w:val="auto"/>
          <w:highlight w:val="none"/>
        </w:rPr>
      </w:pPr>
      <w:r>
        <w:rPr>
          <w:rFonts w:hint="default" w:ascii="Times New Roman" w:hAnsi="Times New Roman" w:cs="Times New Roman"/>
          <w:b w:val="0"/>
          <w:color w:val="auto"/>
          <w:highlight w:val="none"/>
        </w:rPr>
        <w:t>机构内部道路宽度及转弯半径要求：</w:t>
      </w:r>
      <w:r>
        <w:rPr>
          <w:rFonts w:hint="default" w:ascii="Times New Roman" w:hAnsi="Times New Roman" w:cs="Times New Roman"/>
          <w:color w:val="auto"/>
          <w:highlight w:val="none"/>
        </w:rPr>
        <w:t>车辆行驶通道宽度及转弯半径应满足所承检全部车型能够一次性转弯或</w:t>
      </w:r>
      <w:r>
        <w:rPr>
          <w:rFonts w:hint="eastAsia" w:ascii="Times New Roman" w:hAnsi="Times New Roman" w:cs="Times New Roman"/>
          <w:color w:val="auto"/>
          <w:highlight w:val="none"/>
          <w:lang w:eastAsia="zh-CN"/>
        </w:rPr>
        <w:t>掉头</w:t>
      </w:r>
      <w:r>
        <w:rPr>
          <w:rFonts w:hint="default" w:ascii="Times New Roman" w:hAnsi="Times New Roman" w:cs="Times New Roman"/>
          <w:color w:val="auto"/>
          <w:highlight w:val="none"/>
        </w:rPr>
        <w:t>，且行驶过程中不得倒车。按照GB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1589-2016标准要求，结合道路设计相关技术规范，对机构内部道路宽度及转弯半径的判定标准如下：</w:t>
      </w:r>
    </w:p>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a）</w:t>
      </w:r>
      <w:r>
        <w:rPr>
          <w:rFonts w:hint="default" w:ascii="Times New Roman" w:hAnsi="Times New Roman" w:cs="Times New Roman"/>
          <w:color w:val="auto"/>
          <w:highlight w:val="none"/>
        </w:rPr>
        <w:t>机构内部检测车辆行驶通道宽度，小车通道不少于3</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；大车通道不少于4</w:t>
      </w:r>
      <w:r>
        <w:rPr>
          <w:rFonts w:hint="eastAsia" w:ascii="Times New Roman" w:hAnsi="Times New Roman" w:cs="Times New Roman"/>
          <w:color w:val="auto"/>
          <w:highlight w:val="none"/>
          <w:lang w:eastAsia="zh-CN"/>
        </w:rPr>
        <w:t>m；</w:t>
      </w:r>
    </w:p>
    <w:p>
      <w:pPr>
        <w:pStyle w:val="7"/>
        <w:numPr>
          <w:ilvl w:val="0"/>
          <w:numId w:val="0"/>
        </w:numPr>
        <w:ind w:firstLine="608" w:firstLineChars="200"/>
        <w:rPr>
          <w:rFonts w:hint="default" w:ascii="Times New Roman" w:hAnsi="Times New Roman" w:cs="Times New Roman"/>
          <w:b w:val="0"/>
          <w:color w:val="auto"/>
          <w:highlight w:val="none"/>
        </w:rPr>
      </w:pPr>
      <w:r>
        <w:rPr>
          <w:rFonts w:hint="eastAsia" w:ascii="Times New Roman" w:hAnsi="Times New Roman" w:cs="Times New Roman"/>
          <w:color w:val="auto"/>
          <w:highlight w:val="none"/>
          <w:lang w:val="en-US" w:eastAsia="zh-CN"/>
        </w:rPr>
        <w:t>b）</w:t>
      </w:r>
      <w:r>
        <w:rPr>
          <w:rFonts w:hint="default" w:ascii="Times New Roman" w:hAnsi="Times New Roman" w:cs="Times New Roman"/>
          <w:color w:val="auto"/>
          <w:highlight w:val="none"/>
        </w:rPr>
        <w:t>汽车直角转弯前方预留位置：小车线不少于6</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，大车线（挂车除外）不少于12</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，挂车不少于22</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。一次掉头转弯前方预留位置：小车线不少于9</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，大车线（挂车除外）不少于18</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，挂车不少于30</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对不满足上述要求的机构，使用机构申请承检的最长车型进行实际道路试验，从检验场所入口按照检验流程进行现场检验，应连续向前正向行驶，能够一次性连续完成所有的检验项目，检验过程中不得出现倒车、驶出路面、碾压检验设备设施等情况。</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根据试验结果，不满足转弯半径要求的，限制该机构部分车型的检测能力（如挂车）或明确该车型中受限车辆实际长度（如车长不超过xx</w:t>
      </w:r>
      <w:r>
        <w:rPr>
          <w:rFonts w:hint="eastAsia" w:ascii="Times New Roman" w:hAnsi="Times New Roman" w:cs="Times New Roman"/>
          <w:color w:val="auto"/>
          <w:highlight w:val="none"/>
          <w:lang w:val="en-US" w:eastAsia="zh-CN"/>
        </w:rPr>
        <w:t>米</w:t>
      </w:r>
      <w:r>
        <w:rPr>
          <w:rFonts w:hint="default" w:ascii="Times New Roman" w:hAnsi="Times New Roman" w:cs="Times New Roman"/>
          <w:color w:val="auto"/>
          <w:highlight w:val="none"/>
        </w:rPr>
        <w:t>的客车、货车、挂车或汽车列车），并在机构能力附表上加以限制说明。</w:t>
      </w:r>
    </w:p>
    <w:p>
      <w:pPr>
        <w:pStyle w:val="7"/>
        <w:rPr>
          <w:rFonts w:hint="eastAsia"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注：依据GB</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1589-2016的规定，检测场所内道路转弯半径达到13</w:t>
      </w:r>
      <w:r>
        <w:rPr>
          <w:rFonts w:hint="eastAsia"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rPr>
        <w:t>时（外前轮转弯半径），方能满足国家标准GB</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1589-2016规定的最长车辆（如中置轴车辆运输列车总长22</w:t>
      </w:r>
      <w:r>
        <w:rPr>
          <w:rFonts w:hint="eastAsia"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rPr>
        <w:t>）的通行；对于小型汽车检验机构，转弯半径达到7</w:t>
      </w:r>
      <w:r>
        <w:rPr>
          <w:rFonts w:hint="eastAsia"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rPr>
        <w:t>（外前轮转弯半径）时方能满足小型汽车的通行要求。</w:t>
      </w:r>
      <w:bookmarkStart w:id="71" w:name="_Toc5073"/>
    </w:p>
    <w:p>
      <w:pPr>
        <w:pStyle w:val="7"/>
        <w:ind w:left="0" w:leftChars="0" w:firstLine="608" w:firstLineChars="200"/>
        <w:outlineLvl w:val="1"/>
        <w:rPr>
          <w:rFonts w:hint="default" w:ascii="Times New Roman" w:hAnsi="Times New Roman" w:cs="Times New Roman"/>
          <w:color w:val="auto"/>
          <w:highlight w:val="none"/>
        </w:rPr>
      </w:pPr>
      <w:bookmarkStart w:id="72" w:name="_Toc19310"/>
      <w:bookmarkStart w:id="73" w:name="_Toc13324"/>
      <w:bookmarkStart w:id="74" w:name="_Toc27310"/>
      <w:r>
        <w:rPr>
          <w:rFonts w:hint="eastAsia" w:ascii="Times New Roman" w:hAnsi="Times New Roman" w:cs="Times New Roman"/>
          <w:color w:val="auto"/>
          <w:highlight w:val="none"/>
          <w:lang w:val="en-US" w:eastAsia="zh-CN"/>
        </w:rPr>
        <w:t>5.4</w:t>
      </w:r>
      <w:r>
        <w:rPr>
          <w:rFonts w:hint="default" w:ascii="Times New Roman" w:hAnsi="Times New Roman" w:cs="Times New Roman"/>
          <w:color w:val="auto"/>
          <w:highlight w:val="none"/>
        </w:rPr>
        <w:t>车辆底盘部件检验场地、设施</w:t>
      </w:r>
      <w:bookmarkEnd w:id="71"/>
      <w:r>
        <w:rPr>
          <w:rFonts w:hint="eastAsia"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及判定指南</w:t>
      </w:r>
      <w:bookmarkEnd w:id="72"/>
      <w:bookmarkEnd w:id="73"/>
      <w:bookmarkEnd w:id="74"/>
    </w:p>
    <w:p>
      <w:pPr>
        <w:pStyle w:val="7"/>
        <w:ind w:left="0" w:leftChars="0" w:firstLine="608" w:firstLineChars="200"/>
        <w:outlineLvl w:val="2"/>
        <w:rPr>
          <w:rFonts w:hint="eastAsia" w:ascii="Times New Roman" w:hAnsi="Times New Roman" w:eastAsia="方正仿宋_GB2312" w:cs="Times New Roman"/>
          <w:color w:val="auto"/>
          <w:highlight w:val="none"/>
          <w:lang w:val="en-US" w:eastAsia="zh-CN"/>
        </w:rPr>
      </w:pPr>
      <w:bookmarkStart w:id="75" w:name="_Toc4978"/>
      <w:bookmarkStart w:id="76" w:name="_Toc25199"/>
      <w:r>
        <w:rPr>
          <w:rFonts w:hint="eastAsia" w:ascii="Times New Roman" w:hAnsi="Times New Roman" w:cs="Times New Roman"/>
          <w:color w:val="auto"/>
          <w:highlight w:val="none"/>
          <w:lang w:val="en-US" w:eastAsia="zh-CN"/>
        </w:rPr>
        <w:t>5.4.1要求</w:t>
      </w:r>
      <w:bookmarkEnd w:id="75"/>
      <w:bookmarkEnd w:id="76"/>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《补充要求》第十八条</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车辆底盘部件检验操作空间应当满足检验要求，有良好的照明、通风、信号等设施，地沟周围有车辆防坠入措施。</w:t>
      </w:r>
    </w:p>
    <w:p>
      <w:pPr>
        <w:pStyle w:val="4"/>
        <w:numPr>
          <w:ilvl w:val="3"/>
          <w:numId w:val="0"/>
        </w:numPr>
        <w:ind w:firstLine="632" w:firstLineChars="200"/>
        <w:rPr>
          <w:rFonts w:hint="default" w:ascii="Times New Roman" w:hAnsi="Times New Roman" w:cs="Times New Roman"/>
          <w:color w:val="auto"/>
          <w:highlight w:val="none"/>
        </w:rPr>
      </w:pPr>
      <w:bookmarkStart w:id="77" w:name="_Toc9629"/>
      <w:bookmarkStart w:id="78" w:name="_Toc17331"/>
      <w:bookmarkStart w:id="79" w:name="_Toc8395"/>
      <w:r>
        <w:rPr>
          <w:rFonts w:hint="default" w:ascii="Times New Roman" w:hAnsi="Times New Roman" w:cs="Times New Roman"/>
          <w:color w:val="auto"/>
          <w:highlight w:val="none"/>
        </w:rPr>
        <w:t>5.4.</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判定指南</w:t>
      </w:r>
      <w:bookmarkEnd w:id="77"/>
      <w:bookmarkEnd w:id="78"/>
      <w:bookmarkEnd w:id="79"/>
    </w:p>
    <w:p>
      <w:pPr>
        <w:pStyle w:val="7"/>
        <w:numPr>
          <w:ilvl w:val="0"/>
          <w:numId w:val="0"/>
        </w:numPr>
        <w:ind w:firstLine="608" w:firstLineChars="200"/>
        <w:rPr>
          <w:rFonts w:hint="default" w:ascii="Times New Roman" w:hAnsi="Times New Roman" w:cs="Times New Roman"/>
          <w:b w:val="0"/>
          <w:color w:val="auto"/>
          <w:highlight w:val="none"/>
        </w:rPr>
      </w:pPr>
      <w:r>
        <w:rPr>
          <w:rFonts w:hint="eastAsia" w:ascii="Times New Roman" w:hAnsi="Times New Roman" w:cs="Times New Roman"/>
          <w:strike w:val="0"/>
          <w:dstrike w:val="0"/>
          <w:color w:val="auto"/>
          <w:highlight w:val="none"/>
          <w:lang w:val="en-US" w:eastAsia="zh-CN"/>
        </w:rPr>
        <w:t>5.4.2.1</w:t>
      </w:r>
      <w:r>
        <w:rPr>
          <w:rFonts w:hint="default" w:ascii="Times New Roman" w:hAnsi="Times New Roman" w:cs="Times New Roman"/>
          <w:color w:val="auto"/>
          <w:highlight w:val="none"/>
        </w:rPr>
        <w:t>车辆底盘部件检查操作空间应满足车辆底盘部件检查人员的活动要求，地沟长度要与被检车辆长度相匹配，且能保证检查过程中车</w:t>
      </w:r>
      <w:r>
        <w:rPr>
          <w:rFonts w:hint="default" w:ascii="Times New Roman" w:hAnsi="Times New Roman" w:cs="Times New Roman"/>
          <w:color w:val="auto"/>
          <w:highlight w:val="none"/>
          <w:u w:val="none"/>
        </w:rPr>
        <w:t>辆不需要移动。</w:t>
      </w:r>
      <w:r>
        <w:rPr>
          <w:rFonts w:hint="eastAsia" w:ascii="Times New Roman" w:hAnsi="Times New Roman" w:cs="Times New Roman"/>
          <w:color w:val="auto"/>
          <w:highlight w:val="none"/>
          <w:u w:val="none"/>
          <w:lang w:val="en-US" w:eastAsia="zh-CN"/>
        </w:rPr>
        <w:t>额定轴荷</w:t>
      </w:r>
      <w:r>
        <w:rPr>
          <w:rFonts w:hint="default" w:ascii="Times New Roman" w:hAnsi="Times New Roman" w:cs="Times New Roman"/>
          <w:color w:val="auto"/>
          <w:highlight w:val="none"/>
          <w:u w:val="none"/>
        </w:rPr>
        <w:t>13</w:t>
      </w:r>
      <w:r>
        <w:rPr>
          <w:rFonts w:hint="eastAsia" w:ascii="Times New Roman" w:hAnsi="Times New Roman" w:cs="Times New Roman"/>
          <w:color w:val="auto"/>
          <w:highlight w:val="none"/>
          <w:u w:val="none"/>
          <w:lang w:eastAsia="zh-CN"/>
        </w:rPr>
        <w:t>t</w:t>
      </w:r>
      <w:r>
        <w:rPr>
          <w:rFonts w:hint="default" w:ascii="Times New Roman" w:hAnsi="Times New Roman" w:cs="Times New Roman"/>
          <w:color w:val="auto"/>
          <w:highlight w:val="none"/>
          <w:u w:val="none"/>
        </w:rPr>
        <w:t>或13</w:t>
      </w:r>
      <w:r>
        <w:rPr>
          <w:rFonts w:hint="eastAsia" w:ascii="Times New Roman" w:hAnsi="Times New Roman" w:cs="Times New Roman"/>
          <w:color w:val="auto"/>
          <w:highlight w:val="none"/>
          <w:u w:val="none"/>
          <w:lang w:eastAsia="zh-CN"/>
        </w:rPr>
        <w:t>t</w:t>
      </w:r>
      <w:r>
        <w:rPr>
          <w:rFonts w:hint="default" w:ascii="Times New Roman" w:hAnsi="Times New Roman" w:cs="Times New Roman"/>
          <w:color w:val="auto"/>
          <w:highlight w:val="none"/>
          <w:u w:val="none"/>
        </w:rPr>
        <w:t>以上的检测线，地沟的有效长度不小于10</w:t>
      </w:r>
      <w:r>
        <w:rPr>
          <w:rFonts w:hint="eastAsia" w:ascii="Times New Roman" w:hAnsi="Times New Roman" w:cs="Times New Roman"/>
          <w:color w:val="auto"/>
          <w:highlight w:val="none"/>
          <w:u w:val="none"/>
          <w:lang w:eastAsia="zh-CN"/>
        </w:rPr>
        <w:t>m</w:t>
      </w:r>
      <w:r>
        <w:rPr>
          <w:rFonts w:hint="default" w:ascii="Times New Roman" w:hAnsi="Times New Roman" w:cs="Times New Roman"/>
          <w:color w:val="auto"/>
          <w:highlight w:val="none"/>
          <w:u w:val="none"/>
        </w:rPr>
        <w:t>；</w:t>
      </w:r>
      <w:r>
        <w:rPr>
          <w:rFonts w:hint="eastAsia" w:ascii="Times New Roman" w:hAnsi="Times New Roman" w:cs="Times New Roman"/>
          <w:color w:val="auto"/>
          <w:highlight w:val="none"/>
          <w:u w:val="none"/>
          <w:lang w:val="en-US" w:eastAsia="zh-CN"/>
        </w:rPr>
        <w:t>额定轴荷</w:t>
      </w:r>
      <w:r>
        <w:rPr>
          <w:rFonts w:hint="default" w:ascii="Times New Roman" w:hAnsi="Times New Roman" w:cs="Times New Roman"/>
          <w:color w:val="auto"/>
          <w:highlight w:val="none"/>
          <w:u w:val="none"/>
        </w:rPr>
        <w:t>10</w:t>
      </w:r>
      <w:r>
        <w:rPr>
          <w:rFonts w:hint="eastAsia" w:ascii="Times New Roman" w:hAnsi="Times New Roman" w:cs="Times New Roman"/>
          <w:color w:val="auto"/>
          <w:highlight w:val="none"/>
          <w:u w:val="none"/>
          <w:lang w:eastAsia="zh-CN"/>
        </w:rPr>
        <w:t>t</w:t>
      </w:r>
      <w:r>
        <w:rPr>
          <w:rFonts w:hint="default" w:ascii="Times New Roman" w:hAnsi="Times New Roman" w:cs="Times New Roman"/>
          <w:color w:val="auto"/>
          <w:highlight w:val="none"/>
          <w:u w:val="none"/>
        </w:rPr>
        <w:t>检测线，地沟的有效长度不小于8</w:t>
      </w:r>
      <w:r>
        <w:rPr>
          <w:rFonts w:hint="eastAsia" w:ascii="Times New Roman" w:hAnsi="Times New Roman" w:cs="Times New Roman"/>
          <w:color w:val="auto"/>
          <w:highlight w:val="none"/>
          <w:u w:val="none"/>
          <w:lang w:eastAsia="zh-CN"/>
        </w:rPr>
        <w:t>m</w:t>
      </w:r>
      <w:r>
        <w:rPr>
          <w:rFonts w:hint="default" w:ascii="Times New Roman" w:hAnsi="Times New Roman" w:cs="Times New Roman"/>
          <w:color w:val="auto"/>
          <w:highlight w:val="none"/>
          <w:u w:val="none"/>
        </w:rPr>
        <w:t>；</w:t>
      </w:r>
      <w:r>
        <w:rPr>
          <w:rFonts w:hint="eastAsia" w:ascii="Times New Roman" w:hAnsi="Times New Roman" w:cs="Times New Roman"/>
          <w:color w:val="auto"/>
          <w:highlight w:val="none"/>
          <w:u w:val="none"/>
          <w:lang w:val="en-US" w:eastAsia="zh-CN"/>
        </w:rPr>
        <w:t>额定轴荷</w:t>
      </w:r>
      <w:r>
        <w:rPr>
          <w:rFonts w:hint="default" w:ascii="Times New Roman" w:hAnsi="Times New Roman" w:cs="Times New Roman"/>
          <w:color w:val="auto"/>
          <w:highlight w:val="none"/>
          <w:u w:val="none"/>
        </w:rPr>
        <w:t>3</w:t>
      </w:r>
      <w:r>
        <w:rPr>
          <w:rFonts w:hint="eastAsia" w:ascii="Times New Roman" w:hAnsi="Times New Roman" w:cs="Times New Roman"/>
          <w:color w:val="auto"/>
          <w:highlight w:val="none"/>
          <w:u w:val="none"/>
          <w:lang w:eastAsia="zh-CN"/>
        </w:rPr>
        <w:t>t</w:t>
      </w:r>
      <w:r>
        <w:rPr>
          <w:rFonts w:hint="default" w:ascii="Times New Roman" w:hAnsi="Times New Roman" w:cs="Times New Roman"/>
          <w:color w:val="auto"/>
          <w:highlight w:val="none"/>
          <w:u w:val="none"/>
        </w:rPr>
        <w:t>检测线，地沟的有效</w:t>
      </w:r>
      <w:r>
        <w:rPr>
          <w:rFonts w:hint="default" w:ascii="Times New Roman" w:hAnsi="Times New Roman" w:cs="Times New Roman"/>
          <w:color w:val="auto"/>
          <w:highlight w:val="none"/>
        </w:rPr>
        <w:t>长度不小于6</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w:t>
      </w:r>
    </w:p>
    <w:p>
      <w:pPr>
        <w:pStyle w:val="7"/>
        <w:numPr>
          <w:ilvl w:val="0"/>
          <w:numId w:val="0"/>
        </w:numPr>
        <w:ind w:firstLine="608" w:firstLineChars="200"/>
        <w:rPr>
          <w:rFonts w:hint="default" w:ascii="Times New Roman" w:hAnsi="Times New Roman" w:eastAsia="方正仿宋_GB2312" w:cs="Times New Roman"/>
          <w:b w:val="0"/>
          <w:strike w:val="0"/>
          <w:color w:val="auto"/>
          <w:highlight w:val="green"/>
          <w:lang w:val="en-US" w:eastAsia="zh-CN"/>
        </w:rPr>
      </w:pPr>
      <w:r>
        <w:rPr>
          <w:rFonts w:hint="eastAsia" w:ascii="Times New Roman" w:hAnsi="Times New Roman" w:cs="Times New Roman"/>
          <w:strike w:val="0"/>
          <w:dstrike w:val="0"/>
          <w:color w:val="auto"/>
          <w:highlight w:val="none"/>
          <w:lang w:val="en-US" w:eastAsia="zh-CN"/>
        </w:rPr>
        <w:t>5.4.2.2</w:t>
      </w:r>
      <w:r>
        <w:rPr>
          <w:rFonts w:hint="default" w:ascii="Times New Roman" w:hAnsi="Times New Roman" w:cs="Times New Roman"/>
          <w:strike w:val="0"/>
          <w:dstrike w:val="0"/>
          <w:color w:val="auto"/>
          <w:highlight w:val="none"/>
        </w:rPr>
        <w:t>检验三轮汽车应配置有保障车辆安全通过地沟的装置。</w:t>
      </w:r>
    </w:p>
    <w:p>
      <w:pPr>
        <w:pStyle w:val="3"/>
        <w:numPr>
          <w:ilvl w:val="0"/>
          <w:numId w:val="0"/>
        </w:numPr>
        <w:ind w:leftChars="0" w:firstLine="632" w:firstLineChars="200"/>
        <w:rPr>
          <w:rFonts w:hint="default" w:ascii="Times New Roman" w:hAnsi="Times New Roman" w:cs="Times New Roman"/>
          <w:color w:val="auto"/>
          <w:highlight w:val="none"/>
        </w:rPr>
      </w:pPr>
      <w:bookmarkStart w:id="80" w:name="_Toc22903"/>
      <w:bookmarkStart w:id="81" w:name="_Toc5396"/>
      <w:bookmarkStart w:id="82" w:name="_Toc18021"/>
      <w:bookmarkStart w:id="83" w:name="_Toc26130"/>
      <w:r>
        <w:rPr>
          <w:rFonts w:hint="eastAsia" w:ascii="Times New Roman" w:hAnsi="Times New Roman" w:cs="Times New Roman"/>
          <w:color w:val="auto"/>
          <w:highlight w:val="none"/>
          <w:lang w:val="en-US" w:eastAsia="zh-CN"/>
        </w:rPr>
        <w:t>5.5</w:t>
      </w:r>
      <w:r>
        <w:rPr>
          <w:rFonts w:hint="default" w:ascii="Times New Roman" w:hAnsi="Times New Roman" w:cs="Times New Roman"/>
          <w:color w:val="auto"/>
          <w:highlight w:val="none"/>
        </w:rPr>
        <w:t>行车制动路试车道</w:t>
      </w:r>
      <w:bookmarkEnd w:id="80"/>
      <w:r>
        <w:rPr>
          <w:rFonts w:hint="eastAsia"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及判定指南</w:t>
      </w:r>
      <w:bookmarkEnd w:id="81"/>
      <w:bookmarkEnd w:id="82"/>
      <w:bookmarkEnd w:id="83"/>
    </w:p>
    <w:p>
      <w:pPr>
        <w:pStyle w:val="7"/>
        <w:ind w:firstLine="608" w:firstLineChars="200"/>
        <w:outlineLvl w:val="2"/>
        <w:rPr>
          <w:rFonts w:hint="default" w:ascii="Times New Roman" w:hAnsi="Times New Roman" w:eastAsia="方正仿宋_GB2312"/>
          <w:color w:val="auto"/>
          <w:highlight w:val="none"/>
          <w:lang w:val="en-US" w:eastAsia="zh-CN"/>
        </w:rPr>
      </w:pPr>
      <w:bookmarkStart w:id="84" w:name="_Toc18979"/>
      <w:bookmarkStart w:id="85" w:name="_Toc10273"/>
      <w:r>
        <w:rPr>
          <w:rFonts w:hint="default" w:ascii="Times New Roman" w:hAnsi="Times New Roman" w:cs="Times New Roman"/>
          <w:color w:val="auto"/>
          <w:highlight w:val="none"/>
          <w:lang w:val="en-US" w:eastAsia="zh-CN"/>
        </w:rPr>
        <w:t>5.5.1要求</w:t>
      </w:r>
      <w:bookmarkEnd w:id="84"/>
      <w:bookmarkEnd w:id="85"/>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《补充要求》第二十条释义：机动车检验机构应当具备行车制动路试车道，车道长度和宽度应当满足检验工作的要求。</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路试车道应当铺设平坦、硬实、清洁的水泥或者沥青路面，设置规范的交通标志标线，纵向坡度不大于1%、轮胎与地面间的附着系数不小于0.7。总质量小于等于3500</w:t>
      </w:r>
      <w:r>
        <w:rPr>
          <w:rFonts w:hint="eastAsia" w:ascii="Times New Roman" w:hAnsi="Times New Roman" w:cs="Times New Roman"/>
          <w:color w:val="auto"/>
          <w:highlight w:val="none"/>
          <w:lang w:val="en-US" w:eastAsia="zh-CN"/>
        </w:rPr>
        <w:t>kg</w:t>
      </w:r>
      <w:r>
        <w:rPr>
          <w:rFonts w:hint="default" w:ascii="Times New Roman" w:hAnsi="Times New Roman" w:cs="Times New Roman"/>
          <w:color w:val="auto"/>
          <w:highlight w:val="none"/>
        </w:rPr>
        <w:t>的车辆路试车道，有效长度不少于80</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宽度不少于6</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总质量大于3500kg的车辆路试车道，有效长度不少于100</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宽度不少于6</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或经过实测满足承检车型要求。路试车道应当设有安全标识和安全防护措施。</w:t>
      </w:r>
    </w:p>
    <w:p>
      <w:pPr>
        <w:pStyle w:val="7"/>
        <w:ind w:firstLine="608" w:firstLineChars="200"/>
        <w:outlineLvl w:val="2"/>
        <w:rPr>
          <w:rFonts w:hint="default" w:ascii="Times New Roman" w:hAnsi="Times New Roman" w:cs="Times New Roman"/>
          <w:color w:val="auto"/>
          <w:highlight w:val="none"/>
        </w:rPr>
      </w:pPr>
      <w:bookmarkStart w:id="86" w:name="_Toc6075"/>
      <w:bookmarkStart w:id="87" w:name="_Toc6371"/>
      <w:bookmarkStart w:id="88" w:name="_Toc9048"/>
      <w:r>
        <w:rPr>
          <w:rFonts w:hint="default" w:ascii="Times New Roman" w:hAnsi="Times New Roman" w:cs="Times New Roman"/>
          <w:color w:val="auto"/>
          <w:highlight w:val="none"/>
        </w:rPr>
        <w:t>5.</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判定指南</w:t>
      </w:r>
      <w:bookmarkEnd w:id="86"/>
      <w:bookmarkEnd w:id="87"/>
      <w:bookmarkEnd w:id="88"/>
    </w:p>
    <w:p>
      <w:pPr>
        <w:pStyle w:val="7"/>
        <w:rPr>
          <w:rFonts w:hint="default" w:ascii="Times New Roman" w:hAnsi="Times New Roman" w:cs="Times New Roman"/>
          <w:color w:val="auto"/>
          <w:highlight w:val="none"/>
        </w:rPr>
      </w:pPr>
      <w:r>
        <w:rPr>
          <w:rFonts w:hint="default" w:ascii="Times New Roman" w:hAnsi="Times New Roman" w:eastAsia="方正仿宋_GB2312" w:cs="Times New Roman"/>
          <w:color w:val="auto"/>
          <w:sz w:val="32"/>
          <w:szCs w:val="32"/>
        </w:rPr>
        <w:t>5.</w:t>
      </w:r>
      <w:r>
        <w:rPr>
          <w:rFonts w:hint="eastAsia" w:ascii="Times New Roman" w:hAnsi="Times New Roman" w:cs="Times New Roman"/>
          <w:color w:val="auto"/>
          <w:sz w:val="32"/>
          <w:szCs w:val="32"/>
          <w:lang w:val="en-US" w:eastAsia="zh-CN"/>
        </w:rPr>
        <w:t>5</w:t>
      </w:r>
      <w:r>
        <w:rPr>
          <w:rFonts w:hint="default" w:ascii="Times New Roman" w:hAnsi="Times New Roman" w:eastAsia="方正仿宋_GB2312" w:cs="Times New Roman"/>
          <w:color w:val="auto"/>
          <w:sz w:val="32"/>
          <w:szCs w:val="32"/>
        </w:rPr>
        <w:t>.</w:t>
      </w:r>
      <w:r>
        <w:rPr>
          <w:rFonts w:hint="eastAsia" w:ascii="Times New Roman" w:hAnsi="Times New Roman" w:cs="Times New Roman"/>
          <w:color w:val="auto"/>
          <w:sz w:val="32"/>
          <w:szCs w:val="32"/>
          <w:lang w:val="en-US" w:eastAsia="zh-CN"/>
        </w:rPr>
        <w:t>2</w:t>
      </w:r>
      <w:r>
        <w:rPr>
          <w:rFonts w:hint="default" w:ascii="Times New Roman" w:hAnsi="Times New Roman" w:eastAsia="方正仿宋_GB2312" w:cs="Times New Roman"/>
          <w:color w:val="auto"/>
          <w:sz w:val="32"/>
          <w:szCs w:val="32"/>
        </w:rPr>
        <w:t>.1</w:t>
      </w:r>
      <w:r>
        <w:rPr>
          <w:rFonts w:hint="default" w:ascii="Times New Roman" w:hAnsi="Times New Roman" w:cs="Times New Roman"/>
          <w:color w:val="auto"/>
          <w:highlight w:val="none"/>
        </w:rPr>
        <w:t>路试车道应设在检验场所内的独立区域，不得占用机构进出口道路、停车场、外检区域。临时占用路试车道时应制定相应的安全保障措施。</w:t>
      </w:r>
    </w:p>
    <w:p>
      <w:pPr>
        <w:pStyle w:val="5"/>
        <w:numPr>
          <w:ilvl w:val="0"/>
          <w:numId w:val="0"/>
        </w:numPr>
        <w:ind w:left="0" w:leftChars="0" w:firstLine="632" w:firstLineChars="0"/>
        <w:outlineLvl w:val="9"/>
        <w:rPr>
          <w:rFonts w:hint="default" w:ascii="Times New Roman" w:hAnsi="Times New Roman" w:cs="Times New Roman"/>
          <w:b w:val="0"/>
          <w:color w:val="auto"/>
          <w:highlight w:val="none"/>
        </w:rPr>
      </w:pPr>
      <w:r>
        <w:rPr>
          <w:rFonts w:hint="default" w:ascii="Times New Roman" w:hAnsi="Times New Roman" w:eastAsia="方正仿宋_GB2312" w:cs="Times New Roman"/>
          <w:b w:val="0"/>
          <w:color w:val="auto"/>
          <w:sz w:val="32"/>
          <w:szCs w:val="32"/>
        </w:rPr>
        <w:t>5.</w:t>
      </w:r>
      <w:r>
        <w:rPr>
          <w:rFonts w:hint="eastAsia" w:ascii="Times New Roman" w:hAnsi="Times New Roman" w:cs="Times New Roman"/>
          <w:b w:val="0"/>
          <w:color w:val="auto"/>
          <w:sz w:val="32"/>
          <w:szCs w:val="32"/>
          <w:lang w:val="en-US" w:eastAsia="zh-CN"/>
        </w:rPr>
        <w:t>5</w:t>
      </w:r>
      <w:r>
        <w:rPr>
          <w:rFonts w:hint="default" w:ascii="Times New Roman" w:hAnsi="Times New Roman" w:eastAsia="方正仿宋_GB2312" w:cs="Times New Roman"/>
          <w:b w:val="0"/>
          <w:color w:val="auto"/>
          <w:sz w:val="32"/>
          <w:szCs w:val="32"/>
        </w:rPr>
        <w:t>.</w:t>
      </w:r>
      <w:r>
        <w:rPr>
          <w:rFonts w:hint="eastAsia" w:ascii="Times New Roman" w:hAnsi="Times New Roman" w:cs="Times New Roman"/>
          <w:b w:val="0"/>
          <w:color w:val="auto"/>
          <w:sz w:val="32"/>
          <w:szCs w:val="32"/>
          <w:lang w:val="en-US" w:eastAsia="zh-CN"/>
        </w:rPr>
        <w:t>2</w:t>
      </w:r>
      <w:r>
        <w:rPr>
          <w:rFonts w:hint="default" w:ascii="Times New Roman" w:hAnsi="Times New Roman" w:eastAsia="方正仿宋_GB2312" w:cs="Times New Roman"/>
          <w:b w:val="0"/>
          <w:color w:val="auto"/>
          <w:sz w:val="32"/>
          <w:szCs w:val="32"/>
        </w:rPr>
        <w:t>.2</w:t>
      </w:r>
      <w:r>
        <w:rPr>
          <w:rFonts w:hint="default" w:ascii="Times New Roman" w:hAnsi="Times New Roman" w:cs="Times New Roman"/>
          <w:color w:val="auto"/>
          <w:highlight w:val="none"/>
        </w:rPr>
        <w:t>结合GB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1589-2016的规定，</w:t>
      </w:r>
      <w:r>
        <w:rPr>
          <w:rFonts w:hint="eastAsia" w:ascii="Times New Roman" w:hAnsi="Times New Roman" w:cs="Times New Roman"/>
          <w:color w:val="auto"/>
          <w:highlight w:val="none"/>
          <w:lang w:val="en-US" w:eastAsia="zh-CN"/>
        </w:rPr>
        <w:t>同时考虑到路试</w:t>
      </w:r>
      <w:r>
        <w:rPr>
          <w:rFonts w:hint="default" w:ascii="Times New Roman" w:hAnsi="Times New Roman" w:cs="Times New Roman"/>
          <w:color w:val="auto"/>
          <w:highlight w:val="none"/>
        </w:rPr>
        <w:t>车道前后应有一定的车辆转弯或掉头的区域，路试车道长度要求</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详见表4</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pPr>
        <w:pStyle w:val="7"/>
        <w:numPr>
          <w:ilvl w:val="0"/>
          <w:numId w:val="0"/>
        </w:numPr>
        <w:ind w:firstLine="608"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a）总质量小于等于3500kg的汽车，路试车道总长度应不少于86米，可以路试检验所有小型汽车和三轮汽车；</w:t>
      </w:r>
    </w:p>
    <w:p>
      <w:pPr>
        <w:pStyle w:val="7"/>
        <w:numPr>
          <w:ilvl w:val="0"/>
          <w:numId w:val="0"/>
        </w:numPr>
        <w:ind w:firstLine="608"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b）对于总质量大于3500kg的汽车，路试车道总长度应不少于118米，才能满足所有汽车路试检验要求；（GB 1589-2016规定的单铰接客车的长度最大限值为18m）；</w:t>
      </w:r>
    </w:p>
    <w:p>
      <w:pPr>
        <w:pStyle w:val="7"/>
        <w:numPr>
          <w:ilvl w:val="0"/>
          <w:numId w:val="0"/>
        </w:numPr>
        <w:ind w:firstLine="608" w:firstLineChars="200"/>
        <w:rPr>
          <w:rFonts w:hint="default" w:ascii="Times New Roman" w:hAnsi="Times New Roman" w:cs="Times New Roman"/>
          <w:b w:val="0"/>
          <w:color w:val="auto"/>
          <w:highlight w:val="none"/>
        </w:rPr>
      </w:pPr>
      <w:r>
        <w:rPr>
          <w:rFonts w:hint="eastAsia" w:ascii="Times New Roman" w:hAnsi="Times New Roman" w:cs="Times New Roman"/>
          <w:color w:val="auto"/>
          <w:highlight w:val="none"/>
          <w:lang w:val="en-US" w:eastAsia="zh-CN"/>
        </w:rPr>
        <w:t>c）对于汽车列车，路试车道总长度应不少于122米，才能满足所有汽车列车路试检验要求；（GB 1589-2016规定中置轴车辆运输列车的长度最大限值为22m）。</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对不满足上述要求的路试车道，采用机构申请承检的最长车型进行道路试验实测，根据实测结果，不满足路试车道总长度要求的，限制机构部分车型的检测能力（如挂车）或明确该车型中受限车辆实际长度（如车长不超过xx</w:t>
      </w:r>
      <w:r>
        <w:rPr>
          <w:rFonts w:hint="eastAsia" w:ascii="Times New Roman" w:hAnsi="Times New Roman" w:cs="Times New Roman"/>
          <w:color w:val="auto"/>
          <w:highlight w:val="none"/>
          <w:lang w:val="en-US" w:eastAsia="zh-CN"/>
        </w:rPr>
        <w:t>米</w:t>
      </w:r>
      <w:r>
        <w:rPr>
          <w:rFonts w:hint="default" w:ascii="Times New Roman" w:hAnsi="Times New Roman" w:cs="Times New Roman"/>
          <w:color w:val="auto"/>
          <w:highlight w:val="none"/>
        </w:rPr>
        <w:t>的客车、货车或汽车列车），并在机构能力附表上加以限制说明。</w:t>
      </w:r>
    </w:p>
    <w:p>
      <w:pPr>
        <w:pStyle w:val="30"/>
        <w:rPr>
          <w:rFonts w:hint="default" w:ascii="Times New Roman" w:hAnsi="Times New Roman" w:cs="Times New Roman"/>
          <w:color w:val="auto"/>
          <w:highlight w:val="none"/>
        </w:rPr>
      </w:pPr>
      <w:r>
        <w:rPr>
          <w:rFonts w:hint="default" w:ascii="Times New Roman" w:hAnsi="Times New Roman" w:cs="Times New Roman"/>
          <w:color w:val="auto"/>
          <w:highlight w:val="none"/>
        </w:rPr>
        <w:t>表4</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不同承检车型路试道配置一览表</w:t>
      </w:r>
    </w:p>
    <w:tbl>
      <w:tblPr>
        <w:tblStyle w:val="15"/>
        <w:tblW w:w="5033" w:type="pct"/>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472"/>
        <w:gridCol w:w="3050"/>
        <w:gridCol w:w="1239"/>
        <w:gridCol w:w="1013"/>
        <w:gridCol w:w="3139"/>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0" w:hRule="atLeast"/>
          <w:tblHeader/>
          <w:jc w:val="center"/>
        </w:trPr>
        <w:tc>
          <w:tcPr>
            <w:tcW w:w="265"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序号</w:t>
            </w:r>
          </w:p>
        </w:tc>
        <w:tc>
          <w:tcPr>
            <w:tcW w:w="171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机构申请的检验能力</w:t>
            </w:r>
          </w:p>
        </w:tc>
        <w:tc>
          <w:tcPr>
            <w:tcW w:w="695"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承检车型的长度限值</w:t>
            </w:r>
          </w:p>
        </w:tc>
        <w:tc>
          <w:tcPr>
            <w:tcW w:w="56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路试车道总长度</w:t>
            </w:r>
          </w:p>
        </w:tc>
        <w:tc>
          <w:tcPr>
            <w:tcW w:w="1759"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备注</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06" w:hRule="atLeast"/>
          <w:jc w:val="center"/>
        </w:trPr>
        <w:tc>
          <w:tcPr>
            <w:tcW w:w="265" w:type="pct"/>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1</w:t>
            </w:r>
          </w:p>
        </w:tc>
        <w:tc>
          <w:tcPr>
            <w:tcW w:w="1711" w:type="pct"/>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采用平板制动检验台检验非营运小型、微型载客汽车</w:t>
            </w:r>
          </w:p>
        </w:tc>
        <w:tc>
          <w:tcPr>
            <w:tcW w:w="695" w:type="pct"/>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6</w:t>
            </w:r>
            <w:r>
              <w:rPr>
                <w:rFonts w:hint="eastAsia" w:ascii="Times New Roman" w:hAnsi="Times New Roman" w:eastAsia="仿宋" w:cs="Times New Roman"/>
                <w:color w:val="auto"/>
                <w:sz w:val="24"/>
                <w:szCs w:val="24"/>
                <w:highlight w:val="none"/>
                <w:lang w:val="en-US" w:eastAsia="zh-CN"/>
              </w:rPr>
              <w:t>m</w:t>
            </w:r>
          </w:p>
        </w:tc>
        <w:tc>
          <w:tcPr>
            <w:tcW w:w="568" w:type="pct"/>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可不配备</w:t>
            </w:r>
          </w:p>
        </w:tc>
        <w:tc>
          <w:tcPr>
            <w:tcW w:w="1759" w:type="pct"/>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left="0" w:leftChars="0" w:right="0" w:rightChars="0" w:firstLine="472" w:firstLineChars="200"/>
              <w:jc w:val="center"/>
              <w:textAlignment w:val="auto"/>
              <w:rPr>
                <w:rFonts w:hint="default" w:ascii="Times New Roman" w:hAnsi="Times New Roman" w:eastAsia="仿宋" w:cs="Times New Roman"/>
                <w:color w:val="auto"/>
                <w:sz w:val="24"/>
                <w:szCs w:val="24"/>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4" w:hRule="atLeast"/>
          <w:jc w:val="center"/>
        </w:trPr>
        <w:tc>
          <w:tcPr>
            <w:tcW w:w="265" w:type="pct"/>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w:t>
            </w:r>
          </w:p>
        </w:tc>
        <w:tc>
          <w:tcPr>
            <w:tcW w:w="1711" w:type="pct"/>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总质量小于等于3500kg的</w:t>
            </w:r>
            <w:r>
              <w:rPr>
                <w:rFonts w:hint="default" w:ascii="Times New Roman" w:hAnsi="Times New Roman" w:eastAsia="仿宋" w:cs="Times New Roman"/>
                <w:color w:val="auto"/>
                <w:sz w:val="24"/>
                <w:szCs w:val="24"/>
                <w:highlight w:val="none"/>
                <w:lang w:val="en-US" w:eastAsia="zh-CN"/>
              </w:rPr>
              <w:t>汽车</w:t>
            </w:r>
          </w:p>
        </w:tc>
        <w:tc>
          <w:tcPr>
            <w:tcW w:w="695" w:type="pct"/>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6</w:t>
            </w:r>
            <w:r>
              <w:rPr>
                <w:rFonts w:hint="eastAsia" w:ascii="Times New Roman" w:hAnsi="Times New Roman" w:eastAsia="仿宋" w:cs="Times New Roman"/>
                <w:color w:val="auto"/>
                <w:sz w:val="24"/>
                <w:szCs w:val="24"/>
                <w:highlight w:val="none"/>
                <w:lang w:val="en-US" w:eastAsia="zh-CN"/>
              </w:rPr>
              <w:t>m</w:t>
            </w:r>
          </w:p>
        </w:tc>
        <w:tc>
          <w:tcPr>
            <w:tcW w:w="568" w:type="pct"/>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86</w:t>
            </w:r>
            <w:r>
              <w:rPr>
                <w:rFonts w:hint="eastAsia" w:ascii="Times New Roman" w:hAnsi="Times New Roman" w:eastAsia="仿宋" w:cs="Times New Roman"/>
                <w:color w:val="auto"/>
                <w:sz w:val="24"/>
                <w:szCs w:val="24"/>
                <w:highlight w:val="none"/>
                <w:lang w:val="en-US" w:eastAsia="zh-CN"/>
              </w:rPr>
              <w:t>m</w:t>
            </w:r>
          </w:p>
        </w:tc>
        <w:tc>
          <w:tcPr>
            <w:tcW w:w="1759" w:type="pct"/>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含三轮汽车</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21" w:hRule="atLeast"/>
          <w:jc w:val="center"/>
        </w:trPr>
        <w:tc>
          <w:tcPr>
            <w:tcW w:w="26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3</w:t>
            </w:r>
          </w:p>
        </w:tc>
        <w:tc>
          <w:tcPr>
            <w:tcW w:w="1711"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总质量大于3500kg且小于等于4500kg的汽车</w:t>
            </w:r>
          </w:p>
        </w:tc>
        <w:tc>
          <w:tcPr>
            <w:tcW w:w="69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6</w:t>
            </w:r>
            <w:r>
              <w:rPr>
                <w:rFonts w:hint="eastAsia" w:ascii="Times New Roman" w:hAnsi="Times New Roman" w:eastAsia="仿宋" w:cs="Times New Roman"/>
                <w:color w:val="auto"/>
                <w:sz w:val="24"/>
                <w:szCs w:val="24"/>
                <w:highlight w:val="none"/>
                <w:lang w:val="en-US" w:eastAsia="zh-CN"/>
              </w:rPr>
              <w:t>m</w:t>
            </w:r>
          </w:p>
        </w:tc>
        <w:tc>
          <w:tcPr>
            <w:tcW w:w="568"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106</w:t>
            </w:r>
            <w:r>
              <w:rPr>
                <w:rFonts w:hint="eastAsia" w:ascii="Times New Roman" w:hAnsi="Times New Roman" w:eastAsia="仿宋" w:cs="Times New Roman"/>
                <w:color w:val="auto"/>
                <w:sz w:val="24"/>
                <w:szCs w:val="24"/>
                <w:highlight w:val="none"/>
                <w:lang w:val="en-US" w:eastAsia="zh-CN"/>
              </w:rPr>
              <w:t>m</w:t>
            </w:r>
          </w:p>
        </w:tc>
        <w:tc>
          <w:tcPr>
            <w:tcW w:w="1759" w:type="pct"/>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left="0" w:leftChars="0" w:right="0" w:rightChars="0" w:firstLine="472" w:firstLineChars="200"/>
              <w:jc w:val="center"/>
              <w:textAlignment w:val="auto"/>
              <w:rPr>
                <w:rFonts w:hint="default" w:ascii="Times New Roman" w:hAnsi="Times New Roman" w:eastAsia="仿宋" w:cs="Times New Roman"/>
                <w:color w:val="auto"/>
                <w:sz w:val="24"/>
                <w:szCs w:val="24"/>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21" w:hRule="atLeast"/>
          <w:jc w:val="center"/>
        </w:trPr>
        <w:tc>
          <w:tcPr>
            <w:tcW w:w="26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4</w:t>
            </w:r>
          </w:p>
        </w:tc>
        <w:tc>
          <w:tcPr>
            <w:tcW w:w="1711"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载客汽车、货车</w:t>
            </w:r>
          </w:p>
        </w:tc>
        <w:tc>
          <w:tcPr>
            <w:tcW w:w="69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12</w:t>
            </w:r>
            <w:r>
              <w:rPr>
                <w:rFonts w:hint="eastAsia" w:ascii="Times New Roman" w:hAnsi="Times New Roman" w:eastAsia="仿宋" w:cs="Times New Roman"/>
                <w:color w:val="auto"/>
                <w:sz w:val="24"/>
                <w:szCs w:val="24"/>
                <w:highlight w:val="none"/>
                <w:lang w:val="en-US" w:eastAsia="zh-CN"/>
              </w:rPr>
              <w:t>m</w:t>
            </w:r>
          </w:p>
        </w:tc>
        <w:tc>
          <w:tcPr>
            <w:tcW w:w="568"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112</w:t>
            </w:r>
            <w:r>
              <w:rPr>
                <w:rFonts w:hint="eastAsia" w:ascii="Times New Roman" w:hAnsi="Times New Roman" w:eastAsia="仿宋" w:cs="Times New Roman"/>
                <w:color w:val="auto"/>
                <w:sz w:val="24"/>
                <w:szCs w:val="24"/>
                <w:highlight w:val="none"/>
                <w:lang w:val="en-US" w:eastAsia="zh-CN"/>
              </w:rPr>
              <w:t>m</w:t>
            </w:r>
          </w:p>
        </w:tc>
        <w:tc>
          <w:tcPr>
            <w:tcW w:w="1759"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当承检的最高车型为二轴客车时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21" w:hRule="atLeast"/>
          <w:jc w:val="center"/>
        </w:trPr>
        <w:tc>
          <w:tcPr>
            <w:tcW w:w="26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5</w:t>
            </w:r>
          </w:p>
        </w:tc>
        <w:tc>
          <w:tcPr>
            <w:tcW w:w="1711"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载客汽车、货车</w:t>
            </w:r>
          </w:p>
        </w:tc>
        <w:tc>
          <w:tcPr>
            <w:tcW w:w="69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13.7</w:t>
            </w:r>
            <w:r>
              <w:rPr>
                <w:rFonts w:hint="eastAsia" w:ascii="Times New Roman" w:hAnsi="Times New Roman" w:eastAsia="仿宋" w:cs="Times New Roman"/>
                <w:color w:val="auto"/>
                <w:sz w:val="24"/>
                <w:szCs w:val="24"/>
                <w:highlight w:val="none"/>
                <w:lang w:val="en-US" w:eastAsia="zh-CN"/>
              </w:rPr>
              <w:t>m</w:t>
            </w:r>
          </w:p>
        </w:tc>
        <w:tc>
          <w:tcPr>
            <w:tcW w:w="568"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113.7</w:t>
            </w:r>
            <w:r>
              <w:rPr>
                <w:rFonts w:hint="eastAsia" w:ascii="Times New Roman" w:hAnsi="Times New Roman" w:eastAsia="仿宋" w:cs="Times New Roman"/>
                <w:color w:val="auto"/>
                <w:sz w:val="24"/>
                <w:szCs w:val="24"/>
                <w:highlight w:val="none"/>
                <w:lang w:val="en-US" w:eastAsia="zh-CN"/>
              </w:rPr>
              <w:t>m</w:t>
            </w:r>
          </w:p>
        </w:tc>
        <w:tc>
          <w:tcPr>
            <w:tcW w:w="1759"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当承检的最高车型为三轴客车时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21" w:hRule="atLeast"/>
          <w:jc w:val="center"/>
        </w:trPr>
        <w:tc>
          <w:tcPr>
            <w:tcW w:w="26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6</w:t>
            </w:r>
          </w:p>
        </w:tc>
        <w:tc>
          <w:tcPr>
            <w:tcW w:w="1711"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载客汽车、货车</w:t>
            </w:r>
          </w:p>
        </w:tc>
        <w:tc>
          <w:tcPr>
            <w:tcW w:w="69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18</w:t>
            </w:r>
            <w:r>
              <w:rPr>
                <w:rFonts w:hint="eastAsia" w:ascii="Times New Roman" w:hAnsi="Times New Roman" w:eastAsia="仿宋" w:cs="Times New Roman"/>
                <w:color w:val="auto"/>
                <w:sz w:val="24"/>
                <w:szCs w:val="24"/>
                <w:highlight w:val="none"/>
                <w:lang w:val="en-US" w:eastAsia="zh-CN"/>
              </w:rPr>
              <w:t>m</w:t>
            </w:r>
          </w:p>
        </w:tc>
        <w:tc>
          <w:tcPr>
            <w:tcW w:w="568"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118</w:t>
            </w:r>
            <w:r>
              <w:rPr>
                <w:rFonts w:hint="eastAsia" w:ascii="Times New Roman" w:hAnsi="Times New Roman" w:eastAsia="仿宋" w:cs="Times New Roman"/>
                <w:color w:val="auto"/>
                <w:sz w:val="24"/>
                <w:szCs w:val="24"/>
                <w:highlight w:val="none"/>
                <w:lang w:val="en-US" w:eastAsia="zh-CN"/>
              </w:rPr>
              <w:t>m</w:t>
            </w:r>
          </w:p>
        </w:tc>
        <w:tc>
          <w:tcPr>
            <w:tcW w:w="1759"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当承检的最高车型为单铰接客车时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7</w:t>
            </w:r>
          </w:p>
        </w:tc>
        <w:tc>
          <w:tcPr>
            <w:tcW w:w="17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载客汽车、货车、专项作业车</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16</w:t>
            </w:r>
            <w:r>
              <w:rPr>
                <w:rFonts w:hint="eastAsia" w:ascii="Times New Roman" w:hAnsi="Times New Roman" w:eastAsia="仿宋" w:cs="Times New Roman"/>
                <w:color w:val="auto"/>
                <w:sz w:val="24"/>
                <w:szCs w:val="24"/>
                <w:highlight w:val="none"/>
                <w:lang w:val="en-US" w:eastAsia="zh-CN"/>
              </w:rPr>
              <w:t>m</w:t>
            </w:r>
            <w:r>
              <w:rPr>
                <w:rFonts w:hint="eastAsia" w:ascii="Times New Roman" w:hAnsi="Times New Roman" w:eastAsia="仿宋" w:cs="Times New Roman"/>
                <w:color w:val="auto"/>
                <w:sz w:val="24"/>
                <w:szCs w:val="24"/>
                <w:highlight w:val="none"/>
                <w:vertAlign w:val="superscript"/>
                <w:lang w:val="en-US" w:eastAsia="zh-CN"/>
              </w:rPr>
              <w:t>a</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116</w:t>
            </w:r>
            <w:r>
              <w:rPr>
                <w:rFonts w:hint="eastAsia" w:ascii="Times New Roman" w:hAnsi="Times New Roman" w:eastAsia="仿宋" w:cs="Times New Roman"/>
                <w:color w:val="auto"/>
                <w:sz w:val="24"/>
                <w:szCs w:val="24"/>
                <w:highlight w:val="none"/>
                <w:lang w:val="en-US" w:eastAsia="zh-CN"/>
              </w:rPr>
              <w:t>m</w:t>
            </w:r>
          </w:p>
        </w:tc>
        <w:tc>
          <w:tcPr>
            <w:tcW w:w="1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当承检的最高车型为</w:t>
            </w:r>
            <w:r>
              <w:rPr>
                <w:rFonts w:hint="default" w:ascii="Times New Roman" w:hAnsi="Times New Roman" w:eastAsia="仿宋" w:cs="Times New Roman"/>
                <w:color w:val="auto"/>
                <w:sz w:val="24"/>
                <w:szCs w:val="24"/>
                <w:highlight w:val="none"/>
                <w:lang w:val="en-US" w:eastAsia="zh-CN"/>
              </w:rPr>
              <w:t>重型</w:t>
            </w:r>
            <w:r>
              <w:rPr>
                <w:rFonts w:hint="default" w:ascii="Times New Roman" w:hAnsi="Times New Roman" w:eastAsia="仿宋" w:cs="Times New Roman"/>
                <w:color w:val="auto"/>
                <w:sz w:val="24"/>
                <w:szCs w:val="24"/>
                <w:highlight w:val="none"/>
              </w:rPr>
              <w:t>专项作业车时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8</w:t>
            </w:r>
          </w:p>
        </w:tc>
        <w:tc>
          <w:tcPr>
            <w:tcW w:w="17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载客汽车、货车、专项作业车、挂车</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22</w:t>
            </w:r>
            <w:r>
              <w:rPr>
                <w:rFonts w:hint="eastAsia" w:ascii="Times New Roman" w:hAnsi="Times New Roman" w:eastAsia="仿宋" w:cs="Times New Roman"/>
                <w:color w:val="auto"/>
                <w:sz w:val="24"/>
                <w:szCs w:val="24"/>
                <w:highlight w:val="none"/>
                <w:lang w:val="en-US" w:eastAsia="zh-CN"/>
              </w:rPr>
              <w:t>m</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122</w:t>
            </w:r>
            <w:r>
              <w:rPr>
                <w:rFonts w:hint="eastAsia" w:ascii="Times New Roman" w:hAnsi="Times New Roman" w:eastAsia="仿宋" w:cs="Times New Roman"/>
                <w:color w:val="auto"/>
                <w:sz w:val="24"/>
                <w:szCs w:val="24"/>
                <w:highlight w:val="none"/>
                <w:lang w:val="en-US" w:eastAsia="zh-CN"/>
              </w:rPr>
              <w:t>m</w:t>
            </w:r>
          </w:p>
        </w:tc>
        <w:tc>
          <w:tcPr>
            <w:tcW w:w="1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当承检的最高车型为货车列车（中置轴车辆运输列车）时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9</w:t>
            </w:r>
          </w:p>
        </w:tc>
        <w:tc>
          <w:tcPr>
            <w:tcW w:w="17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载客汽车、货车、专项作业车、挂车</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18.1</w:t>
            </w:r>
            <w:r>
              <w:rPr>
                <w:rFonts w:hint="eastAsia" w:ascii="Times New Roman" w:hAnsi="Times New Roman" w:eastAsia="仿宋" w:cs="Times New Roman"/>
                <w:color w:val="auto"/>
                <w:sz w:val="24"/>
                <w:szCs w:val="24"/>
                <w:highlight w:val="none"/>
                <w:lang w:val="en-US" w:eastAsia="zh-CN"/>
              </w:rPr>
              <w:t>m</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118.1</w:t>
            </w:r>
            <w:r>
              <w:rPr>
                <w:rFonts w:hint="eastAsia" w:ascii="Times New Roman" w:hAnsi="Times New Roman" w:eastAsia="仿宋" w:cs="Times New Roman"/>
                <w:color w:val="auto"/>
                <w:sz w:val="24"/>
                <w:szCs w:val="24"/>
                <w:highlight w:val="none"/>
                <w:lang w:val="en-US" w:eastAsia="zh-CN"/>
              </w:rPr>
              <w:t>m</w:t>
            </w:r>
          </w:p>
        </w:tc>
        <w:tc>
          <w:tcPr>
            <w:tcW w:w="1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当承检的最高车型为长头铰接列车时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rPr>
              <w:t>0</w:t>
            </w:r>
          </w:p>
        </w:tc>
        <w:tc>
          <w:tcPr>
            <w:tcW w:w="17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载客汽车、货车、专项作业车、挂车</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17.1</w:t>
            </w:r>
            <w:r>
              <w:rPr>
                <w:rFonts w:hint="eastAsia" w:ascii="Times New Roman" w:hAnsi="Times New Roman" w:eastAsia="仿宋" w:cs="Times New Roman"/>
                <w:color w:val="auto"/>
                <w:sz w:val="24"/>
                <w:szCs w:val="24"/>
                <w:highlight w:val="none"/>
                <w:lang w:val="en-US" w:eastAsia="zh-CN"/>
              </w:rPr>
              <w:t>m</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117.1</w:t>
            </w:r>
            <w:r>
              <w:rPr>
                <w:rFonts w:hint="eastAsia" w:ascii="Times New Roman" w:hAnsi="Times New Roman" w:eastAsia="仿宋" w:cs="Times New Roman"/>
                <w:color w:val="auto"/>
                <w:sz w:val="24"/>
                <w:szCs w:val="24"/>
                <w:highlight w:val="none"/>
                <w:lang w:val="en-US" w:eastAsia="zh-CN"/>
              </w:rPr>
              <w:t>m</w:t>
            </w:r>
          </w:p>
        </w:tc>
        <w:tc>
          <w:tcPr>
            <w:tcW w:w="1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right="0"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rPr>
              <w:t>当承检的最高车型为平头铰接列车时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5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val="0"/>
              <w:spacing w:line="400" w:lineRule="exact"/>
              <w:ind w:left="237" w:leftChars="75" w:right="0" w:rightChars="0" w:firstLine="0" w:firstLineChars="0"/>
              <w:jc w:val="left"/>
              <w:textAlignment w:val="auto"/>
              <w:rPr>
                <w:rFonts w:hint="default" w:ascii="Times New Roman" w:hAnsi="Times New Roman" w:eastAsia="仿宋" w:cs="Times New Roman"/>
                <w:color w:val="auto"/>
                <w:sz w:val="24"/>
                <w:szCs w:val="24"/>
                <w:highlight w:val="none"/>
              </w:rPr>
            </w:pPr>
            <w:bookmarkStart w:id="89" w:name="_Toc14111"/>
            <w:r>
              <w:rPr>
                <w:rFonts w:hint="eastAsia" w:ascii="Times New Roman" w:hAnsi="Times New Roman" w:eastAsia="仿宋" w:cs="Times New Roman"/>
                <w:color w:val="auto"/>
                <w:kern w:val="2"/>
                <w:sz w:val="24"/>
                <w:szCs w:val="24"/>
                <w:highlight w:val="none"/>
                <w:lang w:val="en-US" w:eastAsia="zh-CN" w:bidi="ar-SA"/>
              </w:rPr>
              <w:t>注：a采用100台总质量大于54000kg的重型非载货专项作业车的车身长度数据取平均值得出。</w:t>
            </w:r>
          </w:p>
        </w:tc>
      </w:tr>
    </w:tbl>
    <w:p>
      <w:pPr>
        <w:pStyle w:val="3"/>
        <w:numPr>
          <w:ilvl w:val="0"/>
          <w:numId w:val="0"/>
        </w:numPr>
        <w:ind w:leftChars="0" w:firstLine="632" w:firstLineChars="200"/>
        <w:rPr>
          <w:rFonts w:hint="default" w:ascii="Times New Roman" w:hAnsi="Times New Roman" w:cs="Times New Roman"/>
          <w:color w:val="auto"/>
          <w:highlight w:val="none"/>
        </w:rPr>
      </w:pPr>
      <w:bookmarkStart w:id="90" w:name="_Toc7718"/>
      <w:bookmarkStart w:id="91" w:name="_Toc10257"/>
      <w:bookmarkStart w:id="92" w:name="_Toc4781"/>
      <w:r>
        <w:rPr>
          <w:rFonts w:hint="eastAsia" w:ascii="Times New Roman" w:hAnsi="Times New Roman" w:cs="Times New Roman"/>
          <w:color w:val="auto"/>
          <w:highlight w:val="none"/>
          <w:lang w:val="en-US" w:eastAsia="zh-CN"/>
        </w:rPr>
        <w:t>5.6</w:t>
      </w:r>
      <w:r>
        <w:rPr>
          <w:rFonts w:hint="default" w:ascii="Times New Roman" w:hAnsi="Times New Roman" w:cs="Times New Roman"/>
          <w:color w:val="auto"/>
          <w:highlight w:val="none"/>
        </w:rPr>
        <w:t>驻车坡道</w:t>
      </w:r>
      <w:bookmarkEnd w:id="89"/>
      <w:r>
        <w:rPr>
          <w:rFonts w:hint="eastAsia"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及判定指南</w:t>
      </w:r>
      <w:bookmarkEnd w:id="90"/>
      <w:bookmarkEnd w:id="91"/>
      <w:bookmarkEnd w:id="92"/>
    </w:p>
    <w:p>
      <w:pPr>
        <w:pStyle w:val="7"/>
        <w:ind w:firstLine="608" w:firstLineChars="200"/>
        <w:outlineLvl w:val="2"/>
        <w:rPr>
          <w:rFonts w:hint="default" w:ascii="Times New Roman" w:hAnsi="Times New Roman" w:eastAsia="方正仿宋_GB2312"/>
          <w:color w:val="auto"/>
          <w:highlight w:val="none"/>
          <w:lang w:val="en-US" w:eastAsia="zh-CN"/>
        </w:rPr>
      </w:pPr>
      <w:bookmarkStart w:id="93" w:name="_Toc29246"/>
      <w:bookmarkStart w:id="94" w:name="_Toc31602"/>
      <w:r>
        <w:rPr>
          <w:rFonts w:hint="default" w:ascii="Times New Roman" w:hAnsi="Times New Roman" w:cs="Times New Roman"/>
          <w:color w:val="auto"/>
          <w:highlight w:val="none"/>
          <w:lang w:val="en-US" w:eastAsia="zh-CN"/>
        </w:rPr>
        <w:t>5.6.1要求</w:t>
      </w:r>
      <w:bookmarkEnd w:id="93"/>
      <w:bookmarkEnd w:id="94"/>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《补充要求》第二十一条：机动车检验机构应当具备驻车坡道或配备满足《机动车安全技术检验项目和方法》</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38900</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要求的驻车制动仪器设备。</w:t>
      </w:r>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驻车坡道应当满足以下要求：坡度15%</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适用时</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和20%</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坡道宽度比承检车型的最大宽度宽1</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。并设有安全标识和安全防护措施。</w:t>
      </w:r>
    </w:p>
    <w:p>
      <w:pPr>
        <w:pStyle w:val="7"/>
        <w:ind w:firstLine="608" w:firstLineChars="200"/>
        <w:outlineLvl w:val="2"/>
        <w:rPr>
          <w:rFonts w:hint="default" w:ascii="Times New Roman" w:hAnsi="Times New Roman" w:cs="Times New Roman"/>
          <w:color w:val="auto"/>
          <w:highlight w:val="none"/>
        </w:rPr>
      </w:pPr>
      <w:bookmarkStart w:id="95" w:name="_Toc321"/>
      <w:bookmarkStart w:id="96" w:name="_Toc17376"/>
      <w:bookmarkStart w:id="97" w:name="_Toc12167"/>
      <w:r>
        <w:rPr>
          <w:rFonts w:hint="default" w:ascii="Times New Roman" w:hAnsi="Times New Roman" w:cs="Times New Roman"/>
          <w:color w:val="auto"/>
          <w:highlight w:val="none"/>
        </w:rPr>
        <w:t>5.</w:t>
      </w: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判定指南</w:t>
      </w:r>
      <w:bookmarkEnd w:id="95"/>
      <w:bookmarkEnd w:id="96"/>
      <w:bookmarkEnd w:id="97"/>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依据GB</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1589-2016的规定，驻车坡道斜面长度及有效宽度一般不小于：</w:t>
      </w:r>
    </w:p>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a）</w:t>
      </w:r>
      <w:r>
        <w:rPr>
          <w:rFonts w:hint="default" w:ascii="Times New Roman" w:hAnsi="Times New Roman" w:cs="Times New Roman"/>
          <w:color w:val="auto"/>
          <w:highlight w:val="none"/>
        </w:rPr>
        <w:t>承检为小型、微型载客汽车、轻型货车、轻型专项作业车15%驻车坡道的有效宽度不少于3.55</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，20%驻车坡道的有效宽度不少于</w:t>
      </w:r>
      <w:r>
        <w:rPr>
          <w:rFonts w:hint="default" w:ascii="Times New Roman" w:hAnsi="Times New Roman" w:cs="Times New Roman"/>
          <w:strike w:val="0"/>
          <w:dstrike w:val="0"/>
          <w:color w:val="auto"/>
          <w:highlight w:val="none"/>
        </w:rPr>
        <w:t>3.6</w:t>
      </w:r>
      <w:r>
        <w:rPr>
          <w:rFonts w:hint="eastAsia" w:ascii="Times New Roman" w:hAnsi="Times New Roman" w:cs="Times New Roman"/>
          <w:strike w:val="0"/>
          <w:dstrike w:val="0"/>
          <w:color w:val="auto"/>
          <w:highlight w:val="none"/>
          <w:lang w:eastAsia="zh-CN"/>
        </w:rPr>
        <w:t>m</w:t>
      </w:r>
      <w:r>
        <w:rPr>
          <w:rFonts w:hint="default" w:ascii="Times New Roman" w:hAnsi="Times New Roman" w:cs="Times New Roman"/>
          <w:color w:val="auto"/>
          <w:highlight w:val="none"/>
        </w:rPr>
        <w:t>，驻车坡道的斜面长度不小于6</w:t>
      </w:r>
      <w:r>
        <w:rPr>
          <w:rFonts w:hint="eastAsia" w:ascii="Times New Roman" w:hAnsi="Times New Roman" w:cs="Times New Roman"/>
          <w:color w:val="auto"/>
          <w:highlight w:val="none"/>
          <w:lang w:eastAsia="zh-CN"/>
        </w:rPr>
        <w:t>m；</w:t>
      </w:r>
    </w:p>
    <w:p>
      <w:pPr>
        <w:pStyle w:val="7"/>
        <w:numPr>
          <w:ilvl w:val="0"/>
          <w:numId w:val="0"/>
        </w:numPr>
        <w:ind w:firstLine="608" w:firstLineChars="200"/>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color w:val="auto"/>
          <w:highlight w:val="none"/>
          <w:lang w:val="en-US" w:eastAsia="zh-CN"/>
        </w:rPr>
        <w:t>b）</w:t>
      </w:r>
      <w:r>
        <w:rPr>
          <w:rFonts w:hint="default" w:ascii="Times New Roman" w:hAnsi="Times New Roman" w:cs="Times New Roman"/>
          <w:color w:val="auto"/>
          <w:highlight w:val="none"/>
        </w:rPr>
        <w:t>承检为载客汽车、货车（三轮汽车除外）、专项作业车的机动车检验机构：15%驻车坡道的有效宽度应不少于4</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，20%驻车坡道的有效宽度应不少于</w:t>
      </w:r>
      <w:r>
        <w:rPr>
          <w:rFonts w:hint="default" w:ascii="Times New Roman" w:hAnsi="Times New Roman" w:cs="Times New Roman"/>
          <w:strike w:val="0"/>
          <w:dstrike w:val="0"/>
          <w:color w:val="auto"/>
          <w:highlight w:val="none"/>
          <w:u w:val="none"/>
        </w:rPr>
        <w:t>3.6</w:t>
      </w:r>
      <w:r>
        <w:rPr>
          <w:rFonts w:hint="eastAsia" w:ascii="Times New Roman" w:hAnsi="Times New Roman" w:cs="Times New Roman"/>
          <w:strike w:val="0"/>
          <w:dstrike w:val="0"/>
          <w:color w:val="auto"/>
          <w:highlight w:val="none"/>
          <w:u w:val="none"/>
          <w:lang w:eastAsia="zh-CN"/>
        </w:rPr>
        <w:t>m</w:t>
      </w:r>
      <w:r>
        <w:rPr>
          <w:rFonts w:hint="default" w:ascii="Times New Roman" w:hAnsi="Times New Roman" w:cs="Times New Roman"/>
          <w:color w:val="auto"/>
          <w:highlight w:val="none"/>
        </w:rPr>
        <w:t>，驻车坡道的斜面长度不小于10</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；承检单铰接客车因车身长度为18</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，驻车坡道的斜面长度不小于16</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。为防止大型车辆检测时前后悬触地的安全隐患，建议驻车坡道测试起点前设置过渡坡道</w:t>
      </w:r>
      <w:r>
        <w:rPr>
          <w:rFonts w:hint="eastAsia" w:ascii="Times New Roman" w:hAnsi="Times New Roman" w:cs="Times New Roman"/>
          <w:color w:val="auto"/>
          <w:highlight w:val="none"/>
          <w:lang w:eastAsia="zh-CN"/>
        </w:rPr>
        <w:t>；</w:t>
      </w:r>
    </w:p>
    <w:p>
      <w:pPr>
        <w:pStyle w:val="7"/>
        <w:widowControl/>
        <w:numPr>
          <w:ilvl w:val="0"/>
          <w:numId w:val="0"/>
        </w:numPr>
        <w:ind w:firstLine="608" w:firstLineChars="200"/>
        <w:rPr>
          <w:rFonts w:hint="default" w:ascii="Times New Roman" w:hAnsi="Times New Roman" w:cs="Times New Roman"/>
          <w:b w:val="0"/>
          <w:color w:val="auto"/>
          <w:highlight w:val="none"/>
        </w:rPr>
      </w:pPr>
      <w:r>
        <w:rPr>
          <w:rFonts w:hint="eastAsia" w:ascii="Times New Roman" w:hAnsi="Times New Roman" w:cs="Times New Roman"/>
          <w:color w:val="auto"/>
          <w:highlight w:val="none"/>
          <w:lang w:val="en-US" w:eastAsia="zh-CN"/>
        </w:rPr>
        <w:t>c）</w:t>
      </w:r>
      <w:r>
        <w:rPr>
          <w:rFonts w:hint="default" w:ascii="Times New Roman" w:hAnsi="Times New Roman" w:cs="Times New Roman"/>
          <w:color w:val="auto"/>
          <w:highlight w:val="none"/>
        </w:rPr>
        <w:t>15%的坡道仅用于检验半挂牵引车单车、总质量为整备质</w:t>
      </w:r>
    </w:p>
    <w:p>
      <w:pPr>
        <w:pStyle w:val="7"/>
        <w:widowControl/>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量的1.2倍以下车辆，若机构申请承检车型不包括上述车型，可不设置15%坡道。</w:t>
      </w:r>
    </w:p>
    <w:p>
      <w:pPr>
        <w:pStyle w:val="7"/>
        <w:widowControl/>
        <w:rPr>
          <w:rFonts w:hint="default" w:ascii="Times New Roman" w:hAnsi="Times New Roman" w:cs="Times New Roman"/>
          <w:color w:val="auto"/>
          <w:highlight w:val="none"/>
        </w:rPr>
      </w:pPr>
      <w:r>
        <w:rPr>
          <w:rFonts w:hint="default" w:ascii="Times New Roman" w:hAnsi="Times New Roman" w:cs="Times New Roman"/>
          <w:color w:val="auto"/>
          <w:highlight w:val="none"/>
        </w:rPr>
        <w:t>对不满足上述要求的驻车坡道，采用机构申请承检的最长车型进行驻车坡道现场试验实测，根据实测结果，不满足驻车坡道长度及过渡坡道要求或存在安全隐患的，应明确限制承检车辆实际长度（如车长不超过xx</w:t>
      </w:r>
      <w:r>
        <w:rPr>
          <w:rFonts w:hint="eastAsia" w:ascii="Times New Roman" w:hAnsi="Times New Roman" w:cs="Times New Roman"/>
          <w:color w:val="auto"/>
          <w:highlight w:val="none"/>
          <w:lang w:val="en-US" w:eastAsia="zh-CN"/>
        </w:rPr>
        <w:t>米</w:t>
      </w:r>
      <w:r>
        <w:rPr>
          <w:rFonts w:hint="default" w:ascii="Times New Roman" w:hAnsi="Times New Roman" w:cs="Times New Roman"/>
          <w:color w:val="auto"/>
          <w:highlight w:val="none"/>
        </w:rPr>
        <w:t>的汽车），并在机构能力附表上加以限制说明。</w:t>
      </w:r>
    </w:p>
    <w:p>
      <w:pPr>
        <w:pStyle w:val="7"/>
        <w:widowControl/>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注：需要做驻车试验的最长车型为单铰接客车车身长度为18</w:t>
      </w:r>
      <w:r>
        <w:rPr>
          <w:rFonts w:hint="eastAsia"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rPr>
        <w:t>，轴距约14</w:t>
      </w:r>
      <w:r>
        <w:rPr>
          <w:rFonts w:hint="eastAsia"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rPr>
        <w:t>；需要做驻车坡道试验的最宽车型为汽车起重机，车身宽度最长为3</w:t>
      </w:r>
      <w:r>
        <w:rPr>
          <w:rFonts w:hint="eastAsia"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rPr>
        <w:t>。因此，以15%坡道为例，斜面长度大于等于16.4</w:t>
      </w:r>
      <w:r>
        <w:rPr>
          <w:rFonts w:hint="eastAsia"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rPr>
        <w:t>（在坡道底边长度为16</w:t>
      </w:r>
      <w:r>
        <w:rPr>
          <w:rFonts w:hint="eastAsia"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rPr>
        <w:t>和坡高2.4</w:t>
      </w:r>
      <w:r>
        <w:rPr>
          <w:rFonts w:hint="eastAsia"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rPr>
        <w:t>时）和宽度大于等于4</w:t>
      </w:r>
      <w:r>
        <w:rPr>
          <w:rFonts w:hint="eastAsia"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rPr>
        <w:t>的坡道才能满足检验所有符合国家标准GB</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1589-2016的车辆试验要求。</w:t>
      </w:r>
    </w:p>
    <w:p>
      <w:pPr>
        <w:pStyle w:val="3"/>
        <w:numPr>
          <w:ilvl w:val="0"/>
          <w:numId w:val="0"/>
        </w:numPr>
        <w:ind w:leftChars="0" w:firstLine="632" w:firstLineChars="200"/>
        <w:rPr>
          <w:rFonts w:hint="default" w:ascii="Times New Roman" w:hAnsi="Times New Roman" w:cs="Times New Roman"/>
          <w:color w:val="auto"/>
          <w:highlight w:val="none"/>
        </w:rPr>
      </w:pPr>
      <w:bookmarkStart w:id="98" w:name="_Toc21433"/>
      <w:bookmarkStart w:id="99" w:name="_Toc30121"/>
      <w:bookmarkStart w:id="100" w:name="_Toc10220"/>
      <w:bookmarkStart w:id="101" w:name="_Toc2283"/>
      <w:r>
        <w:rPr>
          <w:rFonts w:hint="eastAsia" w:ascii="Times New Roman" w:hAnsi="Times New Roman" w:cs="Times New Roman"/>
          <w:color w:val="auto"/>
          <w:highlight w:val="none"/>
          <w:lang w:val="en-US" w:eastAsia="zh-CN"/>
        </w:rPr>
        <w:t>5.7</w:t>
      </w:r>
      <w:r>
        <w:rPr>
          <w:rFonts w:hint="default" w:ascii="Times New Roman" w:hAnsi="Times New Roman" w:cs="Times New Roman"/>
          <w:color w:val="auto"/>
          <w:highlight w:val="none"/>
        </w:rPr>
        <w:t>底盘动态检验区</w:t>
      </w:r>
      <w:bookmarkEnd w:id="98"/>
      <w:r>
        <w:rPr>
          <w:rFonts w:hint="eastAsia"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及判定指南</w:t>
      </w:r>
      <w:bookmarkEnd w:id="99"/>
      <w:bookmarkEnd w:id="100"/>
      <w:bookmarkEnd w:id="101"/>
    </w:p>
    <w:p>
      <w:pPr>
        <w:pStyle w:val="4"/>
        <w:rPr>
          <w:rFonts w:hint="default" w:ascii="Times New Roman" w:hAnsi="Times New Roman" w:eastAsia="方正仿宋_GB2312"/>
          <w:color w:val="auto"/>
          <w:highlight w:val="none"/>
          <w:lang w:val="en-US" w:eastAsia="zh-CN"/>
        </w:rPr>
      </w:pPr>
      <w:bookmarkStart w:id="102" w:name="_Toc13181"/>
      <w:bookmarkStart w:id="103" w:name="_Toc6162"/>
      <w:r>
        <w:rPr>
          <w:rFonts w:hint="default" w:ascii="Times New Roman" w:hAnsi="Times New Roman"/>
          <w:color w:val="auto"/>
          <w:highlight w:val="none"/>
          <w:lang w:val="en-US" w:eastAsia="zh-CN"/>
        </w:rPr>
        <w:t>5.7.1</w:t>
      </w:r>
      <w:r>
        <w:rPr>
          <w:rFonts w:hint="default" w:ascii="Times New Roman" w:hAnsi="Times New Roman" w:cs="Times New Roman"/>
          <w:color w:val="auto"/>
          <w:highlight w:val="none"/>
          <w:lang w:val="en-US" w:eastAsia="zh-CN"/>
        </w:rPr>
        <w:t>要求</w:t>
      </w:r>
      <w:bookmarkEnd w:id="102"/>
      <w:bookmarkEnd w:id="103"/>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《补充要求》第二十二条及释义：应为水泥或沥青路面，路面平整，无明显坡度。底盘动态检验区路面长度，检验总质量小于等于3500kg车辆的不少于20</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；检验总质量大于3500kg车辆的不少于30</w:t>
      </w:r>
      <w:r>
        <w:rPr>
          <w:rFonts w:hint="eastAsia" w:ascii="Times New Roman" w:hAnsi="Times New Roman" w:cs="Times New Roman"/>
          <w:color w:val="auto"/>
          <w:highlight w:val="none"/>
          <w:lang w:eastAsia="zh-CN"/>
        </w:rPr>
        <w:t>m</w:t>
      </w:r>
      <w:r>
        <w:rPr>
          <w:rFonts w:hint="default" w:ascii="Times New Roman" w:hAnsi="Times New Roman" w:cs="Times New Roman"/>
          <w:color w:val="auto"/>
          <w:highlight w:val="none"/>
        </w:rPr>
        <w:t>，或者采用实测的方法确定是否满足要求。</w:t>
      </w:r>
    </w:p>
    <w:p>
      <w:pPr>
        <w:pStyle w:val="4"/>
        <w:rPr>
          <w:rFonts w:hint="default" w:ascii="Times New Roman" w:hAnsi="Times New Roman" w:cs="Times New Roman"/>
          <w:color w:val="auto"/>
          <w:highlight w:val="none"/>
        </w:rPr>
      </w:pPr>
      <w:bookmarkStart w:id="104" w:name="_Toc13789"/>
      <w:bookmarkStart w:id="105" w:name="_Toc27334"/>
      <w:bookmarkStart w:id="106" w:name="_Toc13205"/>
      <w:r>
        <w:rPr>
          <w:rFonts w:hint="default" w:ascii="Times New Roman" w:hAnsi="Times New Roman" w:cs="Times New Roman"/>
          <w:color w:val="auto"/>
          <w:highlight w:val="none"/>
        </w:rPr>
        <w:t>5.</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判定指南</w:t>
      </w:r>
      <w:bookmarkEnd w:id="104"/>
      <w:bookmarkEnd w:id="105"/>
      <w:bookmarkEnd w:id="106"/>
    </w:p>
    <w:p>
      <w:pPr>
        <w:pStyle w:val="7"/>
        <w:numPr>
          <w:ilvl w:val="0"/>
          <w:numId w:val="0"/>
        </w:numPr>
        <w:ind w:left="0" w:leftChars="0" w:firstLine="608" w:firstLineChars="0"/>
        <w:rPr>
          <w:rFonts w:hint="default" w:ascii="Times New Roman" w:hAnsi="Times New Roman" w:cs="Times New Roman"/>
          <w:b w:val="0"/>
          <w:color w:val="auto"/>
        </w:rPr>
      </w:pPr>
      <w:r>
        <w:rPr>
          <w:rFonts w:hint="default" w:ascii="Times New Roman" w:hAnsi="Times New Roman" w:eastAsia="方正仿宋_GB2312" w:cs="Times New Roman"/>
          <w:b w:val="0"/>
          <w:color w:val="auto"/>
          <w:spacing w:val="-6"/>
          <w:sz w:val="32"/>
        </w:rPr>
        <w:t>5.</w:t>
      </w:r>
      <w:r>
        <w:rPr>
          <w:rFonts w:hint="eastAsia" w:ascii="Times New Roman" w:hAnsi="Times New Roman" w:cs="Times New Roman"/>
          <w:b w:val="0"/>
          <w:color w:val="auto"/>
          <w:spacing w:val="-6"/>
          <w:sz w:val="32"/>
          <w:lang w:val="en-US" w:eastAsia="zh-CN"/>
        </w:rPr>
        <w:t>7</w:t>
      </w:r>
      <w:r>
        <w:rPr>
          <w:rFonts w:hint="default" w:ascii="Times New Roman" w:hAnsi="Times New Roman" w:eastAsia="方正仿宋_GB2312" w:cs="Times New Roman"/>
          <w:b w:val="0"/>
          <w:color w:val="auto"/>
          <w:spacing w:val="-6"/>
          <w:sz w:val="32"/>
        </w:rPr>
        <w:t>.</w:t>
      </w:r>
      <w:r>
        <w:rPr>
          <w:rFonts w:hint="eastAsia" w:ascii="Times New Roman" w:hAnsi="Times New Roman" w:cs="Times New Roman"/>
          <w:b w:val="0"/>
          <w:color w:val="auto"/>
          <w:spacing w:val="-6"/>
          <w:sz w:val="32"/>
          <w:lang w:val="en-US" w:eastAsia="zh-CN"/>
        </w:rPr>
        <w:t>2</w:t>
      </w:r>
      <w:r>
        <w:rPr>
          <w:rFonts w:hint="default" w:ascii="Times New Roman" w:hAnsi="Times New Roman" w:eastAsia="方正仿宋_GB2312" w:cs="Times New Roman"/>
          <w:b w:val="0"/>
          <w:color w:val="auto"/>
          <w:spacing w:val="-6"/>
          <w:sz w:val="32"/>
        </w:rPr>
        <w:t>.1</w:t>
      </w:r>
      <w:r>
        <w:rPr>
          <w:rFonts w:hint="default" w:ascii="Times New Roman" w:hAnsi="Times New Roman" w:cs="Times New Roman"/>
          <w:color w:val="auto"/>
        </w:rPr>
        <w:t>机构设置的底盘动态检验区总长度，还应包含起始位置的预留长度，且预留长度不得小于承检车型的车身长度。结合GB</w:t>
      </w:r>
      <w:r>
        <w:rPr>
          <w:rFonts w:hint="eastAsia" w:ascii="Times New Roman" w:hAnsi="Times New Roman" w:cs="Times New Roman"/>
          <w:color w:val="auto"/>
          <w:lang w:val="en-US" w:eastAsia="zh-CN"/>
        </w:rPr>
        <w:t xml:space="preserve"> </w:t>
      </w:r>
      <w:r>
        <w:rPr>
          <w:rFonts w:hint="default" w:ascii="Times New Roman" w:hAnsi="Times New Roman" w:cs="Times New Roman"/>
          <w:color w:val="auto"/>
        </w:rPr>
        <w:t>1589-2016的规定，底盘动态检验区总长度的判定标准如下：</w:t>
      </w:r>
    </w:p>
    <w:p>
      <w:pPr>
        <w:pStyle w:val="7"/>
        <w:numPr>
          <w:ilvl w:val="0"/>
          <w:numId w:val="0"/>
        </w:numPr>
        <w:ind w:left="0" w:leftChars="0" w:firstLine="608" w:firstLineChars="0"/>
        <w:rPr>
          <w:rFonts w:hint="default" w:ascii="Times New Roman" w:hAnsi="Times New Roman" w:cs="Times New Roman"/>
          <w:b w:val="0"/>
          <w:color w:val="auto"/>
        </w:rPr>
      </w:pPr>
      <w:r>
        <w:rPr>
          <w:rFonts w:hint="default" w:ascii="Times New Roman" w:hAnsi="Times New Roman" w:eastAsia="方正仿宋_GB2312" w:cs="Times New Roman"/>
          <w:b w:val="0"/>
          <w:color w:val="auto"/>
          <w:spacing w:val="-6"/>
          <w:sz w:val="32"/>
        </w:rPr>
        <w:t>a</w:t>
      </w:r>
      <w:r>
        <w:rPr>
          <w:rFonts w:hint="eastAsia" w:ascii="Times New Roman" w:hAnsi="Times New Roman" w:cs="Times New Roman"/>
          <w:color w:val="auto"/>
          <w:lang w:val="en-US" w:eastAsia="zh-CN"/>
        </w:rPr>
        <w:t>）</w:t>
      </w:r>
      <w:r>
        <w:rPr>
          <w:rFonts w:hint="default" w:ascii="Times New Roman" w:hAnsi="Times New Roman" w:cs="Times New Roman"/>
          <w:color w:val="auto"/>
        </w:rPr>
        <w:t>对于总质量小于等于3500kg的汽车，底盘动态检验区总长度应不少于26m；</w:t>
      </w:r>
    </w:p>
    <w:p>
      <w:pPr>
        <w:pStyle w:val="7"/>
        <w:numPr>
          <w:ilvl w:val="0"/>
          <w:numId w:val="0"/>
        </w:numPr>
        <w:ind w:left="0" w:leftChars="0" w:firstLine="608" w:firstLineChars="0"/>
        <w:rPr>
          <w:rFonts w:hint="default" w:ascii="Times New Roman" w:hAnsi="Times New Roman" w:cs="Times New Roman"/>
          <w:b w:val="0"/>
          <w:color w:val="auto"/>
        </w:rPr>
      </w:pPr>
      <w:r>
        <w:rPr>
          <w:rFonts w:hint="default" w:ascii="Times New Roman" w:hAnsi="Times New Roman" w:eastAsia="方正仿宋_GB2312" w:cs="Times New Roman"/>
          <w:b w:val="0"/>
          <w:color w:val="auto"/>
          <w:spacing w:val="-6"/>
          <w:sz w:val="32"/>
        </w:rPr>
        <w:t>b</w:t>
      </w:r>
      <w:r>
        <w:rPr>
          <w:rFonts w:hint="eastAsia" w:ascii="Times New Roman" w:hAnsi="Times New Roman" w:cs="Times New Roman"/>
          <w:color w:val="auto"/>
          <w:lang w:val="en-US" w:eastAsia="zh-CN"/>
        </w:rPr>
        <w:t>）</w:t>
      </w:r>
      <w:r>
        <w:rPr>
          <w:rFonts w:hint="default" w:ascii="Times New Roman" w:hAnsi="Times New Roman" w:cs="Times New Roman"/>
          <w:color w:val="auto"/>
        </w:rPr>
        <w:t>对于总质量大于3500kg且小于等于4500kg的汽车，底盘动态检验区总长度应不少于30m</w:t>
      </w:r>
      <w:r>
        <w:rPr>
          <w:rFonts w:hint="eastAsia" w:ascii="Times New Roman" w:hAnsi="Times New Roman" w:cs="Times New Roman"/>
          <w:color w:val="auto"/>
          <w:lang w:eastAsia="zh-CN"/>
        </w:rPr>
        <w:t>；</w:t>
      </w:r>
    </w:p>
    <w:p>
      <w:pPr>
        <w:pStyle w:val="7"/>
        <w:numPr>
          <w:ilvl w:val="0"/>
          <w:numId w:val="0"/>
        </w:numPr>
        <w:ind w:left="0" w:leftChars="0" w:firstLine="608" w:firstLineChars="0"/>
        <w:rPr>
          <w:rFonts w:hint="default" w:ascii="Times New Roman" w:hAnsi="Times New Roman" w:cs="Times New Roman"/>
          <w:b w:val="0"/>
          <w:color w:val="auto"/>
        </w:rPr>
      </w:pPr>
      <w:r>
        <w:rPr>
          <w:rFonts w:hint="default" w:ascii="Times New Roman" w:hAnsi="Times New Roman" w:eastAsia="方正仿宋_GB2312" w:cs="Times New Roman"/>
          <w:b w:val="0"/>
          <w:color w:val="auto"/>
          <w:spacing w:val="-6"/>
          <w:sz w:val="32"/>
        </w:rPr>
        <w:t>c</w:t>
      </w:r>
      <w:r>
        <w:rPr>
          <w:rFonts w:hint="eastAsia" w:ascii="Times New Roman" w:hAnsi="Times New Roman" w:cs="Times New Roman"/>
          <w:color w:val="auto"/>
          <w:lang w:val="en-US" w:eastAsia="zh-CN"/>
        </w:rPr>
        <w:t>）</w:t>
      </w:r>
      <w:r>
        <w:rPr>
          <w:rFonts w:hint="default" w:ascii="Times New Roman" w:hAnsi="Times New Roman" w:cs="Times New Roman"/>
          <w:color w:val="auto"/>
        </w:rPr>
        <w:t>对于总质量大于4500kg的汽车，底盘动态检验区总长度不少于38m，才能满足所有车型底盘动态试验的要求。</w:t>
      </w:r>
    </w:p>
    <w:p>
      <w:pPr>
        <w:pStyle w:val="7"/>
        <w:keepNext w:val="0"/>
        <w:keepLines w:val="0"/>
        <w:pageBreakBefore w:val="0"/>
        <w:widowControl/>
        <w:kinsoku/>
        <w:wordWrap/>
        <w:autoSpaceDE/>
        <w:autoSpaceDN/>
        <w:bidi w:val="0"/>
        <w:adjustRightInd/>
        <w:snapToGrid/>
        <w:spacing w:line="560" w:lineRule="exact"/>
        <w:textAlignment w:val="auto"/>
        <w:rPr>
          <w:rFonts w:hint="default" w:ascii="Times New Roman" w:hAnsi="Times New Roman" w:cs="Times New Roman"/>
          <w:color w:val="auto"/>
          <w:highlight w:val="none"/>
        </w:rPr>
      </w:pPr>
      <w:r>
        <w:rPr>
          <w:rFonts w:hint="default" w:ascii="Times New Roman" w:hAnsi="Times New Roman" w:cs="Times New Roman"/>
          <w:color w:val="auto"/>
        </w:rPr>
        <w:t>注：若车辆从上一检验工位能直接进入底盘动态检验区，底盘动态检验区总长度可不考虑预留长度。</w:t>
      </w:r>
    </w:p>
    <w:p>
      <w:pPr>
        <w:pStyle w:val="7"/>
        <w:keepNext w:val="0"/>
        <w:keepLines w:val="0"/>
        <w:pageBreakBefore w:val="0"/>
        <w:widowControl/>
        <w:numPr>
          <w:ilvl w:val="0"/>
          <w:numId w:val="0"/>
        </w:numPr>
        <w:kinsoku/>
        <w:wordWrap/>
        <w:autoSpaceDE/>
        <w:autoSpaceDN/>
        <w:bidi w:val="0"/>
        <w:adjustRightInd/>
        <w:snapToGrid/>
        <w:spacing w:line="560" w:lineRule="exact"/>
        <w:ind w:left="0" w:leftChars="0" w:firstLine="608" w:firstLineChars="0"/>
        <w:textAlignment w:val="auto"/>
        <w:rPr>
          <w:rFonts w:hint="default" w:ascii="Times New Roman" w:hAnsi="Times New Roman" w:cs="Times New Roman"/>
          <w:b w:val="0"/>
          <w:color w:val="auto"/>
          <w:highlight w:val="none"/>
        </w:rPr>
      </w:pPr>
      <w:r>
        <w:rPr>
          <w:rFonts w:hint="default" w:ascii="Times New Roman" w:hAnsi="Times New Roman" w:eastAsia="方正仿宋_GB2312" w:cs="Times New Roman"/>
          <w:b w:val="0"/>
          <w:color w:val="auto"/>
          <w:spacing w:val="-6"/>
          <w:sz w:val="32"/>
        </w:rPr>
        <w:t>5.</w:t>
      </w:r>
      <w:r>
        <w:rPr>
          <w:rFonts w:hint="eastAsia" w:ascii="Times New Roman" w:hAnsi="Times New Roman" w:cs="Times New Roman"/>
          <w:b w:val="0"/>
          <w:color w:val="auto"/>
          <w:spacing w:val="-6"/>
          <w:sz w:val="32"/>
          <w:lang w:val="en-US" w:eastAsia="zh-CN"/>
        </w:rPr>
        <w:t>7</w:t>
      </w:r>
      <w:r>
        <w:rPr>
          <w:rFonts w:hint="default" w:ascii="Times New Roman" w:hAnsi="Times New Roman" w:eastAsia="方正仿宋_GB2312" w:cs="Times New Roman"/>
          <w:b w:val="0"/>
          <w:color w:val="auto"/>
          <w:spacing w:val="-6"/>
          <w:sz w:val="32"/>
        </w:rPr>
        <w:t>.</w:t>
      </w:r>
      <w:r>
        <w:rPr>
          <w:rFonts w:hint="eastAsia" w:ascii="Times New Roman" w:hAnsi="Times New Roman" w:cs="Times New Roman"/>
          <w:b w:val="0"/>
          <w:color w:val="auto"/>
          <w:spacing w:val="-6"/>
          <w:sz w:val="32"/>
          <w:lang w:val="en-US" w:eastAsia="zh-CN"/>
        </w:rPr>
        <w:t>2</w:t>
      </w:r>
      <w:r>
        <w:rPr>
          <w:rFonts w:hint="default" w:ascii="Times New Roman" w:hAnsi="Times New Roman" w:eastAsia="方正仿宋_GB2312" w:cs="Times New Roman"/>
          <w:b w:val="0"/>
          <w:color w:val="auto"/>
          <w:spacing w:val="-6"/>
          <w:sz w:val="32"/>
        </w:rPr>
        <w:t>.2</w:t>
      </w:r>
      <w:r>
        <w:rPr>
          <w:rFonts w:hint="default" w:ascii="Times New Roman" w:hAnsi="Times New Roman" w:cs="Times New Roman"/>
          <w:color w:val="auto"/>
          <w:highlight w:val="none"/>
        </w:rPr>
        <w:t>具体车型对应的底盘动态检验区最小长度详见表5：</w:t>
      </w:r>
    </w:p>
    <w:p>
      <w:pPr>
        <w:pStyle w:val="30"/>
        <w:keepNext w:val="0"/>
        <w:keepLines w:val="0"/>
        <w:pageBreakBefore w:val="0"/>
        <w:widowControl/>
        <w:numPr>
          <w:ilvl w:val="3"/>
          <w:numId w:val="0"/>
        </w:numPr>
        <w:kinsoku/>
        <w:wordWrap/>
        <w:autoSpaceDE/>
        <w:autoSpaceDN/>
        <w:bidi w:val="0"/>
        <w:adjustRightInd/>
        <w:snapToGrid/>
        <w:spacing w:line="560" w:lineRule="exac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表5</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不同承检车型底盘动态检验区总长度一览表</w:t>
      </w:r>
    </w:p>
    <w:tbl>
      <w:tblPr>
        <w:tblStyle w:val="15"/>
        <w:tblW w:w="4998" w:type="pct"/>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508"/>
        <w:gridCol w:w="3322"/>
        <w:gridCol w:w="1590"/>
        <w:gridCol w:w="1631"/>
        <w:gridCol w:w="180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76" w:hRule="atLeast"/>
          <w:jc w:val="center"/>
        </w:trPr>
        <w:tc>
          <w:tcPr>
            <w:tcW w:w="28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序号</w:t>
            </w:r>
          </w:p>
        </w:tc>
        <w:tc>
          <w:tcPr>
            <w:tcW w:w="187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机构申请的检验能力</w:t>
            </w:r>
          </w:p>
        </w:tc>
        <w:tc>
          <w:tcPr>
            <w:tcW w:w="8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承检车型的</w:t>
            </w:r>
          </w:p>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长度限值</w:t>
            </w:r>
          </w:p>
        </w:tc>
        <w:tc>
          <w:tcPr>
            <w:tcW w:w="92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底盘动态检验区最小长度</w:t>
            </w:r>
          </w:p>
        </w:tc>
        <w:tc>
          <w:tcPr>
            <w:tcW w:w="101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备注</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084" w:hRule="atLeast"/>
          <w:jc w:val="center"/>
        </w:trPr>
        <w:tc>
          <w:tcPr>
            <w:tcW w:w="28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w:t>
            </w:r>
          </w:p>
        </w:tc>
        <w:tc>
          <w:tcPr>
            <w:tcW w:w="187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非营运小型、微型载客汽车</w:t>
            </w:r>
          </w:p>
        </w:tc>
        <w:tc>
          <w:tcPr>
            <w:tcW w:w="8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6m</w:t>
            </w:r>
          </w:p>
        </w:tc>
        <w:tc>
          <w:tcPr>
            <w:tcW w:w="92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26m</w:t>
            </w:r>
          </w:p>
        </w:tc>
        <w:tc>
          <w:tcPr>
            <w:tcW w:w="101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043" w:hRule="atLeast"/>
          <w:jc w:val="center"/>
        </w:trPr>
        <w:tc>
          <w:tcPr>
            <w:tcW w:w="28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2</w:t>
            </w:r>
          </w:p>
        </w:tc>
        <w:tc>
          <w:tcPr>
            <w:tcW w:w="187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总质量小于等于3500kg的汽车</w:t>
            </w:r>
          </w:p>
        </w:tc>
        <w:tc>
          <w:tcPr>
            <w:tcW w:w="898"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6m</w:t>
            </w:r>
          </w:p>
        </w:tc>
        <w:tc>
          <w:tcPr>
            <w:tcW w:w="92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26m</w:t>
            </w:r>
          </w:p>
        </w:tc>
        <w:tc>
          <w:tcPr>
            <w:tcW w:w="1016"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left="0" w:leftChars="0" w:right="0" w:firstLine="472" w:firstLineChars="200"/>
              <w:jc w:val="center"/>
              <w:textAlignment w:val="auto"/>
              <w:rPr>
                <w:rFonts w:hint="default" w:ascii="Times New Roman" w:hAnsi="Times New Roman" w:eastAsia="仿宋" w:cs="Times New Roman"/>
                <w:color w:val="auto"/>
                <w:kern w:val="0"/>
                <w:sz w:val="24"/>
                <w:szCs w:val="24"/>
                <w:highlight w:val="none"/>
                <w:lang w:val="en-US" w:eastAsia="zh-CN" w:bidi="ar-SA"/>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083" w:hRule="atLeast"/>
          <w:jc w:val="center"/>
        </w:trPr>
        <w:tc>
          <w:tcPr>
            <w:tcW w:w="287" w:type="pct"/>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3</w:t>
            </w:r>
          </w:p>
        </w:tc>
        <w:tc>
          <w:tcPr>
            <w:tcW w:w="1876" w:type="pct"/>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总质量大于3500kg且小于等于4500kg的汽车</w:t>
            </w:r>
          </w:p>
        </w:tc>
        <w:tc>
          <w:tcPr>
            <w:tcW w:w="898" w:type="pct"/>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6m</w:t>
            </w:r>
          </w:p>
        </w:tc>
        <w:tc>
          <w:tcPr>
            <w:tcW w:w="921" w:type="pct"/>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30m</w:t>
            </w:r>
          </w:p>
        </w:tc>
        <w:tc>
          <w:tcPr>
            <w:tcW w:w="1016" w:type="pct"/>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left="0" w:leftChars="0" w:right="0" w:firstLine="472" w:firstLineChars="200"/>
              <w:jc w:val="center"/>
              <w:textAlignment w:val="auto"/>
              <w:rPr>
                <w:rFonts w:hint="default" w:ascii="Times New Roman" w:hAnsi="Times New Roman" w:eastAsia="仿宋" w:cs="Times New Roman"/>
                <w:color w:val="auto"/>
                <w:kern w:val="0"/>
                <w:sz w:val="24"/>
                <w:szCs w:val="24"/>
                <w:highlight w:val="none"/>
                <w:lang w:val="en-US" w:eastAsia="zh-CN" w:bidi="ar-SA"/>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083" w:hRule="atLeast"/>
          <w:jc w:val="center"/>
        </w:trPr>
        <w:tc>
          <w:tcPr>
            <w:tcW w:w="287"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4</w:t>
            </w:r>
          </w:p>
        </w:tc>
        <w:tc>
          <w:tcPr>
            <w:tcW w:w="1876"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载客汽车、货车</w:t>
            </w:r>
          </w:p>
        </w:tc>
        <w:tc>
          <w:tcPr>
            <w:tcW w:w="898"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12m</w:t>
            </w:r>
          </w:p>
        </w:tc>
        <w:tc>
          <w:tcPr>
            <w:tcW w:w="921"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32m</w:t>
            </w:r>
          </w:p>
        </w:tc>
        <w:tc>
          <w:tcPr>
            <w:tcW w:w="1016"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当承检的最高车型</w:t>
            </w:r>
            <w:r>
              <w:rPr>
                <w:rFonts w:hint="eastAsia" w:ascii="Times New Roman" w:hAnsi="Times New Roman" w:eastAsia="仿宋" w:cs="Times New Roman"/>
                <w:color w:val="auto"/>
                <w:kern w:val="0"/>
                <w:sz w:val="24"/>
                <w:szCs w:val="24"/>
                <w:highlight w:val="none"/>
                <w:lang w:val="en-US" w:eastAsia="zh-CN" w:bidi="ar-SA"/>
              </w:rPr>
              <w:t>为</w:t>
            </w:r>
            <w:r>
              <w:rPr>
                <w:rFonts w:hint="default" w:ascii="Times New Roman" w:hAnsi="Times New Roman" w:eastAsia="仿宋" w:cs="Times New Roman"/>
                <w:color w:val="auto"/>
                <w:kern w:val="0"/>
                <w:sz w:val="24"/>
                <w:szCs w:val="24"/>
                <w:highlight w:val="none"/>
                <w:lang w:val="en-US" w:eastAsia="zh-CN" w:bidi="ar-SA"/>
              </w:rPr>
              <w:t>二轴客车时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070" w:hRule="atLeast"/>
          <w:jc w:val="center"/>
        </w:trPr>
        <w:tc>
          <w:tcPr>
            <w:tcW w:w="287"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5</w:t>
            </w:r>
          </w:p>
        </w:tc>
        <w:tc>
          <w:tcPr>
            <w:tcW w:w="1876"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载客汽车、货车</w:t>
            </w:r>
          </w:p>
        </w:tc>
        <w:tc>
          <w:tcPr>
            <w:tcW w:w="898"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13.7m</w:t>
            </w:r>
          </w:p>
        </w:tc>
        <w:tc>
          <w:tcPr>
            <w:tcW w:w="921"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33.7m</w:t>
            </w:r>
          </w:p>
        </w:tc>
        <w:tc>
          <w:tcPr>
            <w:tcW w:w="1016"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当承检的最高车型</w:t>
            </w:r>
            <w:r>
              <w:rPr>
                <w:rFonts w:hint="eastAsia" w:ascii="Times New Roman" w:hAnsi="Times New Roman" w:eastAsia="仿宋" w:cs="Times New Roman"/>
                <w:color w:val="auto"/>
                <w:kern w:val="0"/>
                <w:sz w:val="24"/>
                <w:szCs w:val="24"/>
                <w:highlight w:val="none"/>
                <w:lang w:val="en-US" w:eastAsia="zh-CN" w:bidi="ar-SA"/>
              </w:rPr>
              <w:t>为</w:t>
            </w:r>
            <w:r>
              <w:rPr>
                <w:rFonts w:hint="default" w:ascii="Times New Roman" w:hAnsi="Times New Roman" w:eastAsia="仿宋" w:cs="Times New Roman"/>
                <w:color w:val="auto"/>
                <w:kern w:val="0"/>
                <w:sz w:val="24"/>
                <w:szCs w:val="24"/>
                <w:highlight w:val="none"/>
                <w:lang w:val="en-US" w:eastAsia="zh-CN" w:bidi="ar-SA"/>
              </w:rPr>
              <w:t>三轴客车时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123" w:hRule="atLeast"/>
          <w:jc w:val="center"/>
        </w:trPr>
        <w:tc>
          <w:tcPr>
            <w:tcW w:w="287"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6</w:t>
            </w:r>
          </w:p>
        </w:tc>
        <w:tc>
          <w:tcPr>
            <w:tcW w:w="1876"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载客汽车、货车、专项作业车</w:t>
            </w:r>
          </w:p>
        </w:tc>
        <w:tc>
          <w:tcPr>
            <w:tcW w:w="898"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16m</w:t>
            </w:r>
          </w:p>
        </w:tc>
        <w:tc>
          <w:tcPr>
            <w:tcW w:w="921"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36m</w:t>
            </w:r>
          </w:p>
        </w:tc>
        <w:tc>
          <w:tcPr>
            <w:tcW w:w="1016"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当承检的最高车型为重型专项作业车时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00" w:hRule="atLeast"/>
          <w:jc w:val="center"/>
        </w:trPr>
        <w:tc>
          <w:tcPr>
            <w:tcW w:w="287"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7</w:t>
            </w:r>
          </w:p>
        </w:tc>
        <w:tc>
          <w:tcPr>
            <w:tcW w:w="1876"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载客汽车、货车</w:t>
            </w:r>
          </w:p>
        </w:tc>
        <w:tc>
          <w:tcPr>
            <w:tcW w:w="898"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18m</w:t>
            </w:r>
          </w:p>
        </w:tc>
        <w:tc>
          <w:tcPr>
            <w:tcW w:w="921"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38m</w:t>
            </w:r>
          </w:p>
        </w:tc>
        <w:tc>
          <w:tcPr>
            <w:tcW w:w="1016"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val="0"/>
              <w:autoSpaceDN w:val="0"/>
              <w:bidi w:val="0"/>
              <w:adjustRightInd/>
              <w:snapToGrid/>
              <w:spacing w:line="400" w:lineRule="exact"/>
              <w:ind w:right="0" w:rightChars="0"/>
              <w:jc w:val="center"/>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当承检的最高车型</w:t>
            </w:r>
            <w:r>
              <w:rPr>
                <w:rFonts w:hint="eastAsia" w:ascii="Times New Roman" w:hAnsi="Times New Roman" w:eastAsia="仿宋" w:cs="Times New Roman"/>
                <w:color w:val="auto"/>
                <w:kern w:val="0"/>
                <w:sz w:val="24"/>
                <w:szCs w:val="24"/>
                <w:highlight w:val="none"/>
                <w:lang w:val="en-US" w:eastAsia="zh-CN" w:bidi="ar-SA"/>
              </w:rPr>
              <w:t>为</w:t>
            </w:r>
            <w:r>
              <w:rPr>
                <w:rFonts w:hint="default" w:ascii="Times New Roman" w:hAnsi="Times New Roman" w:eastAsia="仿宋" w:cs="Times New Roman"/>
                <w:color w:val="auto"/>
                <w:kern w:val="0"/>
                <w:sz w:val="24"/>
                <w:szCs w:val="24"/>
                <w:highlight w:val="none"/>
                <w:lang w:val="en-US" w:eastAsia="zh-CN" w:bidi="ar-SA"/>
              </w:rPr>
              <w:t>单铰接客车时</w:t>
            </w:r>
          </w:p>
        </w:tc>
      </w:tr>
    </w:tbl>
    <w:p>
      <w:pPr>
        <w:pStyle w:val="7"/>
        <w:numPr>
          <w:ilvl w:val="0"/>
          <w:numId w:val="0"/>
        </w:numPr>
        <w:ind w:left="0" w:leftChars="0" w:firstLine="608" w:firstLineChars="0"/>
        <w:rPr>
          <w:rFonts w:hint="eastAsia" w:ascii="Times New Roman" w:hAnsi="Times New Roman" w:cs="Times New Roman"/>
          <w:b w:val="0"/>
          <w:strike/>
          <w:color w:val="auto"/>
          <w:highlight w:val="none"/>
          <w:lang w:val="en-US" w:eastAsia="zh-CN"/>
        </w:rPr>
      </w:pPr>
      <w:r>
        <w:rPr>
          <w:rFonts w:hint="eastAsia" w:ascii="Times New Roman" w:hAnsi="Times New Roman" w:cs="Times New Roman"/>
          <w:color w:val="auto"/>
          <w:highlight w:val="none"/>
          <w:lang w:val="en-US" w:eastAsia="zh-CN"/>
        </w:rPr>
        <w:t>现场评审时，</w:t>
      </w:r>
      <w:r>
        <w:rPr>
          <w:rFonts w:hint="default" w:ascii="Times New Roman" w:hAnsi="Times New Roman" w:cs="Times New Roman"/>
          <w:color w:val="auto"/>
          <w:highlight w:val="none"/>
        </w:rPr>
        <w:t>对于不满足上述要求的底盘动态检验区，机构采用申请承检的最长车型进行底盘动态试验实测，根据实测结果，底盘动态检验区总长度不满足要求的，应明确限制承检车辆实际长度（如车长不超过xx</w:t>
      </w:r>
      <w:r>
        <w:rPr>
          <w:rFonts w:hint="eastAsia" w:ascii="Times New Roman" w:hAnsi="Times New Roman" w:cs="Times New Roman"/>
          <w:color w:val="auto"/>
          <w:highlight w:val="none"/>
          <w:lang w:val="en-US" w:eastAsia="zh-CN"/>
        </w:rPr>
        <w:t>米</w:t>
      </w:r>
      <w:r>
        <w:rPr>
          <w:rFonts w:hint="default" w:ascii="Times New Roman" w:hAnsi="Times New Roman" w:cs="Times New Roman"/>
          <w:color w:val="auto"/>
          <w:highlight w:val="none"/>
        </w:rPr>
        <w:t>的客车、货车或汽车列车），并在机构能力附表上加以限制说明。</w:t>
      </w:r>
    </w:p>
    <w:p>
      <w:pPr>
        <w:pStyle w:val="3"/>
        <w:numPr>
          <w:ilvl w:val="0"/>
          <w:numId w:val="0"/>
        </w:numPr>
        <w:ind w:leftChars="0" w:firstLine="632" w:firstLineChars="200"/>
        <w:rPr>
          <w:rFonts w:hint="default" w:ascii="Times New Roman" w:hAnsi="Times New Roman" w:cs="Times New Roman"/>
          <w:color w:val="auto"/>
          <w:highlight w:val="none"/>
        </w:rPr>
      </w:pPr>
      <w:bookmarkStart w:id="107" w:name="_Toc13541"/>
      <w:bookmarkStart w:id="108" w:name="_Toc443"/>
      <w:bookmarkStart w:id="109" w:name="_Toc20047"/>
      <w:bookmarkStart w:id="110" w:name="_Toc15526"/>
      <w:r>
        <w:rPr>
          <w:rFonts w:hint="eastAsia" w:ascii="Times New Roman" w:hAnsi="Times New Roman" w:cs="Times New Roman"/>
          <w:color w:val="auto"/>
          <w:highlight w:val="none"/>
          <w:lang w:val="en-US" w:eastAsia="zh-CN"/>
        </w:rPr>
        <w:t>5.8</w:t>
      </w:r>
      <w:r>
        <w:rPr>
          <w:rFonts w:hint="default" w:ascii="Times New Roman" w:hAnsi="Times New Roman" w:cs="Times New Roman"/>
          <w:color w:val="auto"/>
          <w:highlight w:val="none"/>
        </w:rPr>
        <w:t>停车场</w:t>
      </w:r>
      <w:bookmarkEnd w:id="107"/>
      <w:r>
        <w:rPr>
          <w:rFonts w:hint="eastAsia"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及判定指南</w:t>
      </w:r>
      <w:bookmarkEnd w:id="108"/>
      <w:bookmarkEnd w:id="109"/>
      <w:bookmarkEnd w:id="110"/>
    </w:p>
    <w:p>
      <w:pPr>
        <w:pStyle w:val="4"/>
        <w:rPr>
          <w:rFonts w:hint="default" w:ascii="Times New Roman" w:hAnsi="Times New Roman" w:eastAsia="方正仿宋_GB2312"/>
          <w:color w:val="auto"/>
          <w:highlight w:val="none"/>
          <w:lang w:val="en-US" w:eastAsia="zh-CN"/>
        </w:rPr>
      </w:pPr>
      <w:bookmarkStart w:id="111" w:name="_Toc7830"/>
      <w:bookmarkStart w:id="112" w:name="_Toc13425"/>
      <w:r>
        <w:rPr>
          <w:rFonts w:hint="default" w:ascii="Times New Roman" w:hAnsi="Times New Roman" w:cs="Times New Roman"/>
          <w:color w:val="auto"/>
          <w:highlight w:val="none"/>
          <w:lang w:val="en-US" w:eastAsia="zh-CN"/>
        </w:rPr>
        <w:t>5.8.1要求</w:t>
      </w:r>
      <w:bookmarkEnd w:id="111"/>
      <w:bookmarkEnd w:id="112"/>
    </w:p>
    <w:p>
      <w:pPr>
        <w:pStyle w:val="7"/>
        <w:rPr>
          <w:rFonts w:hint="default" w:ascii="Times New Roman" w:hAnsi="Times New Roman" w:cs="Times New Roman"/>
          <w:color w:val="auto"/>
          <w:highlight w:val="none"/>
        </w:rPr>
      </w:pPr>
      <w:r>
        <w:rPr>
          <w:rFonts w:hint="default" w:ascii="Times New Roman" w:hAnsi="Times New Roman" w:cs="Times New Roman"/>
          <w:color w:val="auto"/>
          <w:highlight w:val="none"/>
        </w:rPr>
        <w:t>《补充要求》第二十三条：机动车检验机构停车场地面积应当与检验能力和日检验车辆数量相适应。</w:t>
      </w:r>
    </w:p>
    <w:p>
      <w:pPr>
        <w:pStyle w:val="4"/>
        <w:rPr>
          <w:rFonts w:hint="default" w:ascii="Times New Roman" w:hAnsi="Times New Roman" w:cs="Times New Roman"/>
          <w:color w:val="auto"/>
          <w:highlight w:val="none"/>
        </w:rPr>
      </w:pPr>
      <w:bookmarkStart w:id="113" w:name="_Toc13845"/>
      <w:bookmarkStart w:id="114" w:name="_Toc2311"/>
      <w:bookmarkStart w:id="115" w:name="_Toc25334"/>
      <w:r>
        <w:rPr>
          <w:rFonts w:hint="default" w:ascii="Times New Roman" w:hAnsi="Times New Roman" w:cs="Times New Roman"/>
          <w:color w:val="auto"/>
          <w:highlight w:val="none"/>
        </w:rPr>
        <w:t>5.</w:t>
      </w:r>
      <w:r>
        <w:rPr>
          <w:rFonts w:hint="eastAsia"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判定指南</w:t>
      </w:r>
      <w:bookmarkEnd w:id="113"/>
      <w:bookmarkEnd w:id="114"/>
      <w:bookmarkEnd w:id="115"/>
    </w:p>
    <w:p>
      <w:pPr>
        <w:pStyle w:val="7"/>
        <w:numPr>
          <w:ilvl w:val="0"/>
          <w:numId w:val="0"/>
        </w:numPr>
        <w:ind w:left="0" w:leftChars="0" w:firstLine="608" w:firstLineChars="0"/>
        <w:rPr>
          <w:rFonts w:hint="default" w:ascii="Times New Roman" w:hAnsi="Times New Roman" w:cs="Times New Roman"/>
          <w:b w:val="0"/>
          <w:color w:val="auto"/>
          <w:highlight w:val="none"/>
        </w:rPr>
      </w:pPr>
      <w:r>
        <w:rPr>
          <w:rFonts w:hint="default" w:ascii="Times New Roman" w:hAnsi="Times New Roman" w:cs="Times New Roman"/>
          <w:color w:val="auto"/>
          <w:highlight w:val="none"/>
        </w:rPr>
        <w:t>停车场地一般不少于10个停车位，且大型车辆的停车位不得少于总停车位20%（适用时）。</w:t>
      </w:r>
    </w:p>
    <w:bookmarkEnd w:id="46"/>
    <w:p>
      <w:pPr>
        <w:pStyle w:val="2"/>
        <w:numPr>
          <w:ilvl w:val="0"/>
          <w:numId w:val="5"/>
        </w:numPr>
        <w:ind w:left="0" w:leftChars="0" w:firstLine="632" w:firstLineChars="0"/>
        <w:rPr>
          <w:rFonts w:hint="default" w:ascii="Times New Roman" w:hAnsi="Times New Roman" w:cs="Times New Roman"/>
          <w:b w:val="0"/>
          <w:color w:val="auto"/>
          <w:highlight w:val="none"/>
        </w:rPr>
      </w:pPr>
      <w:bookmarkStart w:id="116" w:name="_Toc9575"/>
      <w:bookmarkStart w:id="117" w:name="_Toc5909"/>
      <w:bookmarkStart w:id="118" w:name="_Toc2757"/>
      <w:bookmarkStart w:id="119" w:name="_Toc13625"/>
      <w:bookmarkStart w:id="120" w:name="_Toc21873"/>
      <w:r>
        <w:rPr>
          <w:rFonts w:hint="default" w:ascii="Times New Roman" w:hAnsi="Times New Roman" w:cs="Times New Roman"/>
          <w:color w:val="auto"/>
          <w:highlight w:val="none"/>
        </w:rPr>
        <w:t>仪器设备</w:t>
      </w:r>
      <w:bookmarkEnd w:id="116"/>
      <w:bookmarkEnd w:id="117"/>
      <w:bookmarkEnd w:id="118"/>
      <w:bookmarkEnd w:id="119"/>
      <w:bookmarkEnd w:id="120"/>
    </w:p>
    <w:p>
      <w:pPr>
        <w:pStyle w:val="3"/>
        <w:numPr>
          <w:ilvl w:val="0"/>
          <w:numId w:val="0"/>
        </w:numPr>
        <w:ind w:firstLine="632" w:firstLineChars="200"/>
        <w:rPr>
          <w:rFonts w:hint="default" w:ascii="Times New Roman" w:hAnsi="Times New Roman" w:cs="Times New Roman"/>
          <w:color w:val="auto"/>
          <w:highlight w:val="none"/>
        </w:rPr>
      </w:pPr>
      <w:bookmarkStart w:id="121" w:name="_Toc11526"/>
      <w:bookmarkStart w:id="122" w:name="_Toc2488"/>
      <w:bookmarkStart w:id="123" w:name="_Toc26764"/>
      <w:bookmarkStart w:id="124" w:name="_Toc4079"/>
      <w:r>
        <w:rPr>
          <w:rFonts w:hint="eastAsia" w:ascii="Times New Roman" w:hAnsi="Times New Roman" w:cs="Times New Roman"/>
          <w:color w:val="auto"/>
          <w:highlight w:val="none"/>
          <w:lang w:val="en-US" w:eastAsia="zh-CN"/>
        </w:rPr>
        <w:t>6.1</w:t>
      </w:r>
      <w:r>
        <w:rPr>
          <w:rFonts w:hint="default" w:ascii="Times New Roman" w:hAnsi="Times New Roman" w:cs="Times New Roman"/>
          <w:color w:val="auto"/>
          <w:highlight w:val="none"/>
        </w:rPr>
        <w:t>仪器设备配备</w:t>
      </w:r>
      <w:r>
        <w:rPr>
          <w:rFonts w:hint="eastAsia" w:ascii="Times New Roman" w:hAnsi="Times New Roman" w:cs="Times New Roman"/>
          <w:color w:val="auto"/>
          <w:highlight w:val="none"/>
          <w:lang w:val="en-US" w:eastAsia="zh-CN"/>
        </w:rPr>
        <w:t>要求</w:t>
      </w:r>
      <w:bookmarkEnd w:id="121"/>
      <w:r>
        <w:rPr>
          <w:rFonts w:hint="default" w:ascii="Times New Roman" w:hAnsi="Times New Roman" w:cs="Times New Roman"/>
          <w:color w:val="auto"/>
          <w:highlight w:val="none"/>
        </w:rPr>
        <w:t>及判定指南</w:t>
      </w:r>
      <w:bookmarkEnd w:id="122"/>
      <w:bookmarkEnd w:id="123"/>
      <w:bookmarkEnd w:id="124"/>
    </w:p>
    <w:p>
      <w:pPr>
        <w:ind w:firstLine="632" w:firstLineChars="200"/>
        <w:outlineLvl w:val="2"/>
        <w:rPr>
          <w:rFonts w:hint="default" w:eastAsia="方正仿宋_GB2312"/>
          <w:color w:val="auto"/>
          <w:lang w:val="en-US" w:eastAsia="zh-CN"/>
        </w:rPr>
      </w:pPr>
      <w:bookmarkStart w:id="125" w:name="_Toc14409"/>
      <w:bookmarkStart w:id="126" w:name="_Toc9238"/>
      <w:bookmarkStart w:id="127" w:name="_Toc5621"/>
      <w:r>
        <w:rPr>
          <w:rFonts w:hint="eastAsia" w:ascii="Times New Roman" w:hAnsi="Times New Roman" w:cs="Times New Roman"/>
          <w:color w:val="auto"/>
          <w:highlight w:val="none"/>
          <w:lang w:val="en-US" w:eastAsia="zh-CN"/>
        </w:rPr>
        <w:t>6.1.1要求</w:t>
      </w:r>
      <w:bookmarkEnd w:id="125"/>
      <w:bookmarkEnd w:id="126"/>
      <w:bookmarkEnd w:id="127"/>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《准则》2.11.1*：检验检测机构应当配备具有独立支配使用权、性能符合工作要求的设备和设施。</w:t>
      </w:r>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《准则》2.11.1.21：检验检测机构应当配备符合开展检验检测（包括抽样、样品制备、数据处理与分析等）工作要求的设备和设施。</w:t>
      </w:r>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《准则》2.12.8：检验检测机构在运用计算机信息系统实施检验检测、数据传输或者对检验检测数据和相关信息进行管理时，应当具有保障安全性、完整性、正确性</w:t>
      </w:r>
      <w:r>
        <w:rPr>
          <w:rFonts w:hint="eastAsia" w:ascii="Times New Roman" w:hAnsi="Times New Roman" w:cs="Times New Roman"/>
          <w:b w:val="0"/>
          <w:color w:val="auto"/>
          <w:highlight w:val="none"/>
          <w:lang w:val="en-US" w:eastAsia="zh-CN"/>
        </w:rPr>
        <w:t>的</w:t>
      </w:r>
      <w:r>
        <w:rPr>
          <w:rFonts w:hint="default" w:ascii="Times New Roman" w:hAnsi="Times New Roman" w:cs="Times New Roman"/>
          <w:b w:val="0"/>
          <w:color w:val="auto"/>
          <w:highlight w:val="none"/>
        </w:rPr>
        <w:t>措施。</w:t>
      </w:r>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《补充要求》第五条：机动车检验机构应具备《机动车安全技术检验项目和方法》（GB</w:t>
      </w:r>
      <w:r>
        <w:rPr>
          <w:rFonts w:hint="eastAsia" w:ascii="Times New Roman" w:hAnsi="Times New Roman" w:cs="Times New Roman"/>
          <w:b w:val="0"/>
          <w:color w:val="auto"/>
          <w:highlight w:val="none"/>
          <w:lang w:val="en-US" w:eastAsia="zh-CN"/>
        </w:rPr>
        <w:t xml:space="preserve"> </w:t>
      </w:r>
      <w:r>
        <w:rPr>
          <w:rFonts w:hint="default" w:ascii="Times New Roman" w:hAnsi="Times New Roman" w:cs="Times New Roman"/>
          <w:b w:val="0"/>
          <w:color w:val="auto"/>
          <w:highlight w:val="none"/>
        </w:rPr>
        <w:t>38900）适用车辆类型中的一类或几类车型的安全技术检验全部项目检验能力，同时应具备《汽油车污染物排放限值及测量方法（双怠速法及简易工况法）》（GB</w:t>
      </w:r>
      <w:r>
        <w:rPr>
          <w:rFonts w:hint="eastAsia" w:ascii="Times New Roman" w:hAnsi="Times New Roman" w:cs="Times New Roman"/>
          <w:b w:val="0"/>
          <w:color w:val="auto"/>
          <w:highlight w:val="none"/>
          <w:lang w:val="en-US" w:eastAsia="zh-CN"/>
        </w:rPr>
        <w:t xml:space="preserve"> </w:t>
      </w:r>
      <w:r>
        <w:rPr>
          <w:rFonts w:hint="default" w:ascii="Times New Roman" w:hAnsi="Times New Roman" w:cs="Times New Roman"/>
          <w:b w:val="0"/>
          <w:color w:val="auto"/>
          <w:highlight w:val="none"/>
        </w:rPr>
        <w:t>18285）、《柴油车污染物排放限值及测量方法（自由加速法及加载减速法）》（GB</w:t>
      </w:r>
      <w:r>
        <w:rPr>
          <w:rFonts w:hint="eastAsia" w:ascii="Times New Roman" w:hAnsi="Times New Roman" w:cs="Times New Roman"/>
          <w:b w:val="0"/>
          <w:color w:val="auto"/>
          <w:highlight w:val="none"/>
          <w:lang w:val="en-US" w:eastAsia="zh-CN"/>
        </w:rPr>
        <w:t xml:space="preserve"> </w:t>
      </w:r>
      <w:r>
        <w:rPr>
          <w:rFonts w:hint="default" w:ascii="Times New Roman" w:hAnsi="Times New Roman" w:cs="Times New Roman"/>
          <w:b w:val="0"/>
          <w:color w:val="auto"/>
          <w:highlight w:val="none"/>
        </w:rPr>
        <w:t>3847）或其他排放标准中对应车型的排放检验能力（不适用的除外）。</w:t>
      </w:r>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《补充要求》第二十四条：机动车检验机构应当依据其申请的检验检测能力范围配备满足国家标准和规范要求的检验检测仪器设备及相关标准物质。</w:t>
      </w:r>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机动车检验的主要检验检测仪器设备，如制动检验台、轮（轴）重仪（地磅）、侧滑检验台、前照灯检测仪、外廓尺寸自动测量装置、底盘测功机、底盘间隙仪等，应当为固定式设备，自动控制的仪器设备应当安装在检测车间内。摩托车和三轮汽车的主要检验检测仪器设备可采用移动式设备。</w:t>
      </w:r>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机动车检验机构对使用的检验检测仪器设备应当拥有所有权。</w:t>
      </w:r>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《补充要求》第二十五条：机动车检验机构应保证用于检验检测并对结果有影响的软件符合相关法律法规、标准的规定，经过验证，以及进行维护、变更、升级后的再验证，并加以唯一性标识。</w:t>
      </w:r>
    </w:p>
    <w:p>
      <w:pPr>
        <w:pStyle w:val="7"/>
        <w:rPr>
          <w:rFonts w:hint="default" w:ascii="Times New Roman" w:hAnsi="Times New Roman" w:cs="Times New Roman"/>
          <w:b w:val="0"/>
          <w:color w:val="auto"/>
          <w:highlight w:val="none"/>
        </w:rPr>
      </w:pPr>
      <w:bookmarkStart w:id="128" w:name="OLE_LINK100"/>
      <w:r>
        <w:rPr>
          <w:rFonts w:hint="default" w:ascii="Times New Roman" w:hAnsi="Times New Roman" w:cs="Times New Roman"/>
          <w:b w:val="0"/>
          <w:color w:val="auto"/>
          <w:highlight w:val="none"/>
        </w:rPr>
        <w:t>机动车检验机构</w:t>
      </w:r>
      <w:bookmarkEnd w:id="128"/>
      <w:r>
        <w:rPr>
          <w:rFonts w:hint="default" w:ascii="Times New Roman" w:hAnsi="Times New Roman" w:cs="Times New Roman"/>
          <w:b w:val="0"/>
          <w:color w:val="auto"/>
          <w:highlight w:val="none"/>
        </w:rPr>
        <w:t>应确保用于检验检测、联网核查、监督管理的软件的唯一性、完整性，不得擅自修改软件，确需升级的，应记录版本号、时间和功能修改说明。</w:t>
      </w:r>
    </w:p>
    <w:p>
      <w:pPr>
        <w:pStyle w:val="4"/>
        <w:rPr>
          <w:rFonts w:hint="default" w:ascii="Times New Roman" w:hAnsi="Times New Roman" w:cs="Times New Roman"/>
          <w:color w:val="auto"/>
          <w:highlight w:val="none"/>
        </w:rPr>
      </w:pPr>
      <w:bookmarkStart w:id="129" w:name="_Toc28783"/>
      <w:bookmarkStart w:id="130" w:name="_Toc27329"/>
      <w:bookmarkStart w:id="131" w:name="_Toc17036"/>
      <w:r>
        <w:rPr>
          <w:rFonts w:hint="default" w:ascii="Times New Roman" w:hAnsi="Times New Roman" w:cs="Times New Roman"/>
          <w:color w:val="auto"/>
          <w:highlight w:val="none"/>
        </w:rPr>
        <w:t>6.1.</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判定指南</w:t>
      </w:r>
      <w:bookmarkEnd w:id="129"/>
      <w:bookmarkEnd w:id="130"/>
      <w:bookmarkEnd w:id="131"/>
    </w:p>
    <w:p>
      <w:pPr>
        <w:pStyle w:val="7"/>
        <w:numPr>
          <w:ilvl w:val="0"/>
          <w:numId w:val="0"/>
        </w:numPr>
        <w:ind w:left="0" w:leftChars="0" w:firstLine="608" w:firstLineChars="0"/>
        <w:rPr>
          <w:rFonts w:hint="default" w:ascii="Times New Roman" w:hAnsi="Times New Roman" w:cs="Times New Roman"/>
          <w:color w:val="auto"/>
          <w:highlight w:val="none"/>
        </w:rPr>
      </w:pPr>
      <w:r>
        <w:rPr>
          <w:rFonts w:hint="default" w:ascii="Times New Roman" w:hAnsi="Times New Roman" w:eastAsia="方正仿宋_GB2312" w:cs="Times New Roman"/>
          <w:b w:val="0"/>
          <w:color w:val="auto"/>
          <w:spacing w:val="-6"/>
          <w:sz w:val="32"/>
        </w:rPr>
        <w:t>6.1.</w:t>
      </w:r>
      <w:r>
        <w:rPr>
          <w:rFonts w:hint="eastAsia" w:ascii="Times New Roman" w:hAnsi="Times New Roman" w:cs="Times New Roman"/>
          <w:b w:val="0"/>
          <w:color w:val="auto"/>
          <w:spacing w:val="-6"/>
          <w:sz w:val="32"/>
          <w:lang w:val="en-US" w:eastAsia="zh-CN"/>
        </w:rPr>
        <w:t>2</w:t>
      </w:r>
      <w:r>
        <w:rPr>
          <w:rFonts w:hint="default" w:ascii="Times New Roman" w:hAnsi="Times New Roman" w:eastAsia="方正仿宋_GB2312" w:cs="Times New Roman"/>
          <w:b w:val="0"/>
          <w:color w:val="auto"/>
          <w:spacing w:val="-6"/>
          <w:sz w:val="32"/>
        </w:rPr>
        <w:t>.1</w:t>
      </w:r>
      <w:r>
        <w:rPr>
          <w:rFonts w:hint="default" w:ascii="Times New Roman" w:hAnsi="Times New Roman" w:cs="Times New Roman"/>
          <w:color w:val="auto"/>
          <w:highlight w:val="none"/>
        </w:rPr>
        <w:t>机动车检验机构应同时具备表</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-1车辆类型中的一类或几类车型的安全技术检验全部项目检验能力，同时应具备表</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-2的排放检验能力。</w:t>
      </w:r>
    </w:p>
    <w:p>
      <w:pPr>
        <w:pStyle w:val="7"/>
        <w:numPr>
          <w:ilvl w:val="0"/>
          <w:numId w:val="0"/>
        </w:numPr>
        <w:ind w:left="0" w:leftChars="0" w:firstLine="608" w:firstLineChars="0"/>
        <w:rPr>
          <w:rFonts w:hint="default" w:ascii="Times New Roman" w:hAnsi="Times New Roman" w:cs="Times New Roman"/>
          <w:b w:val="0"/>
          <w:color w:val="auto"/>
          <w:highlight w:val="none"/>
        </w:rPr>
      </w:pPr>
      <w:r>
        <w:rPr>
          <w:rFonts w:hint="default" w:ascii="Times New Roman" w:hAnsi="Times New Roman" w:eastAsia="方正仿宋_GB2312" w:cs="Times New Roman"/>
          <w:b w:val="0"/>
          <w:color w:val="auto"/>
          <w:spacing w:val="-6"/>
          <w:sz w:val="32"/>
        </w:rPr>
        <w:t>6.1.</w:t>
      </w:r>
      <w:r>
        <w:rPr>
          <w:rFonts w:hint="eastAsia" w:ascii="Times New Roman" w:hAnsi="Times New Roman" w:cs="Times New Roman"/>
          <w:b w:val="0"/>
          <w:color w:val="auto"/>
          <w:spacing w:val="-6"/>
          <w:sz w:val="32"/>
          <w:lang w:val="en-US" w:eastAsia="zh-CN"/>
        </w:rPr>
        <w:t>2</w:t>
      </w:r>
      <w:r>
        <w:rPr>
          <w:rFonts w:hint="default" w:ascii="Times New Roman" w:hAnsi="Times New Roman" w:eastAsia="方正仿宋_GB2312" w:cs="Times New Roman"/>
          <w:b w:val="0"/>
          <w:color w:val="auto"/>
          <w:spacing w:val="-6"/>
          <w:sz w:val="32"/>
        </w:rPr>
        <w:t>.2</w:t>
      </w:r>
      <w:r>
        <w:rPr>
          <w:rFonts w:hint="default" w:ascii="Times New Roman" w:hAnsi="Times New Roman" w:cs="Times New Roman"/>
          <w:color w:val="auto"/>
          <w:highlight w:val="none"/>
        </w:rPr>
        <w:t>自动控制的仪器设备应安装在检测车间内，轮（轴）重仪（地磅）和外廓尺寸自动测量装置不受天气影响时可以安装在室外。</w:t>
      </w:r>
    </w:p>
    <w:p>
      <w:pPr>
        <w:pStyle w:val="7"/>
        <w:numPr>
          <w:ilvl w:val="0"/>
          <w:numId w:val="0"/>
        </w:numPr>
        <w:ind w:left="0" w:leftChars="0" w:firstLine="608" w:firstLineChars="0"/>
        <w:rPr>
          <w:rFonts w:hint="default" w:ascii="Times New Roman" w:hAnsi="Times New Roman" w:cs="Times New Roman"/>
          <w:b w:val="0"/>
          <w:color w:val="auto"/>
          <w:highlight w:val="none"/>
        </w:rPr>
      </w:pPr>
      <w:r>
        <w:rPr>
          <w:rFonts w:hint="default" w:ascii="Times New Roman" w:hAnsi="Times New Roman" w:eastAsia="方正仿宋_GB2312" w:cs="Times New Roman"/>
          <w:b w:val="0"/>
          <w:color w:val="auto"/>
          <w:spacing w:val="-6"/>
          <w:sz w:val="32"/>
        </w:rPr>
        <w:t>6.1.</w:t>
      </w:r>
      <w:r>
        <w:rPr>
          <w:rFonts w:hint="eastAsia" w:ascii="Times New Roman" w:hAnsi="Times New Roman" w:cs="Times New Roman"/>
          <w:b w:val="0"/>
          <w:color w:val="auto"/>
          <w:spacing w:val="-6"/>
          <w:sz w:val="32"/>
          <w:lang w:val="en-US" w:eastAsia="zh-CN"/>
        </w:rPr>
        <w:t>2</w:t>
      </w:r>
      <w:r>
        <w:rPr>
          <w:rFonts w:hint="default" w:ascii="Times New Roman" w:hAnsi="Times New Roman" w:eastAsia="方正仿宋_GB2312" w:cs="Times New Roman"/>
          <w:b w:val="0"/>
          <w:color w:val="auto"/>
          <w:spacing w:val="-6"/>
          <w:sz w:val="32"/>
        </w:rPr>
        <w:t>.3</w:t>
      </w:r>
      <w:r>
        <w:rPr>
          <w:rFonts w:hint="default" w:ascii="Times New Roman" w:hAnsi="Times New Roman" w:cs="Times New Roman"/>
          <w:color w:val="auto"/>
          <w:highlight w:val="none"/>
        </w:rPr>
        <w:t>安检仪器设备配备和技术性能要求应符合表</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-1要求，环检仪器设备配备和技术性能要求应符合表</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-2要求。</w:t>
      </w:r>
    </w:p>
    <w:p>
      <w:pPr>
        <w:pStyle w:val="7"/>
        <w:numPr>
          <w:ilvl w:val="0"/>
          <w:numId w:val="0"/>
        </w:numPr>
        <w:ind w:left="0" w:leftChars="0" w:firstLine="608" w:firstLineChars="0"/>
        <w:rPr>
          <w:rFonts w:hint="default" w:ascii="Times New Roman" w:hAnsi="Times New Roman" w:cs="Times New Roman"/>
          <w:b w:val="0"/>
          <w:color w:val="auto"/>
          <w:highlight w:val="none"/>
        </w:rPr>
      </w:pPr>
      <w:r>
        <w:rPr>
          <w:rFonts w:hint="default" w:ascii="Times New Roman" w:hAnsi="Times New Roman" w:eastAsia="方正仿宋_GB2312" w:cs="Times New Roman"/>
          <w:b w:val="0"/>
          <w:color w:val="auto"/>
          <w:spacing w:val="-6"/>
          <w:sz w:val="32"/>
        </w:rPr>
        <w:t>6.1.</w:t>
      </w:r>
      <w:r>
        <w:rPr>
          <w:rFonts w:hint="eastAsia" w:ascii="Times New Roman" w:hAnsi="Times New Roman" w:cs="Times New Roman"/>
          <w:b w:val="0"/>
          <w:color w:val="auto"/>
          <w:spacing w:val="-6"/>
          <w:sz w:val="32"/>
          <w:lang w:val="en-US" w:eastAsia="zh-CN"/>
        </w:rPr>
        <w:t>2</w:t>
      </w:r>
      <w:r>
        <w:rPr>
          <w:rFonts w:hint="default" w:ascii="Times New Roman" w:hAnsi="Times New Roman" w:eastAsia="方正仿宋_GB2312" w:cs="Times New Roman"/>
          <w:b w:val="0"/>
          <w:color w:val="auto"/>
          <w:spacing w:val="-6"/>
          <w:sz w:val="32"/>
        </w:rPr>
        <w:t>.4</w:t>
      </w:r>
      <w:r>
        <w:rPr>
          <w:rFonts w:hint="default" w:ascii="Times New Roman" w:hAnsi="Times New Roman" w:cs="Times New Roman"/>
          <w:color w:val="auto"/>
          <w:highlight w:val="none"/>
        </w:rPr>
        <w:t>机动车检测软件系统应满足</w:t>
      </w:r>
      <w:bookmarkStart w:id="132" w:name="OLE_LINK2"/>
      <w:r>
        <w:rPr>
          <w:rFonts w:hint="default" w:ascii="Times New Roman" w:hAnsi="Times New Roman" w:cs="Times New Roman"/>
          <w:color w:val="auto"/>
          <w:highlight w:val="none"/>
        </w:rPr>
        <w:t>GB/T</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26765</w:t>
      </w:r>
      <w:bookmarkEnd w:id="132"/>
      <w:r>
        <w:rPr>
          <w:rFonts w:hint="default" w:ascii="Times New Roman" w:hAnsi="Times New Roman" w:cs="Times New Roman"/>
          <w:color w:val="auto"/>
          <w:highlight w:val="none"/>
        </w:rPr>
        <w:t>、GB/T</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33191、GB/</w:t>
      </w:r>
      <w:r>
        <w:rPr>
          <w:rFonts w:hint="eastAsia" w:ascii="Times New Roman" w:hAnsi="Times New Roman" w:cs="Times New Roman"/>
          <w:color w:val="auto"/>
          <w:highlight w:val="none"/>
          <w:lang w:val="en-US" w:eastAsia="zh-CN"/>
        </w:rPr>
        <w:t xml:space="preserve">T </w:t>
      </w:r>
      <w:r>
        <w:rPr>
          <w:rFonts w:hint="default" w:ascii="Times New Roman" w:hAnsi="Times New Roman" w:cs="Times New Roman"/>
          <w:color w:val="auto"/>
          <w:highlight w:val="none"/>
        </w:rPr>
        <w:t>43499、HJ</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1237和HJ</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1238以及相关主管部门对</w:t>
      </w:r>
      <w:r>
        <w:rPr>
          <w:rFonts w:hint="eastAsia" w:ascii="Times New Roman" w:hAnsi="Times New Roman" w:cs="Times New Roman"/>
          <w:color w:val="auto"/>
          <w:highlight w:val="none"/>
          <w:lang w:eastAsia="zh-CN"/>
        </w:rPr>
        <w:t>检验</w:t>
      </w:r>
      <w:r>
        <w:rPr>
          <w:rFonts w:hint="default" w:ascii="Times New Roman" w:hAnsi="Times New Roman" w:cs="Times New Roman"/>
          <w:color w:val="auto"/>
          <w:highlight w:val="none"/>
        </w:rPr>
        <w:t>软件的要求。</w:t>
      </w:r>
    </w:p>
    <w:p>
      <w:pPr>
        <w:pStyle w:val="7"/>
        <w:numPr>
          <w:ilvl w:val="0"/>
          <w:numId w:val="0"/>
        </w:numPr>
        <w:ind w:left="0" w:leftChars="0" w:firstLine="608" w:firstLineChars="0"/>
        <w:rPr>
          <w:rFonts w:hint="eastAsia" w:ascii="Times New Roman" w:hAnsi="Times New Roman" w:eastAsia="方正仿宋_GB2312" w:cs="Times New Roman"/>
          <w:b w:val="0"/>
          <w:color w:val="auto"/>
          <w:highlight w:val="none"/>
          <w:lang w:eastAsia="zh-CN"/>
        </w:rPr>
      </w:pPr>
      <w:r>
        <w:rPr>
          <w:rFonts w:hint="default" w:ascii="Times New Roman" w:hAnsi="Times New Roman" w:eastAsia="方正仿宋_GB2312" w:cs="Times New Roman"/>
          <w:b w:val="0"/>
          <w:color w:val="auto"/>
          <w:spacing w:val="-6"/>
          <w:sz w:val="32"/>
        </w:rPr>
        <w:t>6.1.</w:t>
      </w:r>
      <w:r>
        <w:rPr>
          <w:rFonts w:hint="eastAsia" w:ascii="Times New Roman" w:hAnsi="Times New Roman" w:cs="Times New Roman"/>
          <w:b w:val="0"/>
          <w:color w:val="auto"/>
          <w:spacing w:val="-6"/>
          <w:sz w:val="32"/>
          <w:lang w:val="en-US" w:eastAsia="zh-CN"/>
        </w:rPr>
        <w:t>2</w:t>
      </w:r>
      <w:r>
        <w:rPr>
          <w:rFonts w:hint="default" w:ascii="Times New Roman" w:hAnsi="Times New Roman" w:eastAsia="方正仿宋_GB2312" w:cs="Times New Roman"/>
          <w:b w:val="0"/>
          <w:color w:val="auto"/>
          <w:spacing w:val="-6"/>
          <w:sz w:val="32"/>
        </w:rPr>
        <w:t>.5</w:t>
      </w:r>
      <w:r>
        <w:rPr>
          <w:rFonts w:hint="eastAsia" w:ascii="Times New Roman" w:hAnsi="Times New Roman" w:cs="Times New Roman"/>
          <w:b w:val="0"/>
          <w:color w:val="auto"/>
          <w:spacing w:val="-6"/>
          <w:sz w:val="32"/>
          <w:lang w:val="en-US" w:eastAsia="zh-CN"/>
        </w:rPr>
        <w:t>检验</w:t>
      </w:r>
      <w:r>
        <w:rPr>
          <w:rFonts w:hint="default" w:ascii="Times New Roman" w:hAnsi="Times New Roman" w:cs="Times New Roman"/>
          <w:color w:val="auto"/>
          <w:highlight w:val="none"/>
        </w:rPr>
        <w:t>软件应有确认报告，确认报告至少包括表</w:t>
      </w: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highlight w:val="none"/>
        </w:rPr>
        <w:t>的内容。</w:t>
      </w:r>
      <w:r>
        <w:rPr>
          <w:rFonts w:hint="eastAsia" w:ascii="Times New Roman" w:hAnsi="Times New Roman" w:cs="Times New Roman"/>
          <w:color w:val="auto"/>
          <w:highlight w:val="none"/>
          <w:lang w:val="en-US" w:eastAsia="zh-CN"/>
        </w:rPr>
        <w:t>检验</w:t>
      </w:r>
      <w:r>
        <w:rPr>
          <w:rFonts w:hint="default" w:ascii="Times New Roman" w:hAnsi="Times New Roman" w:cs="Times New Roman"/>
          <w:color w:val="auto"/>
          <w:highlight w:val="none"/>
        </w:rPr>
        <w:t>软件正确性的验证至少包括软件计算结果验证、数据传输验证和结果判定验证。软件</w:t>
      </w:r>
      <w:r>
        <w:rPr>
          <w:rFonts w:hint="default" w:ascii="Times New Roman" w:hAnsi="Times New Roman" w:cs="Times New Roman"/>
          <w:b w:val="0"/>
          <w:color w:val="auto"/>
          <w:highlight w:val="none"/>
        </w:rPr>
        <w:t>维护、变更、升级后应再验证、确认</w:t>
      </w:r>
      <w:r>
        <w:rPr>
          <w:rFonts w:hint="eastAsia" w:ascii="Times New Roman" w:hAnsi="Times New Roman" w:cs="Times New Roman"/>
          <w:color w:val="auto"/>
          <w:highlight w:val="none"/>
          <w:lang w:eastAsia="zh-CN"/>
        </w:rPr>
        <w:t>。</w:t>
      </w:r>
    </w:p>
    <w:p>
      <w:pPr>
        <w:pStyle w:val="30"/>
        <w:numPr>
          <w:ilvl w:val="0"/>
          <w:numId w:val="0"/>
        </w:numPr>
        <w:rPr>
          <w:rFonts w:hint="default" w:ascii="Times New Roman" w:hAnsi="Times New Roman" w:cs="Times New Roman"/>
          <w:color w:val="auto"/>
          <w:highlight w:val="none"/>
        </w:rPr>
      </w:pPr>
      <w:r>
        <w:rPr>
          <w:rFonts w:hint="default" w:ascii="Times New Roman" w:hAnsi="Times New Roman" w:cs="Times New Roman"/>
          <w:color w:val="auto"/>
          <w:highlight w:val="none"/>
        </w:rPr>
        <w:t>表</w:t>
      </w: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highlight w:val="none"/>
        </w:rPr>
        <w:t>检验软件确认报告要求</w:t>
      </w:r>
    </w:p>
    <w:tbl>
      <w:tblPr>
        <w:tblStyle w:val="15"/>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34"/>
        <w:gridCol w:w="68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noWrap w:val="0"/>
            <w:vAlign w:val="center"/>
          </w:tcPr>
          <w:p>
            <w:pPr>
              <w:pStyle w:val="21"/>
              <w:keepNext w:val="0"/>
              <w:keepLines w:val="0"/>
              <w:pageBreakBefore w:val="0"/>
              <w:widowControl w:val="0"/>
              <w:kinsoku/>
              <w:overflowPunct/>
              <w:topLinePunct w:val="0"/>
              <w:bidi w:val="0"/>
              <w:spacing w:line="560" w:lineRule="exact"/>
              <w:ind w:left="0" w:leftChars="0" w:right="0" w:firstLine="0" w:firstLineChars="0"/>
              <w:jc w:val="center"/>
              <w:rPr>
                <w:rFonts w:hint="default" w:ascii="Times New Roman" w:hAnsi="Times New Roman" w:eastAsia="黑体" w:cs="Times New Roman"/>
                <w:color w:val="auto"/>
                <w:sz w:val="24"/>
                <w:szCs w:val="24"/>
                <w:highlight w:val="none"/>
                <w:lang w:val="en-US" w:eastAsia="zh-CN" w:bidi="ar-SA"/>
              </w:rPr>
            </w:pPr>
            <w:r>
              <w:rPr>
                <w:rFonts w:hint="default" w:ascii="Times New Roman" w:hAnsi="Times New Roman" w:eastAsia="黑体" w:cs="Times New Roman"/>
                <w:color w:val="auto"/>
                <w:sz w:val="24"/>
                <w:szCs w:val="24"/>
                <w:highlight w:val="none"/>
                <w:lang w:val="en-US" w:eastAsia="zh-CN"/>
              </w:rPr>
              <w:t>验证项目</w:t>
            </w:r>
          </w:p>
        </w:tc>
        <w:tc>
          <w:tcPr>
            <w:tcW w:w="3766" w:type="pct"/>
            <w:noWrap w:val="0"/>
            <w:vAlign w:val="center"/>
          </w:tcPr>
          <w:p>
            <w:pPr>
              <w:pStyle w:val="21"/>
              <w:keepNext w:val="0"/>
              <w:keepLines w:val="0"/>
              <w:pageBreakBefore w:val="0"/>
              <w:widowControl w:val="0"/>
              <w:kinsoku/>
              <w:overflowPunct/>
              <w:topLinePunct w:val="0"/>
              <w:bidi w:val="0"/>
              <w:spacing w:line="560" w:lineRule="exact"/>
              <w:ind w:left="0" w:leftChars="0" w:right="0" w:firstLine="0" w:firstLineChars="0"/>
              <w:jc w:val="center"/>
              <w:rPr>
                <w:rFonts w:hint="default" w:ascii="Times New Roman" w:hAnsi="Times New Roman" w:eastAsia="黑体" w:cs="Times New Roman"/>
                <w:color w:val="auto"/>
                <w:sz w:val="24"/>
                <w:szCs w:val="24"/>
                <w:highlight w:val="none"/>
                <w:lang w:val="en-US" w:eastAsia="zh-CN" w:bidi="ar-SA"/>
              </w:rPr>
            </w:pPr>
            <w:r>
              <w:rPr>
                <w:rFonts w:hint="default" w:ascii="Times New Roman" w:hAnsi="Times New Roman" w:eastAsia="黑体" w:cs="Times New Roman"/>
                <w:color w:val="auto"/>
                <w:sz w:val="24"/>
                <w:szCs w:val="24"/>
                <w:highlight w:val="none"/>
                <w:lang w:val="en-US" w:eastAsia="zh-CN"/>
              </w:rPr>
              <w:t>要求及验证记录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default" w:ascii="Times New Roman" w:hAnsi="Times New Roman" w:eastAsia="仿宋" w:cs="Times New Roman"/>
                <w:color w:val="auto"/>
                <w:sz w:val="24"/>
                <w:szCs w:val="24"/>
                <w:highlight w:val="none"/>
                <w:lang w:val="en-US" w:eastAsia="zh-CN" w:bidi="ar-SA"/>
              </w:rPr>
            </w:pPr>
            <w:r>
              <w:rPr>
                <w:rFonts w:hint="eastAsia" w:ascii="Times New Roman" w:eastAsia="仿宋" w:cs="Times New Roman"/>
                <w:color w:val="auto"/>
                <w:sz w:val="24"/>
                <w:szCs w:val="24"/>
                <w:highlight w:val="none"/>
                <w:lang w:val="en-US" w:eastAsia="zh-CN"/>
              </w:rPr>
              <w:t>检验</w:t>
            </w:r>
            <w:r>
              <w:rPr>
                <w:rFonts w:hint="default" w:ascii="Times New Roman" w:hAnsi="Times New Roman" w:eastAsia="仿宋" w:cs="Times New Roman"/>
                <w:color w:val="auto"/>
                <w:sz w:val="24"/>
                <w:szCs w:val="24"/>
                <w:highlight w:val="none"/>
                <w:lang w:val="en-US" w:eastAsia="zh-CN"/>
              </w:rPr>
              <w:t>软件功能</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both"/>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应满足安检、环检</w:t>
            </w:r>
            <w:r>
              <w:rPr>
                <w:rFonts w:hint="eastAsia" w:ascii="Times New Roman" w:eastAsia="仿宋" w:cs="Times New Roman"/>
                <w:color w:val="auto"/>
                <w:sz w:val="24"/>
                <w:szCs w:val="24"/>
                <w:highlight w:val="none"/>
                <w:lang w:val="en-US" w:eastAsia="zh-CN"/>
              </w:rPr>
              <w:t>检验</w:t>
            </w:r>
            <w:r>
              <w:rPr>
                <w:rFonts w:hint="default" w:ascii="Times New Roman" w:hAnsi="Times New Roman" w:eastAsia="仿宋" w:cs="Times New Roman"/>
                <w:color w:val="auto"/>
                <w:sz w:val="24"/>
                <w:szCs w:val="24"/>
                <w:highlight w:val="none"/>
                <w:lang w:val="en-US" w:eastAsia="zh-CN"/>
              </w:rPr>
              <w:t>标准的所有</w:t>
            </w:r>
            <w:r>
              <w:rPr>
                <w:rFonts w:hint="eastAsia" w:ascii="Times New Roman" w:eastAsia="仿宋" w:cs="Times New Roman"/>
                <w:color w:val="auto"/>
                <w:sz w:val="24"/>
                <w:szCs w:val="24"/>
                <w:highlight w:val="none"/>
                <w:lang w:val="en-US" w:eastAsia="zh-CN"/>
              </w:rPr>
              <w:t>检验</w:t>
            </w:r>
            <w:r>
              <w:rPr>
                <w:rFonts w:hint="default" w:ascii="Times New Roman" w:hAnsi="Times New Roman" w:eastAsia="仿宋" w:cs="Times New Roman"/>
                <w:color w:val="auto"/>
                <w:sz w:val="24"/>
                <w:szCs w:val="24"/>
                <w:highlight w:val="none"/>
                <w:lang w:val="en-US" w:eastAsia="zh-CN"/>
              </w:rPr>
              <w:t>项目要求。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restar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检测方法的符合性</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both"/>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原始记录包含</w:t>
            </w:r>
            <w:r>
              <w:rPr>
                <w:rFonts w:hint="eastAsia" w:ascii="Times New Roman" w:eastAsia="仿宋" w:cs="Times New Roman"/>
                <w:color w:val="auto"/>
                <w:sz w:val="24"/>
                <w:szCs w:val="24"/>
                <w:highlight w:val="none"/>
                <w:lang w:val="en-US" w:eastAsia="zh-CN"/>
              </w:rPr>
              <w:t>检验</w:t>
            </w:r>
            <w:r>
              <w:rPr>
                <w:rFonts w:hint="default" w:ascii="Times New Roman" w:hAnsi="Times New Roman" w:eastAsia="仿宋" w:cs="Times New Roman"/>
                <w:color w:val="auto"/>
                <w:sz w:val="24"/>
                <w:szCs w:val="24"/>
                <w:highlight w:val="none"/>
                <w:lang w:val="en-US" w:eastAsia="zh-CN"/>
              </w:rPr>
              <w:t>标准中的信息，计量单位正确。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472" w:firstLineChars="200"/>
              <w:jc w:val="center"/>
              <w:textAlignment w:val="auto"/>
              <w:rPr>
                <w:rFonts w:hint="default" w:ascii="Times New Roman" w:hAnsi="Times New Roman" w:eastAsia="仿宋" w:cs="Times New Roman"/>
                <w:color w:val="auto"/>
                <w:sz w:val="24"/>
                <w:szCs w:val="24"/>
                <w:highlight w:val="none"/>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both"/>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检验报告数据信息应溯源至原始记录，计量单位正确。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restar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数据处理及传输的正确性</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both"/>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数据处理应符合</w:t>
            </w:r>
            <w:r>
              <w:rPr>
                <w:rFonts w:ascii="Times New Roman" w:hAnsi="Times New Roman" w:eastAsia="仿宋" w:cs="Times New Roman"/>
                <w:color w:val="auto"/>
                <w:sz w:val="24"/>
                <w:szCs w:val="24"/>
                <w:highlight w:val="none"/>
              </w:rPr>
              <w:t>GB/T 8170</w:t>
            </w:r>
            <w:r>
              <w:rPr>
                <w:rFonts w:ascii="Times New Roman" w:hAnsi="Times New Roman" w:eastAsia="仿宋" w:cs="Times New Roman"/>
                <w:color w:val="auto"/>
                <w:sz w:val="24"/>
                <w:szCs w:val="24"/>
                <w:highlight w:val="none"/>
              </w:rPr>
              <w:noBreakHyphen/>
            </w:r>
            <w:r>
              <w:rPr>
                <w:rFonts w:ascii="Times New Roman" w:hAnsi="Times New Roman" w:eastAsia="仿宋" w:cs="Times New Roman"/>
                <w:color w:val="auto"/>
                <w:sz w:val="24"/>
                <w:szCs w:val="24"/>
                <w:highlight w:val="none"/>
              </w:rPr>
              <w:t>2008《数值修约规则与极限数值的表示和判定》</w:t>
            </w:r>
            <w:r>
              <w:rPr>
                <w:rFonts w:hint="default" w:ascii="Times New Roman" w:hAnsi="Times New Roman" w:eastAsia="仿宋" w:cs="Times New Roman"/>
                <w:color w:val="auto"/>
                <w:sz w:val="24"/>
                <w:szCs w:val="24"/>
                <w:highlight w:val="none"/>
                <w:lang w:val="en-US" w:eastAsia="zh-CN"/>
              </w:rPr>
              <w:t>标准</w:t>
            </w:r>
            <w:r>
              <w:rPr>
                <w:rFonts w:hint="eastAsia" w:ascii="Times New Roman" w:eastAsia="仿宋" w:cs="Times New Roman"/>
                <w:color w:val="auto"/>
                <w:sz w:val="24"/>
                <w:szCs w:val="24"/>
                <w:highlight w:val="none"/>
                <w:lang w:val="en-US" w:eastAsia="zh-CN"/>
              </w:rPr>
              <w:t>和机动车检验标准的要求</w:t>
            </w:r>
            <w:r>
              <w:rPr>
                <w:rFonts w:hint="default" w:ascii="Times New Roman" w:hAnsi="Times New Roman" w:eastAsia="仿宋" w:cs="Times New Roman"/>
                <w:color w:val="auto"/>
                <w:sz w:val="24"/>
                <w:szCs w:val="24"/>
                <w:highlight w:val="none"/>
                <w:lang w:val="en-US" w:eastAsia="zh-CN"/>
              </w:rPr>
              <w:t>，提供检验软件结果判定记录</w:t>
            </w:r>
            <w:r>
              <w:rPr>
                <w:rFonts w:hint="eastAsia" w:ascii="Times New Roman" w:eastAsia="仿宋" w:cs="Times New Roman"/>
                <w:color w:val="auto"/>
                <w:sz w:val="24"/>
                <w:szCs w:val="24"/>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472" w:firstLineChars="200"/>
              <w:jc w:val="center"/>
              <w:textAlignment w:val="auto"/>
              <w:rPr>
                <w:rFonts w:hint="default" w:ascii="Times New Roman" w:hAnsi="Times New Roman" w:eastAsia="仿宋" w:cs="Times New Roman"/>
                <w:color w:val="auto"/>
                <w:sz w:val="24"/>
                <w:szCs w:val="24"/>
                <w:highlight w:val="none"/>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both"/>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数据传输应完整、一致，提供数据信息传输验证记录</w:t>
            </w:r>
            <w:r>
              <w:rPr>
                <w:rFonts w:hint="eastAsia" w:ascii="Times New Roman" w:eastAsia="仿宋" w:cs="Times New Roman"/>
                <w:color w:val="auto"/>
                <w:sz w:val="24"/>
                <w:szCs w:val="24"/>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472" w:firstLineChars="200"/>
              <w:jc w:val="center"/>
              <w:textAlignment w:val="auto"/>
              <w:rPr>
                <w:rFonts w:hint="default" w:ascii="Times New Roman" w:hAnsi="Times New Roman" w:eastAsia="仿宋" w:cs="Times New Roman"/>
                <w:color w:val="auto"/>
                <w:sz w:val="24"/>
                <w:szCs w:val="24"/>
                <w:highlight w:val="none"/>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both"/>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数据处理结果应正确，提供检验软件计算结果验证记录</w:t>
            </w:r>
            <w:r>
              <w:rPr>
                <w:rFonts w:hint="eastAsia" w:ascii="Times New Roman" w:eastAsia="仿宋" w:cs="Times New Roman"/>
                <w:color w:val="auto"/>
                <w:sz w:val="24"/>
                <w:szCs w:val="24"/>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稳定性</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default" w:ascii="Times New Roman" w:hAnsi="Times New Roman" w:eastAsia="仿宋" w:cs="Times New Roman"/>
                <w:color w:val="auto"/>
                <w:sz w:val="24"/>
                <w:szCs w:val="24"/>
                <w:highlight w:val="none"/>
                <w:lang w:val="en-US" w:eastAsia="zh-CN" w:bidi="ar-SA"/>
              </w:rPr>
            </w:pPr>
            <w:r>
              <w:rPr>
                <w:rFonts w:hint="eastAsia" w:ascii="Times New Roman" w:eastAsia="仿宋" w:cs="Times New Roman"/>
                <w:color w:val="auto"/>
                <w:sz w:val="24"/>
                <w:szCs w:val="24"/>
                <w:highlight w:val="none"/>
                <w:lang w:val="en-US" w:eastAsia="zh-CN"/>
              </w:rPr>
              <w:t>检验</w:t>
            </w:r>
            <w:r>
              <w:rPr>
                <w:rFonts w:hint="default" w:ascii="Times New Roman" w:hAnsi="Times New Roman" w:eastAsia="仿宋" w:cs="Times New Roman"/>
                <w:color w:val="auto"/>
                <w:sz w:val="24"/>
                <w:szCs w:val="24"/>
                <w:highlight w:val="none"/>
                <w:lang w:val="en-US" w:eastAsia="zh-CN"/>
              </w:rPr>
              <w:t>软件应能够稳定连续地工作。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数据的完整性</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数据内容应满足有关技术文件的要求，数据应完整</w:t>
            </w:r>
            <w:r>
              <w:rPr>
                <w:rFonts w:hint="eastAsia" w:ascii="Times New Roman" w:eastAsia="仿宋" w:cs="Times New Roman"/>
                <w:color w:val="auto"/>
                <w:sz w:val="24"/>
                <w:szCs w:val="24"/>
                <w:highlight w:val="none"/>
                <w:lang w:val="en-US" w:eastAsia="zh-CN"/>
              </w:rPr>
              <w:t>，</w:t>
            </w:r>
            <w:r>
              <w:rPr>
                <w:rFonts w:ascii="Times New Roman" w:hAnsi="Times New Roman" w:eastAsia="仿宋" w:cs="Times New Roman"/>
                <w:color w:val="auto"/>
                <w:sz w:val="24"/>
                <w:szCs w:val="24"/>
                <w:highlight w:val="none"/>
              </w:rPr>
              <w:t>数值保留位数</w:t>
            </w:r>
            <w:r>
              <w:rPr>
                <w:rFonts w:hint="default" w:ascii="Times New Roman" w:hAnsi="Times New Roman" w:eastAsia="仿宋" w:cs="Times New Roman"/>
                <w:color w:val="auto"/>
                <w:sz w:val="24"/>
                <w:szCs w:val="24"/>
                <w:highlight w:val="none"/>
                <w:lang w:val="en-US" w:eastAsia="zh-CN"/>
              </w:rPr>
              <w:t>与标准要求一致。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default" w:ascii="Times New Roman" w:hAnsi="Times New Roman" w:eastAsia="仿宋" w:cs="Times New Roman"/>
                <w:color w:val="auto"/>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安全保密性</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both"/>
              <w:textAlignment w:val="auto"/>
              <w:rPr>
                <w:rFonts w:hint="default" w:ascii="Times New Roman" w:hAnsi="Times New Roman" w:eastAsia="仿宋" w:cs="Times New Roman"/>
                <w:color w:val="auto"/>
                <w:sz w:val="24"/>
                <w:szCs w:val="24"/>
                <w:highlight w:val="none"/>
                <w:lang w:val="en-US" w:eastAsia="zh-CN" w:bidi="ar-SA"/>
              </w:rPr>
            </w:pPr>
            <w:r>
              <w:rPr>
                <w:rFonts w:hint="eastAsia" w:ascii="Times New Roman" w:eastAsia="仿宋" w:cs="Times New Roman"/>
                <w:color w:val="auto"/>
                <w:sz w:val="24"/>
                <w:szCs w:val="24"/>
                <w:highlight w:val="none"/>
                <w:lang w:val="en-US" w:eastAsia="zh-CN"/>
              </w:rPr>
              <w:t>检验</w:t>
            </w:r>
            <w:r>
              <w:rPr>
                <w:rFonts w:hint="default" w:ascii="Times New Roman" w:hAnsi="Times New Roman" w:eastAsia="仿宋" w:cs="Times New Roman"/>
                <w:color w:val="auto"/>
                <w:sz w:val="24"/>
                <w:szCs w:val="24"/>
                <w:highlight w:val="none"/>
                <w:lang w:val="en-US" w:eastAsia="zh-CN"/>
              </w:rPr>
              <w:t>软件应加密、专人保管，有措施防止修改数据和删除数据。</w:t>
            </w:r>
          </w:p>
        </w:tc>
      </w:tr>
    </w:tbl>
    <w:p>
      <w:pPr>
        <w:pStyle w:val="3"/>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color w:val="auto"/>
          <w:highlight w:val="none"/>
        </w:rPr>
      </w:pPr>
      <w:bookmarkStart w:id="133" w:name="_Toc2855"/>
      <w:bookmarkStart w:id="134" w:name="_Toc19962"/>
      <w:bookmarkStart w:id="135" w:name="_Toc13806"/>
      <w:bookmarkStart w:id="136" w:name="_Toc22862"/>
      <w:r>
        <w:rPr>
          <w:rFonts w:hint="eastAsia" w:ascii="Times New Roman" w:hAnsi="Times New Roman" w:cs="Times New Roman"/>
          <w:color w:val="auto"/>
          <w:highlight w:val="none"/>
          <w:lang w:val="en-US" w:eastAsia="zh-CN"/>
        </w:rPr>
        <w:t>6.2</w:t>
      </w:r>
      <w:r>
        <w:rPr>
          <w:rFonts w:hint="default" w:ascii="Times New Roman" w:hAnsi="Times New Roman" w:cs="Times New Roman"/>
          <w:color w:val="auto"/>
          <w:highlight w:val="none"/>
        </w:rPr>
        <w:t>仪器设备管理</w:t>
      </w:r>
      <w:r>
        <w:rPr>
          <w:rFonts w:hint="eastAsia" w:ascii="Times New Roman" w:hAnsi="Times New Roman" w:cs="Times New Roman"/>
          <w:color w:val="auto"/>
          <w:highlight w:val="none"/>
          <w:lang w:val="en-US" w:eastAsia="zh-CN"/>
        </w:rPr>
        <w:t>要求</w:t>
      </w:r>
      <w:bookmarkEnd w:id="133"/>
      <w:r>
        <w:rPr>
          <w:rFonts w:hint="default" w:ascii="Times New Roman" w:hAnsi="Times New Roman" w:cs="Times New Roman"/>
          <w:color w:val="auto"/>
          <w:highlight w:val="none"/>
        </w:rPr>
        <w:t>及判定指南</w:t>
      </w:r>
      <w:bookmarkEnd w:id="134"/>
      <w:bookmarkEnd w:id="135"/>
      <w:bookmarkEnd w:id="136"/>
    </w:p>
    <w:p>
      <w:pPr>
        <w:pageBreakBefore w:val="0"/>
        <w:kinsoku/>
        <w:wordWrap/>
        <w:overflowPunct/>
        <w:topLinePunct w:val="0"/>
        <w:autoSpaceDE/>
        <w:autoSpaceDN/>
        <w:bidi w:val="0"/>
        <w:adjustRightInd/>
        <w:snapToGrid/>
        <w:spacing w:line="560" w:lineRule="exact"/>
        <w:ind w:firstLine="632" w:firstLineChars="200"/>
        <w:textAlignment w:val="auto"/>
        <w:outlineLvl w:val="2"/>
        <w:rPr>
          <w:rFonts w:hint="default" w:eastAsia="方正仿宋_GB2312"/>
          <w:color w:val="auto"/>
          <w:lang w:val="en-US" w:eastAsia="zh-CN"/>
        </w:rPr>
      </w:pPr>
      <w:bookmarkStart w:id="137" w:name="_Toc19990"/>
      <w:bookmarkStart w:id="138" w:name="_Toc22273"/>
      <w:bookmarkStart w:id="139" w:name="_Toc21864"/>
      <w:r>
        <w:rPr>
          <w:rFonts w:hint="eastAsia" w:ascii="Times New Roman" w:hAnsi="Times New Roman" w:cs="Times New Roman"/>
          <w:color w:val="auto"/>
          <w:highlight w:val="none"/>
          <w:lang w:val="en-US" w:eastAsia="zh-CN"/>
        </w:rPr>
        <w:t>6.2.1要求</w:t>
      </w:r>
      <w:bookmarkEnd w:id="137"/>
      <w:bookmarkEnd w:id="138"/>
      <w:bookmarkEnd w:id="139"/>
    </w:p>
    <w:p>
      <w:pPr>
        <w:pStyle w:val="7"/>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《准则》2.11.2：检验检测机构应当对检验检测数据、结果的准确性或者有效性有影响的设备（包括用于测量环境条件等辅助测量设备）实施检定、校准或核查，保证数据、结果满足计量溯源性要求。</w:t>
      </w:r>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准则》2.11.2.23：对检验数据、结果有影响的设备（包括仪器、软件、测量标准、标准物质、参考数据、试剂、消耗品、辅助设备或相应组合装置），投入使用前应当实施核查、检定或者校准及周期核查、检定或者校准；设备检定或者校准应当满足计量溯源性要求；设备的核查、使用、维护、保管、运输等应符合相应的程序以确保其溯源的有效性。</w:t>
      </w:r>
    </w:p>
    <w:p>
      <w:pPr>
        <w:pStyle w:val="7"/>
        <w:rPr>
          <w:rFonts w:hint="eastAsia" w:ascii="Times New Roman" w:hAnsi="Times New Roman" w:cs="Times New Roman"/>
          <w:b w:val="0"/>
          <w:color w:val="auto"/>
          <w:highlight w:val="none"/>
          <w:lang w:val="en-US" w:eastAsia="zh-CN"/>
        </w:rPr>
      </w:pPr>
      <w:r>
        <w:rPr>
          <w:rFonts w:hint="default" w:ascii="Times New Roman" w:hAnsi="Times New Roman" w:cs="Times New Roman"/>
          <w:b w:val="0"/>
          <w:color w:val="auto"/>
          <w:highlight w:val="none"/>
        </w:rPr>
        <w:t>《准则》2.11.2.24：</w:t>
      </w:r>
      <w:r>
        <w:rPr>
          <w:rFonts w:hint="eastAsia" w:ascii="Times New Roman" w:hAnsi="Times New Roman" w:cs="Times New Roman"/>
          <w:b w:val="0"/>
          <w:color w:val="auto"/>
          <w:highlight w:val="none"/>
          <w:lang w:val="en-US" w:eastAsia="zh-CN"/>
        </w:rPr>
        <w:t>对检定、校准或核查的结果进行计量确认，确保其满足预期使用要求。包括溯源文件的有效性、检定、校准或核查的结果与预期使用的计量要求相比较以及所要求的标识。</w:t>
      </w:r>
    </w:p>
    <w:p>
      <w:pPr>
        <w:pStyle w:val="7"/>
        <w:rPr>
          <w:rFonts w:hint="eastAsia" w:ascii="Times New Roman" w:hAnsi="Times New Roman" w:cs="Times New Roman"/>
          <w:b w:val="0"/>
          <w:color w:val="auto"/>
          <w:highlight w:val="none"/>
          <w:lang w:val="en-US" w:eastAsia="zh-CN"/>
        </w:rPr>
      </w:pPr>
      <w:r>
        <w:rPr>
          <w:rFonts w:hint="eastAsia" w:ascii="Times New Roman" w:hAnsi="Times New Roman" w:cs="Times New Roman"/>
          <w:b w:val="0"/>
          <w:color w:val="auto"/>
          <w:highlight w:val="none"/>
          <w:lang w:val="en-US" w:eastAsia="zh-CN"/>
        </w:rPr>
        <w:t>所有修正信息得到有效利用、更新和备份。</w:t>
      </w:r>
    </w:p>
    <w:p>
      <w:pPr>
        <w:pStyle w:val="7"/>
        <w:rPr>
          <w:rFonts w:hint="eastAsia" w:ascii="Times New Roman" w:hAnsi="Times New Roman" w:cs="Times New Roman"/>
          <w:b w:val="0"/>
          <w:color w:val="auto"/>
          <w:highlight w:val="none"/>
          <w:lang w:val="en-US" w:eastAsia="zh-CN"/>
        </w:rPr>
      </w:pPr>
      <w:r>
        <w:rPr>
          <w:rFonts w:hint="eastAsia" w:ascii="Times New Roman" w:hAnsi="Times New Roman" w:cs="Times New Roman"/>
          <w:b w:val="0"/>
          <w:color w:val="auto"/>
          <w:highlight w:val="none"/>
          <w:lang w:val="en-US" w:eastAsia="zh-CN"/>
        </w:rPr>
        <w:t>无法溯源到国家或国际测量标准时，检验检测机构应当保留检验检测结果相关性或准确性的证据。</w:t>
      </w:r>
    </w:p>
    <w:p>
      <w:pPr>
        <w:pStyle w:val="7"/>
        <w:rPr>
          <w:rFonts w:hint="eastAsia" w:ascii="Times New Roman" w:hAnsi="Times New Roman" w:eastAsia="方正仿宋_GB2312" w:cs="Times New Roman"/>
          <w:b w:val="0"/>
          <w:color w:val="auto"/>
          <w:highlight w:val="none"/>
          <w:lang w:eastAsia="zh-CN"/>
        </w:rPr>
      </w:pPr>
      <w:r>
        <w:rPr>
          <w:rFonts w:hint="eastAsia" w:ascii="Times New Roman" w:hAnsi="Times New Roman" w:cs="Times New Roman"/>
          <w:b w:val="0"/>
          <w:color w:val="auto"/>
          <w:highlight w:val="none"/>
          <w:lang w:val="en-US" w:eastAsia="zh-CN"/>
        </w:rPr>
        <w:t>检验检测机构的参考标准及其使用应满足溯源要求。</w:t>
      </w:r>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《准则》2.11.3.25：若使用标准物质，应当满足计量溯源性要求，可能时，溯源到SI单位或者有证标准物质。</w:t>
      </w:r>
    </w:p>
    <w:p>
      <w:pPr>
        <w:pStyle w:val="7"/>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HJ</w:t>
      </w:r>
      <w:r>
        <w:rPr>
          <w:rFonts w:hint="eastAsia" w:ascii="Times New Roman" w:hAnsi="Times New Roman" w:cs="Times New Roman"/>
          <w:b w:val="0"/>
          <w:color w:val="auto"/>
          <w:highlight w:val="none"/>
          <w:lang w:val="en-US" w:eastAsia="zh-CN"/>
        </w:rPr>
        <w:t xml:space="preserve"> </w:t>
      </w:r>
      <w:r>
        <w:rPr>
          <w:rFonts w:hint="default" w:ascii="Times New Roman" w:hAnsi="Times New Roman" w:cs="Times New Roman"/>
          <w:b w:val="0"/>
          <w:color w:val="auto"/>
          <w:highlight w:val="none"/>
        </w:rPr>
        <w:t>1237</w:t>
      </w:r>
      <w:r>
        <w:rPr>
          <w:rFonts w:hint="eastAsia" w:ascii="Times New Roman" w:hAnsi="Times New Roman" w:cs="Times New Roman"/>
          <w:b w:val="0"/>
          <w:color w:val="auto"/>
          <w:highlight w:val="none"/>
          <w:lang w:val="en-US" w:eastAsia="zh-CN"/>
        </w:rPr>
        <w:t xml:space="preserve">-2021 </w:t>
      </w:r>
      <w:r>
        <w:rPr>
          <w:rFonts w:hint="default" w:ascii="Times New Roman" w:hAnsi="Times New Roman" w:cs="Times New Roman"/>
          <w:b w:val="0"/>
          <w:color w:val="auto"/>
          <w:highlight w:val="none"/>
        </w:rPr>
        <w:t>4.2.4.1.1：应依据国家相关计量技术规范，采用检定或校准的方式直接溯源至社会公用计量标准，确认设备能够满足检验检测要求。</w:t>
      </w:r>
    </w:p>
    <w:p>
      <w:pPr>
        <w:pStyle w:val="4"/>
        <w:rPr>
          <w:rFonts w:hint="default" w:ascii="Times New Roman" w:hAnsi="Times New Roman" w:cs="Times New Roman"/>
          <w:color w:val="auto"/>
          <w:highlight w:val="none"/>
        </w:rPr>
      </w:pPr>
      <w:bookmarkStart w:id="140" w:name="_Toc30591"/>
      <w:bookmarkStart w:id="141" w:name="_Toc27135"/>
      <w:bookmarkStart w:id="142" w:name="_Toc2950"/>
      <w:r>
        <w:rPr>
          <w:rFonts w:hint="default" w:ascii="Times New Roman" w:hAnsi="Times New Roman" w:cs="Times New Roman"/>
          <w:color w:val="auto"/>
          <w:highlight w:val="none"/>
        </w:rPr>
        <w:t>6.2.</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判定指南</w:t>
      </w:r>
      <w:bookmarkEnd w:id="140"/>
      <w:bookmarkEnd w:id="141"/>
      <w:bookmarkEnd w:id="142"/>
    </w:p>
    <w:p>
      <w:pPr>
        <w:pStyle w:val="7"/>
        <w:numPr>
          <w:ilvl w:val="0"/>
          <w:numId w:val="0"/>
        </w:numPr>
        <w:ind w:left="0" w:leftChars="0" w:firstLine="608" w:firstLineChars="0"/>
        <w:rPr>
          <w:rFonts w:hint="default" w:ascii="Times New Roman" w:hAnsi="Times New Roman" w:cs="Times New Roman"/>
          <w:color w:val="auto"/>
          <w:highlight w:val="none"/>
          <w:lang w:eastAsia="zh-CN"/>
        </w:rPr>
      </w:pPr>
      <w:r>
        <w:rPr>
          <w:rFonts w:hint="eastAsia" w:ascii="Times New Roman" w:hAnsi="Times New Roman" w:eastAsia="方正仿宋_GB2312" w:cs="Times New Roman"/>
          <w:color w:val="auto"/>
          <w:sz w:val="32"/>
          <w:szCs w:val="20"/>
          <w:highlight w:val="none"/>
        </w:rPr>
        <w:t>6.2.2.1排放检验所用仪器设备应直接溯源至社会公用计量标准，包括：汽油车排气分析仪、柴油车氮氧化物分析仪、不透光烟度计、底盘测功机、OBD诊断仪、气象站、温度计、湿度计、大气压力计、发动机转速计、气体流量分析仪。</w:t>
      </w:r>
    </w:p>
    <w:p>
      <w:pPr>
        <w:pStyle w:val="7"/>
        <w:numPr>
          <w:ilvl w:val="0"/>
          <w:numId w:val="0"/>
        </w:numPr>
        <w:ind w:left="0" w:leftChars="0" w:firstLine="608" w:firstLineChars="0"/>
        <w:rPr>
          <w:rFonts w:hint="default" w:ascii="Times New Roman" w:hAnsi="Times New Roman" w:cs="Times New Roman"/>
          <w:b w:val="0"/>
          <w:color w:val="auto"/>
          <w:highlight w:val="none"/>
        </w:rPr>
      </w:pPr>
      <w:r>
        <w:rPr>
          <w:rFonts w:hint="default" w:ascii="Times New Roman" w:hAnsi="Times New Roman" w:eastAsia="方正仿宋_GB2312" w:cs="Times New Roman"/>
          <w:b w:val="0"/>
          <w:color w:val="auto"/>
          <w:spacing w:val="-6"/>
          <w:sz w:val="32"/>
        </w:rPr>
        <w:t>6.2.</w:t>
      </w:r>
      <w:r>
        <w:rPr>
          <w:rFonts w:hint="eastAsia" w:ascii="Times New Roman" w:hAnsi="Times New Roman" w:cs="Times New Roman"/>
          <w:b w:val="0"/>
          <w:color w:val="auto"/>
          <w:spacing w:val="-6"/>
          <w:sz w:val="32"/>
          <w:lang w:val="en-US" w:eastAsia="zh-CN"/>
        </w:rPr>
        <w:t>2</w:t>
      </w:r>
      <w:r>
        <w:rPr>
          <w:rFonts w:hint="default" w:ascii="Times New Roman" w:hAnsi="Times New Roman" w:eastAsia="方正仿宋_GB2312" w:cs="Times New Roman"/>
          <w:b w:val="0"/>
          <w:color w:val="auto"/>
          <w:spacing w:val="-6"/>
          <w:sz w:val="32"/>
        </w:rPr>
        <w:t>.2</w:t>
      </w:r>
      <w:r>
        <w:rPr>
          <w:rFonts w:hint="default" w:ascii="Times New Roman" w:hAnsi="Times New Roman" w:cs="Times New Roman"/>
          <w:color w:val="auto"/>
          <w:highlight w:val="none"/>
        </w:rPr>
        <w:t>机动车检验机构应根据检定、校准或核查证书提供的数据结果，按照表</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-1和表</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-2的技术性能要求实施计量确认。计量确认至少包括溯源证书的有效性和溯源结果的符合性，溯源结果的符合性至少包括测量范围和测量准确性。计量确认修正信息应得到有效利用，特别是环境参数测量仪计量确认的修正信息。</w:t>
      </w:r>
    </w:p>
    <w:p>
      <w:pPr>
        <w:pStyle w:val="7"/>
        <w:numPr>
          <w:ilvl w:val="0"/>
          <w:numId w:val="0"/>
        </w:numPr>
        <w:ind w:left="0" w:leftChars="0" w:firstLine="608" w:firstLineChars="0"/>
        <w:rPr>
          <w:rFonts w:hint="default" w:ascii="Times New Roman" w:hAnsi="Times New Roman" w:cs="Times New Roman"/>
          <w:b w:val="0"/>
          <w:color w:val="auto"/>
          <w:highlight w:val="none"/>
        </w:rPr>
      </w:pPr>
      <w:r>
        <w:rPr>
          <w:rFonts w:hint="default" w:ascii="Times New Roman" w:hAnsi="Times New Roman" w:eastAsia="方正仿宋_GB2312" w:cs="Times New Roman"/>
          <w:b w:val="0"/>
          <w:color w:val="auto"/>
          <w:spacing w:val="-6"/>
          <w:sz w:val="32"/>
        </w:rPr>
        <w:t>6.2.</w:t>
      </w:r>
      <w:r>
        <w:rPr>
          <w:rFonts w:hint="eastAsia" w:ascii="Times New Roman" w:hAnsi="Times New Roman" w:cs="Times New Roman"/>
          <w:b w:val="0"/>
          <w:color w:val="auto"/>
          <w:spacing w:val="-6"/>
          <w:sz w:val="32"/>
          <w:lang w:val="en-US" w:eastAsia="zh-CN"/>
        </w:rPr>
        <w:t>2</w:t>
      </w:r>
      <w:r>
        <w:rPr>
          <w:rFonts w:hint="default" w:ascii="Times New Roman" w:hAnsi="Times New Roman" w:eastAsia="方正仿宋_GB2312" w:cs="Times New Roman"/>
          <w:b w:val="0"/>
          <w:color w:val="auto"/>
          <w:spacing w:val="-6"/>
          <w:sz w:val="32"/>
        </w:rPr>
        <w:t>.3</w:t>
      </w:r>
      <w:r>
        <w:rPr>
          <w:rFonts w:hint="default" w:ascii="Times New Roman" w:hAnsi="Times New Roman" w:cs="Times New Roman"/>
          <w:color w:val="auto"/>
          <w:highlight w:val="none"/>
        </w:rPr>
        <w:t>在购买、维修、固定设备搬迁后，仪器设备应进行检定、校准</w:t>
      </w:r>
      <w:r>
        <w:rPr>
          <w:rFonts w:hint="eastAsia" w:ascii="Times New Roman" w:hAnsi="Times New Roman" w:cs="Times New Roman"/>
          <w:color w:val="auto"/>
          <w:highlight w:val="none"/>
          <w:lang w:val="en-US" w:eastAsia="zh-CN"/>
        </w:rPr>
        <w:t>或</w:t>
      </w:r>
      <w:r>
        <w:rPr>
          <w:rFonts w:hint="default" w:ascii="Times New Roman" w:hAnsi="Times New Roman" w:cs="Times New Roman"/>
          <w:color w:val="auto"/>
          <w:highlight w:val="none"/>
        </w:rPr>
        <w:t>核查</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计量确认。仪器设备期间核查或日常检查计量性能不满足使用要求时，应先维修再检定、校准</w:t>
      </w:r>
      <w:r>
        <w:rPr>
          <w:rFonts w:hint="eastAsia" w:ascii="Times New Roman" w:hAnsi="Times New Roman" w:cs="Times New Roman"/>
          <w:color w:val="auto"/>
          <w:highlight w:val="none"/>
          <w:lang w:val="en-US" w:eastAsia="zh-CN"/>
        </w:rPr>
        <w:t>或</w:t>
      </w:r>
      <w:r>
        <w:rPr>
          <w:rFonts w:hint="default" w:ascii="Times New Roman" w:hAnsi="Times New Roman" w:cs="Times New Roman"/>
          <w:color w:val="auto"/>
          <w:highlight w:val="none"/>
        </w:rPr>
        <w:t>核查</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计量确认。</w:t>
      </w:r>
    </w:p>
    <w:p>
      <w:pPr>
        <w:pStyle w:val="7"/>
        <w:numPr>
          <w:ilvl w:val="0"/>
          <w:numId w:val="0"/>
        </w:numPr>
        <w:ind w:left="0" w:leftChars="0" w:firstLine="608" w:firstLineChars="0"/>
        <w:rPr>
          <w:rFonts w:hint="default" w:ascii="Times New Roman" w:hAnsi="Times New Roman" w:cs="Times New Roman"/>
          <w:color w:val="auto"/>
          <w:highlight w:val="none"/>
        </w:rPr>
      </w:pPr>
      <w:r>
        <w:rPr>
          <w:rFonts w:hint="default" w:ascii="Times New Roman" w:hAnsi="Times New Roman" w:eastAsia="方正仿宋_GB2312" w:cs="Times New Roman"/>
          <w:b w:val="0"/>
          <w:color w:val="auto"/>
          <w:spacing w:val="-6"/>
          <w:sz w:val="32"/>
        </w:rPr>
        <w:t>6.2.</w:t>
      </w:r>
      <w:r>
        <w:rPr>
          <w:rFonts w:hint="eastAsia" w:ascii="Times New Roman" w:hAnsi="Times New Roman" w:cs="Times New Roman"/>
          <w:b w:val="0"/>
          <w:color w:val="auto"/>
          <w:spacing w:val="-6"/>
          <w:sz w:val="32"/>
          <w:lang w:val="en-US" w:eastAsia="zh-CN"/>
        </w:rPr>
        <w:t>2</w:t>
      </w:r>
      <w:r>
        <w:rPr>
          <w:rFonts w:hint="default" w:ascii="Times New Roman" w:hAnsi="Times New Roman" w:eastAsia="方正仿宋_GB2312" w:cs="Times New Roman"/>
          <w:b w:val="0"/>
          <w:color w:val="auto"/>
          <w:spacing w:val="-6"/>
          <w:sz w:val="32"/>
        </w:rPr>
        <w:t>.4</w:t>
      </w:r>
      <w:r>
        <w:rPr>
          <w:rFonts w:hint="default" w:ascii="Times New Roman" w:hAnsi="Times New Roman" w:cs="Times New Roman"/>
          <w:color w:val="auto"/>
          <w:highlight w:val="none"/>
        </w:rPr>
        <w:t>对于关键和变动性较大的仪器设备应实施期间核查，以保持其原检定、校准状态。期间核查的仪器设备包括但不限于：轴重仪（地磅）、制动台、灯光仪、侧滑台、底盘测功机、排气分析仪、外廓尺寸测量仪等。</w:t>
      </w:r>
    </w:p>
    <w:p>
      <w:pPr>
        <w:pStyle w:val="30"/>
        <w:rPr>
          <w:rFonts w:hint="default" w:ascii="Times New Roman" w:hAnsi="Times New Roman" w:cs="Times New Roman"/>
          <w:color w:val="auto"/>
          <w:highlight w:val="none"/>
        </w:rPr>
      </w:pPr>
      <w:r>
        <w:rPr>
          <w:rFonts w:hint="default" w:ascii="Times New Roman" w:hAnsi="Times New Roman" w:cs="Times New Roman"/>
          <w:color w:val="auto"/>
          <w:highlight w:val="none"/>
        </w:rPr>
        <w:t>表</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-1</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安检仪器设备配备和技术性能要求表</w:t>
      </w:r>
    </w:p>
    <w:tbl>
      <w:tblPr>
        <w:tblStyle w:val="15"/>
        <w:tblW w:w="5053" w:type="pct"/>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605"/>
        <w:gridCol w:w="1514"/>
        <w:gridCol w:w="873"/>
        <w:gridCol w:w="481"/>
        <w:gridCol w:w="481"/>
        <w:gridCol w:w="501"/>
        <w:gridCol w:w="481"/>
        <w:gridCol w:w="499"/>
        <w:gridCol w:w="483"/>
        <w:gridCol w:w="486"/>
        <w:gridCol w:w="556"/>
        <w:gridCol w:w="1989"/>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0" w:hRule="atLeast"/>
          <w:tblHeader/>
          <w:jc w:val="center"/>
        </w:trPr>
        <w:tc>
          <w:tcPr>
            <w:tcW w:w="33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序号</w:t>
            </w:r>
          </w:p>
        </w:tc>
        <w:tc>
          <w:tcPr>
            <w:tcW w:w="84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仪器设备</w:t>
            </w:r>
          </w:p>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名称</w:t>
            </w:r>
          </w:p>
        </w:tc>
        <w:tc>
          <w:tcPr>
            <w:tcW w:w="2705"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适用车辆类型</w:t>
            </w:r>
          </w:p>
        </w:tc>
        <w:tc>
          <w:tcPr>
            <w:tcW w:w="1109"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技术性能要求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tblHeader/>
          <w:jc w:val="center"/>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488"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非营运小型、微型载客汽车</w:t>
            </w:r>
          </w:p>
        </w:tc>
        <w:tc>
          <w:tcPr>
            <w:tcW w:w="818" w:type="pct"/>
            <w:gridSpan w:val="3"/>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其他类型</w:t>
            </w:r>
          </w:p>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载客汽车</w:t>
            </w:r>
          </w:p>
        </w:tc>
        <w:tc>
          <w:tcPr>
            <w:tcW w:w="548" w:type="pct"/>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货车、专项作业车</w:t>
            </w:r>
          </w:p>
        </w:tc>
        <w:tc>
          <w:tcPr>
            <w:tcW w:w="270"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挂车</w:t>
            </w:r>
          </w:p>
        </w:tc>
        <w:tc>
          <w:tcPr>
            <w:tcW w:w="271"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三轮</w:t>
            </w:r>
          </w:p>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汽车</w:t>
            </w:r>
          </w:p>
        </w:tc>
        <w:tc>
          <w:tcPr>
            <w:tcW w:w="308"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摩托</w:t>
            </w:r>
          </w:p>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车</w:t>
            </w:r>
          </w:p>
        </w:tc>
        <w:tc>
          <w:tcPr>
            <w:tcW w:w="1109"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tblHeader/>
          <w:jc w:val="center"/>
        </w:trPr>
        <w:tc>
          <w:tcPr>
            <w:tcW w:w="338" w:type="pct"/>
            <w:vMerge w:val="continue"/>
            <w:tcBorders>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846" w:type="pct"/>
            <w:vMerge w:val="continue"/>
            <w:tcBorders>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488" w:type="pct"/>
            <w:vMerge w:val="continue"/>
            <w:tcBorders>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微型小型</w:t>
            </w:r>
          </w:p>
        </w:tc>
        <w:tc>
          <w:tcPr>
            <w:tcW w:w="269" w:type="pct"/>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中型</w:t>
            </w:r>
          </w:p>
        </w:tc>
        <w:tc>
          <w:tcPr>
            <w:tcW w:w="280" w:type="pct"/>
            <w:tcBorders>
              <w:top w:val="single" w:color="auto"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大型</w:t>
            </w:r>
          </w:p>
        </w:tc>
        <w:tc>
          <w:tcPr>
            <w:tcW w:w="269" w:type="pct"/>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微型轻型</w:t>
            </w:r>
          </w:p>
        </w:tc>
        <w:tc>
          <w:tcPr>
            <w:tcW w:w="279" w:type="pct"/>
            <w:tcBorders>
              <w:top w:val="single" w:color="auto"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重中型</w:t>
            </w:r>
          </w:p>
        </w:tc>
        <w:tc>
          <w:tcPr>
            <w:tcW w:w="270" w:type="pct"/>
            <w:vMerge w:val="continue"/>
            <w:tcBorders>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vMerge w:val="continue"/>
            <w:tcBorders>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vMerge w:val="continue"/>
            <w:tcBorders>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5000" w:type="pct"/>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left="79" w:leftChars="25" w:firstLine="0" w:firstLineChars="0"/>
              <w:jc w:val="left"/>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b/>
                <w:bCs/>
                <w:color w:val="auto"/>
                <w:kern w:val="0"/>
                <w:sz w:val="21"/>
                <w:szCs w:val="21"/>
                <w:highlight w:val="none"/>
                <w:lang w:val="en-US" w:eastAsia="zh-CN" w:bidi="ar-SA"/>
              </w:rPr>
              <w:t>一、人工检验部分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w:t>
            </w:r>
          </w:p>
        </w:tc>
        <w:tc>
          <w:tcPr>
            <w:tcW w:w="8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检验智能终端（PDA）</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80"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9"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left="79" w:leftChars="25" w:firstLine="0" w:firstLineChars="0"/>
              <w:jc w:val="left"/>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满足实际检验要求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2</w:t>
            </w:r>
          </w:p>
        </w:tc>
        <w:tc>
          <w:tcPr>
            <w:tcW w:w="8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钢卷尺</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80"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9"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left="79" w:leftChars="25" w:firstLine="0" w:firstLineChars="0"/>
              <w:jc w:val="both"/>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符合Ⅱ级、满足实际检验要求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3</w:t>
            </w:r>
          </w:p>
        </w:tc>
        <w:tc>
          <w:tcPr>
            <w:tcW w:w="8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钢直尺</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80"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9"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37"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4</w:t>
            </w:r>
          </w:p>
        </w:tc>
        <w:tc>
          <w:tcPr>
            <w:tcW w:w="8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铅锤、水平尺</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水平尺</w:t>
            </w:r>
            <w:r>
              <w:rPr>
                <w:rFonts w:hint="default" w:ascii="Times New Roman" w:hAnsi="Times New Roman" w:eastAsia="方正仿宋_GB2312" w:cs="Times New Roman"/>
                <w:color w:val="auto"/>
                <w:kern w:val="0"/>
                <w:sz w:val="21"/>
                <w:szCs w:val="21"/>
                <w:lang w:val="en-US" w:eastAsia="zh-CN" w:bidi="ar"/>
              </w:rPr>
              <w:t>主要计量性能应满足</w:t>
            </w:r>
            <w:bookmarkStart w:id="143" w:name="OLE_LINK1"/>
            <w:r>
              <w:rPr>
                <w:rFonts w:hint="default" w:ascii="Times New Roman" w:hAnsi="Times New Roman" w:eastAsia="方正仿宋_GB2312" w:cs="Times New Roman"/>
                <w:color w:val="auto"/>
                <w:kern w:val="0"/>
                <w:sz w:val="21"/>
                <w:szCs w:val="21"/>
                <w:lang w:val="en-US" w:eastAsia="zh-CN" w:bidi="ar"/>
              </w:rPr>
              <w:t>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1085</w:t>
            </w:r>
            <w:bookmarkEnd w:id="143"/>
            <w:r>
              <w:rPr>
                <w:rFonts w:hint="default" w:ascii="Times New Roman" w:hAnsi="Times New Roman" w:eastAsia="方正仿宋_GB2312" w:cs="Times New Roman"/>
                <w:color w:val="auto"/>
                <w:kern w:val="0"/>
                <w:sz w:val="21"/>
                <w:szCs w:val="21"/>
                <w:lang w:val="en-US" w:eastAsia="zh-CN" w:bidi="ar"/>
              </w:rPr>
              <w:t>或JJF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1119的要求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5</w:t>
            </w:r>
          </w:p>
        </w:tc>
        <w:tc>
          <w:tcPr>
            <w:tcW w:w="846"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通道、引道测量装置</w:t>
            </w:r>
          </w:p>
        </w:tc>
        <w:tc>
          <w:tcPr>
            <w:tcW w:w="488"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000000"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000000"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9"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0"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left="79" w:leftChars="25" w:firstLine="0" w:firstLineChars="0"/>
              <w:jc w:val="left"/>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满足实际检验要求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6</w:t>
            </w:r>
          </w:p>
        </w:tc>
        <w:tc>
          <w:tcPr>
            <w:tcW w:w="846"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透光率计</w:t>
            </w:r>
          </w:p>
        </w:tc>
        <w:tc>
          <w:tcPr>
            <w:tcW w:w="488"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80"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69" w:type="pct"/>
            <w:tcBorders>
              <w:top w:val="single" w:color="000000"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9"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方正仿宋_GB2312" w:cs="Times New Roman"/>
                <w:color w:val="auto"/>
                <w:kern w:val="0"/>
                <w:sz w:val="21"/>
                <w:szCs w:val="21"/>
                <w:highlight w:val="none"/>
                <w:lang w:val="en-US" w:eastAsia="zh-CN" w:bidi="ar"/>
              </w:rPr>
            </w:pPr>
            <w:r>
              <w:rPr>
                <w:rFonts w:hint="default" w:ascii="Times New Roman" w:hAnsi="Times New Roman" w:eastAsia="方正仿宋_GB2312" w:cs="Times New Roman"/>
                <w:color w:val="auto"/>
                <w:kern w:val="0"/>
                <w:sz w:val="21"/>
                <w:szCs w:val="21"/>
                <w:highlight w:val="none"/>
                <w:lang w:val="en-US" w:eastAsia="zh-CN" w:bidi="ar"/>
              </w:rPr>
              <w:t>●</w:t>
            </w:r>
          </w:p>
        </w:tc>
        <w:tc>
          <w:tcPr>
            <w:tcW w:w="270"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
              </w:rPr>
              <w:t>●</w:t>
            </w:r>
          </w:p>
        </w:tc>
        <w:tc>
          <w:tcPr>
            <w:tcW w:w="308"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1225的要求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7</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轮胎花纹深度尺</w:t>
            </w:r>
          </w:p>
        </w:tc>
        <w:tc>
          <w:tcPr>
            <w:tcW w:w="48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1477的要求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8</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轮胎气压表</w:t>
            </w:r>
          </w:p>
        </w:tc>
        <w:tc>
          <w:tcPr>
            <w:tcW w:w="48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927或JJG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1201的要求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9</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秒表</w:t>
            </w:r>
          </w:p>
        </w:tc>
        <w:tc>
          <w:tcPr>
            <w:tcW w:w="48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strike/>
                <w:dstrike w:val="0"/>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2195的要求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10</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逆反射系数测试仪</w:t>
            </w:r>
          </w:p>
        </w:tc>
        <w:tc>
          <w:tcPr>
            <w:tcW w:w="48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1747的要求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11</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汽车转向盘转向力－转向角</w:t>
            </w:r>
          </w:p>
        </w:tc>
        <w:tc>
          <w:tcPr>
            <w:tcW w:w="48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u w:val="none"/>
                <w:lang w:val="en-US" w:eastAsia="zh-CN" w:bidi="ar-SA"/>
              </w:rPr>
            </w:pPr>
            <w:r>
              <w:rPr>
                <w:rFonts w:hint="default" w:ascii="Times New Roman" w:hAnsi="Times New Roman" w:eastAsia="方正仿宋_GB2312" w:cs="Times New Roman"/>
                <w:color w:val="auto"/>
                <w:kern w:val="0"/>
                <w:sz w:val="21"/>
                <w:szCs w:val="21"/>
                <w:highlight w:val="none"/>
                <w:u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u w:val="none"/>
                <w:lang w:val="en-US" w:eastAsia="zh-CN" w:bidi="ar-SA"/>
              </w:rPr>
            </w:pPr>
            <w:r>
              <w:rPr>
                <w:rFonts w:hint="default" w:ascii="Times New Roman" w:hAnsi="Times New Roman" w:eastAsia="方正仿宋_GB2312" w:cs="Times New Roman"/>
                <w:color w:val="auto"/>
                <w:kern w:val="0"/>
                <w:sz w:val="21"/>
                <w:szCs w:val="21"/>
                <w:highlight w:val="none"/>
                <w:u w:val="none"/>
                <w:lang w:val="en-US" w:eastAsia="zh-CN" w:bidi="ar-SA"/>
              </w:rPr>
              <w:t>●</w:t>
            </w: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u w:val="none"/>
                <w:lang w:val="en-US" w:eastAsia="zh-CN" w:bidi="ar-SA"/>
              </w:rPr>
            </w:pPr>
            <w:r>
              <w:rPr>
                <w:rFonts w:hint="default" w:ascii="Times New Roman" w:hAnsi="Times New Roman" w:eastAsia="方正仿宋_GB2312" w:cs="Times New Roman"/>
                <w:color w:val="auto"/>
                <w:kern w:val="0"/>
                <w:sz w:val="21"/>
                <w:szCs w:val="21"/>
                <w:highlight w:val="none"/>
                <w:u w:val="none"/>
                <w:lang w:val="en-US" w:eastAsia="zh-CN" w:bidi="ar-SA"/>
              </w:rPr>
              <w:t>●</w:t>
            </w: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486"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556"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r>
              <w:rPr>
                <w:rFonts w:hint="eastAsia" w:ascii="Times New Roman" w:hAnsi="Times New Roman" w:eastAsia="宋体" w:cs="Times New Roman"/>
                <w:b/>
                <w:bCs/>
                <w:color w:val="auto"/>
                <w:kern w:val="0"/>
                <w:sz w:val="21"/>
                <w:szCs w:val="21"/>
                <w:vertAlign w:val="superscript"/>
                <w:lang w:val="en-US" w:eastAsia="zh-CN" w:bidi="ar"/>
              </w:rPr>
              <w:t>1</w:t>
            </w: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1196的要求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12</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强光手电、手锤</w:t>
            </w:r>
          </w:p>
        </w:tc>
        <w:tc>
          <w:tcPr>
            <w:tcW w:w="48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left="79" w:leftChars="25" w:firstLine="0" w:firstLineChars="0"/>
              <w:jc w:val="left"/>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满足实际检验要求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13</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内窥镜、放大镜、螺丝刀</w:t>
            </w:r>
          </w:p>
        </w:tc>
        <w:tc>
          <w:tcPr>
            <w:tcW w:w="48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left="79" w:leftChars="25" w:firstLine="0" w:firstLineChars="0"/>
              <w:jc w:val="left"/>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满足实际检验要求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14</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汽车转向系间隙仪</w:t>
            </w:r>
          </w:p>
        </w:tc>
        <w:tc>
          <w:tcPr>
            <w:tcW w:w="48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产品应满足JT/T</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633的要求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15</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rPr>
                <w:rFonts w:hint="default" w:ascii="Times New Roman" w:hAnsi="Times New Roman" w:eastAsia="方正仿宋_GB2312" w:cs="Times New Roman"/>
                <w:color w:val="auto"/>
                <w:kern w:val="0"/>
                <w:sz w:val="21"/>
                <w:szCs w:val="21"/>
                <w:lang w:val="en-US" w:eastAsia="zh-CN" w:bidi="ar"/>
              </w:rPr>
            </w:pPr>
            <w:r>
              <w:rPr>
                <w:rFonts w:hint="default" w:ascii="Times New Roman" w:hAnsi="Times New Roman" w:eastAsia="方正仿宋_GB2312" w:cs="Times New Roman"/>
                <w:color w:val="auto"/>
                <w:kern w:val="0"/>
                <w:sz w:val="21"/>
                <w:szCs w:val="21"/>
                <w:lang w:val="en-US" w:eastAsia="zh-CN" w:bidi="ar"/>
              </w:rPr>
              <w:t>举升装置</w:t>
            </w:r>
          </w:p>
        </w:tc>
        <w:tc>
          <w:tcPr>
            <w:tcW w:w="488"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lang w:val="en-US" w:eastAsia="zh-CN" w:bidi="ar"/>
              </w:rPr>
            </w:pPr>
            <w:r>
              <w:rPr>
                <w:rFonts w:hint="default" w:ascii="Times New Roman" w:hAnsi="Times New Roman" w:eastAsia="方正仿宋_GB2312" w:cs="Times New Roman"/>
                <w:color w:val="auto"/>
                <w:kern w:val="0"/>
                <w:sz w:val="21"/>
                <w:szCs w:val="21"/>
                <w:highlight w:val="none"/>
                <w:lang w:val="en-US" w:eastAsia="zh-CN" w:bidi="ar-SA"/>
              </w:rPr>
              <w:t>满足实际检验要求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rPr>
                <w:rFonts w:hint="default" w:ascii="Times New Roman" w:hAnsi="Times New Roman" w:eastAsia="方正仿宋_GB2312" w:cs="Times New Roman"/>
                <w:color w:val="auto"/>
                <w:kern w:val="0"/>
                <w:sz w:val="21"/>
                <w:szCs w:val="21"/>
                <w:lang w:val="en-US" w:eastAsia="zh-CN" w:bidi="ar"/>
              </w:rPr>
            </w:pPr>
            <w:r>
              <w:rPr>
                <w:rFonts w:hint="default" w:ascii="Times New Roman" w:hAnsi="Times New Roman" w:eastAsia="方正仿宋_GB2312" w:cs="Times New Roman"/>
                <w:color w:val="auto"/>
                <w:kern w:val="0"/>
                <w:sz w:val="21"/>
                <w:szCs w:val="21"/>
                <w:lang w:val="en-US" w:eastAsia="zh-CN" w:bidi="ar"/>
              </w:rPr>
              <w:t>汽车底盘检查地沟</w:t>
            </w:r>
          </w:p>
        </w:tc>
        <w:tc>
          <w:tcPr>
            <w:tcW w:w="488"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lang w:val="en-US" w:eastAsia="zh-CN" w:bidi="ar"/>
              </w:rPr>
            </w:pPr>
            <w:r>
              <w:rPr>
                <w:rFonts w:hint="default" w:ascii="Times New Roman" w:hAnsi="Times New Roman" w:eastAsia="方正仿宋_GB2312" w:cs="Times New Roman"/>
                <w:color w:val="auto"/>
                <w:kern w:val="0"/>
                <w:sz w:val="21"/>
                <w:szCs w:val="21"/>
                <w:highlight w:val="none"/>
                <w:lang w:val="en-US" w:eastAsia="zh-CN" w:bidi="ar-SA"/>
              </w:rPr>
              <w:t>满足技术补充要求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54" w:hRule="atLeast"/>
          <w:jc w:val="center"/>
        </w:trPr>
        <w:tc>
          <w:tcPr>
            <w:tcW w:w="338" w:type="pct"/>
            <w:vMerge w:val="restart"/>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16</w:t>
            </w:r>
          </w:p>
        </w:tc>
        <w:tc>
          <w:tcPr>
            <w:tcW w:w="846" w:type="pct"/>
            <w:tcBorders>
              <w:top w:val="single" w:color="auto"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2312" w:cs="Times New Roman"/>
                <w:color w:val="auto"/>
                <w:kern w:val="0"/>
                <w:sz w:val="21"/>
                <w:szCs w:val="21"/>
                <w:lang w:val="en-US" w:eastAsia="zh-CN" w:bidi="ar"/>
              </w:rPr>
            </w:pPr>
            <w:r>
              <w:rPr>
                <w:rFonts w:hint="default" w:ascii="Times New Roman" w:hAnsi="Times New Roman" w:eastAsia="方正仿宋_GB2312" w:cs="Times New Roman"/>
                <w:color w:val="auto"/>
                <w:kern w:val="0"/>
                <w:sz w:val="21"/>
                <w:szCs w:val="21"/>
                <w:lang w:val="en-US" w:eastAsia="zh-CN" w:bidi="ar"/>
              </w:rPr>
              <w:t>金属探伤仪</w:t>
            </w:r>
            <w:r>
              <w:rPr>
                <w:rFonts w:hint="default" w:ascii="Times New Roman" w:hAnsi="Times New Roman" w:eastAsia="方正仿宋_GB2312" w:cs="Times New Roman"/>
                <w:b/>
                <w:bCs/>
                <w:color w:val="auto"/>
                <w:kern w:val="0"/>
                <w:sz w:val="21"/>
                <w:szCs w:val="21"/>
                <w:vertAlign w:val="superscript"/>
                <w:lang w:val="en-US" w:eastAsia="zh-CN" w:bidi="ar"/>
              </w:rPr>
              <w:t>2</w:t>
            </w:r>
          </w:p>
        </w:tc>
        <w:tc>
          <w:tcPr>
            <w:tcW w:w="488" w:type="pct"/>
            <w:vMerge w:val="restart"/>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p>
        </w:tc>
        <w:tc>
          <w:tcPr>
            <w:tcW w:w="269" w:type="pct"/>
            <w:vMerge w:val="restart"/>
            <w:tcBorders>
              <w:top w:val="single" w:color="auto" w:sz="4" w:space="0"/>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w:t>
            </w:r>
          </w:p>
        </w:tc>
        <w:tc>
          <w:tcPr>
            <w:tcW w:w="269"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w:t>
            </w:r>
          </w:p>
        </w:tc>
        <w:tc>
          <w:tcPr>
            <w:tcW w:w="280" w:type="pct"/>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w:t>
            </w:r>
          </w:p>
        </w:tc>
        <w:tc>
          <w:tcPr>
            <w:tcW w:w="269" w:type="pct"/>
            <w:vMerge w:val="restart"/>
            <w:tcBorders>
              <w:top w:val="single" w:color="auto" w:sz="4" w:space="0"/>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w:t>
            </w:r>
          </w:p>
        </w:tc>
        <w:tc>
          <w:tcPr>
            <w:tcW w:w="279" w:type="pct"/>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w:t>
            </w:r>
          </w:p>
        </w:tc>
        <w:tc>
          <w:tcPr>
            <w:tcW w:w="270"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w:t>
            </w:r>
          </w:p>
        </w:tc>
        <w:tc>
          <w:tcPr>
            <w:tcW w:w="271"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w:t>
            </w:r>
          </w:p>
        </w:tc>
        <w:tc>
          <w:tcPr>
            <w:tcW w:w="308"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lang w:val="en-US" w:eastAsia="zh-CN" w:bidi="ar"/>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2252的要求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10" w:hRule="atLeast"/>
          <w:jc w:val="center"/>
        </w:trPr>
        <w:tc>
          <w:tcPr>
            <w:tcW w:w="338"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rPr>
                <w:rFonts w:hint="default" w:ascii="Times New Roman" w:hAnsi="Times New Roman" w:eastAsia="方正仿宋_GB2312" w:cs="Times New Roman"/>
                <w:color w:val="auto"/>
                <w:kern w:val="0"/>
                <w:sz w:val="21"/>
                <w:szCs w:val="21"/>
                <w:lang w:val="en-US" w:eastAsia="zh-CN" w:bidi="ar"/>
              </w:rPr>
            </w:pPr>
            <w:r>
              <w:rPr>
                <w:rFonts w:hint="default" w:ascii="Times New Roman" w:hAnsi="Times New Roman" w:eastAsia="方正仿宋_GB2312" w:cs="Times New Roman"/>
                <w:color w:val="auto"/>
                <w:kern w:val="0"/>
                <w:sz w:val="21"/>
                <w:szCs w:val="21"/>
                <w:lang w:val="en-US" w:eastAsia="zh-CN" w:bidi="ar"/>
              </w:rPr>
              <w:t>油漆层厚度检测仪</w:t>
            </w:r>
            <w:r>
              <w:rPr>
                <w:rFonts w:hint="default" w:ascii="Times New Roman" w:hAnsi="Times New Roman" w:eastAsia="方正仿宋_GB2312" w:cs="Times New Roman"/>
                <w:b/>
                <w:bCs/>
                <w:color w:val="auto"/>
                <w:kern w:val="0"/>
                <w:sz w:val="21"/>
                <w:szCs w:val="21"/>
                <w:vertAlign w:val="superscript"/>
                <w:lang w:val="en-US" w:eastAsia="zh-CN" w:bidi="ar"/>
              </w:rPr>
              <w:t>2</w:t>
            </w:r>
          </w:p>
        </w:tc>
        <w:tc>
          <w:tcPr>
            <w:tcW w:w="488"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p>
        </w:tc>
        <w:tc>
          <w:tcPr>
            <w:tcW w:w="269" w:type="pct"/>
            <w:vMerge w:val="continue"/>
            <w:tcBorders>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p>
        </w:tc>
        <w:tc>
          <w:tcPr>
            <w:tcW w:w="269"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p>
        </w:tc>
        <w:tc>
          <w:tcPr>
            <w:tcW w:w="280" w:type="pct"/>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p>
        </w:tc>
        <w:tc>
          <w:tcPr>
            <w:tcW w:w="269" w:type="pct"/>
            <w:vMerge w:val="continue"/>
            <w:tcBorders>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p>
        </w:tc>
        <w:tc>
          <w:tcPr>
            <w:tcW w:w="279" w:type="pct"/>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p>
        </w:tc>
        <w:tc>
          <w:tcPr>
            <w:tcW w:w="270"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p>
        </w:tc>
        <w:tc>
          <w:tcPr>
            <w:tcW w:w="271"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p>
        </w:tc>
        <w:tc>
          <w:tcPr>
            <w:tcW w:w="308"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lang w:val="en-US" w:eastAsia="zh-CN" w:bidi="ar"/>
              </w:rPr>
            </w:pPr>
            <w:r>
              <w:rPr>
                <w:rFonts w:hint="default" w:ascii="Times New Roman" w:hAnsi="Times New Roman" w:eastAsia="方正仿宋_GB2312" w:cs="Times New Roman"/>
                <w:color w:val="auto"/>
                <w:kern w:val="0"/>
                <w:sz w:val="21"/>
                <w:szCs w:val="21"/>
                <w:lang w:val="en-US" w:eastAsia="zh-CN" w:bidi="ar"/>
              </w:rPr>
              <w:t>主要计量性能应满足JJG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818的要求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5000" w:type="pct"/>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b/>
                <w:bCs/>
                <w:color w:val="auto"/>
                <w:kern w:val="0"/>
                <w:sz w:val="21"/>
                <w:szCs w:val="21"/>
                <w:highlight w:val="none"/>
                <w:lang w:val="en-US" w:eastAsia="zh-CN" w:bidi="ar-SA"/>
              </w:rPr>
              <w:t>二、仪器设备检验部分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17</w:t>
            </w:r>
          </w:p>
        </w:tc>
        <w:tc>
          <w:tcPr>
            <w:tcW w:w="846"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平板式制动检验台</w:t>
            </w:r>
            <w:r>
              <w:rPr>
                <w:rFonts w:hint="default" w:ascii="Times New Roman" w:hAnsi="Times New Roman" w:eastAsia="方正仿宋_GB2312" w:cs="Times New Roman"/>
                <w:b/>
                <w:bCs/>
                <w:color w:val="auto"/>
                <w:kern w:val="0"/>
                <w:sz w:val="21"/>
                <w:szCs w:val="21"/>
                <w:highlight w:val="none"/>
                <w:vertAlign w:val="superscript"/>
                <w:lang w:val="en-US" w:eastAsia="zh-CN" w:bidi="ar-SA"/>
              </w:rPr>
              <w:t>3</w:t>
            </w:r>
          </w:p>
        </w:tc>
        <w:tc>
          <w:tcPr>
            <w:tcW w:w="488"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vMerge w:val="restart"/>
            <w:tcBorders>
              <w:top w:val="single" w:color="auto"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vMerge w:val="restart"/>
            <w:tcBorders>
              <w:top w:val="single" w:color="auto"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1109"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lang w:val="en-US" w:eastAsia="zh-CN" w:bidi="ar"/>
              </w:rPr>
            </w:pPr>
            <w:r>
              <w:rPr>
                <w:rFonts w:hint="default" w:ascii="Times New Roman" w:hAnsi="Times New Roman" w:eastAsia="方正仿宋_GB2312" w:cs="Times New Roman"/>
                <w:color w:val="auto"/>
                <w:kern w:val="0"/>
                <w:sz w:val="21"/>
                <w:szCs w:val="21"/>
                <w:lang w:val="en-US" w:eastAsia="zh-CN" w:bidi="ar"/>
              </w:rPr>
              <w:t>主要计量性能应满足JJG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1020的要求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50"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18</w:t>
            </w:r>
          </w:p>
        </w:tc>
        <w:tc>
          <w:tcPr>
            <w:tcW w:w="8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水平轮重仪和滚筒反力式制动检验台</w:t>
            </w:r>
            <w:r>
              <w:rPr>
                <w:rFonts w:hint="default" w:ascii="Times New Roman" w:hAnsi="Times New Roman" w:eastAsia="方正仿宋_GB2312" w:cs="Times New Roman"/>
                <w:color w:val="auto"/>
                <w:kern w:val="0"/>
                <w:sz w:val="21"/>
                <w:szCs w:val="21"/>
                <w:highlight w:val="none"/>
                <w:vertAlign w:val="superscript"/>
                <w:lang w:val="en-US" w:eastAsia="zh-CN" w:bidi="ar-SA"/>
              </w:rPr>
              <w:t>3</w:t>
            </w:r>
          </w:p>
        </w:tc>
        <w:tc>
          <w:tcPr>
            <w:tcW w:w="488"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80" w:type="pct"/>
            <w:vMerge w:val="continue"/>
            <w:tcBorders>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9" w:type="pct"/>
            <w:vMerge w:val="continue"/>
            <w:tcBorders>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0"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color w:val="auto"/>
                <w:kern w:val="0"/>
                <w:sz w:val="21"/>
                <w:szCs w:val="21"/>
                <w:highlight w:val="none"/>
                <w:lang w:val="en-US" w:eastAsia="zh-CN" w:bidi="ar-SA"/>
              </w:rPr>
              <w:t>轴重仪</w:t>
            </w:r>
            <w:r>
              <w:rPr>
                <w:rFonts w:hint="default" w:ascii="Times New Roman" w:hAnsi="Times New Roman" w:eastAsia="方正仿宋_GB2312" w:cs="Times New Roman"/>
                <w:color w:val="auto"/>
                <w:kern w:val="0"/>
                <w:sz w:val="21"/>
                <w:szCs w:val="21"/>
                <w:lang w:val="en-US" w:eastAsia="zh-CN" w:bidi="ar"/>
              </w:rPr>
              <w:t>主要计量性能应满足JJG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1014要求</w:t>
            </w:r>
          </w:p>
          <w:p>
            <w:pPr>
              <w:keepNext w:val="0"/>
              <w:keepLines w:val="0"/>
              <w:pageBreakBefore w:val="0"/>
              <w:widowControl w:val="0"/>
              <w:kinsoku/>
              <w:wordWrap/>
              <w:overflowPunct/>
              <w:topLinePunct w:val="0"/>
              <w:autoSpaceDE/>
              <w:autoSpaceDN/>
              <w:bidi w:val="0"/>
              <w:adjustRightInd w:val="0"/>
              <w:snapToGrid w:val="0"/>
              <w:spacing w:line="240" w:lineRule="exact"/>
              <w:ind w:left="79" w:leftChars="25" w:firstLine="0" w:firstLineChars="0"/>
              <w:jc w:val="left"/>
              <w:textAlignment w:val="center"/>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方正仿宋_GB2312" w:cs="Times New Roman"/>
                <w:color w:val="auto"/>
                <w:kern w:val="0"/>
                <w:sz w:val="21"/>
                <w:szCs w:val="21"/>
                <w:highlight w:val="none"/>
                <w:lang w:val="en-US" w:eastAsia="zh-CN" w:bidi="ar-SA"/>
              </w:rPr>
              <w:t>制动台</w:t>
            </w:r>
            <w:r>
              <w:rPr>
                <w:rFonts w:hint="default" w:ascii="Times New Roman" w:hAnsi="Times New Roman" w:eastAsia="方正仿宋_GB2312" w:cs="Times New Roman"/>
                <w:color w:val="auto"/>
                <w:kern w:val="0"/>
                <w:sz w:val="21"/>
                <w:szCs w:val="21"/>
                <w:lang w:val="en-US" w:eastAsia="zh-CN" w:bidi="ar"/>
              </w:rPr>
              <w:t>主要计量性能应满足JJG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906或JJG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1160的要求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19</w:t>
            </w:r>
          </w:p>
        </w:tc>
        <w:tc>
          <w:tcPr>
            <w:tcW w:w="8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踏板、手刹力计</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1169的要求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20</w:t>
            </w:r>
          </w:p>
        </w:tc>
        <w:tc>
          <w:tcPr>
            <w:tcW w:w="8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机动车前照灯检测仪</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1109"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left="79" w:leftChars="25" w:firstLine="0" w:firstLineChars="0"/>
              <w:jc w:val="left"/>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745的要求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21</w:t>
            </w:r>
          </w:p>
        </w:tc>
        <w:tc>
          <w:tcPr>
            <w:tcW w:w="8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汽车侧滑检验台</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908的要求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22</w:t>
            </w:r>
          </w:p>
        </w:tc>
        <w:tc>
          <w:tcPr>
            <w:tcW w:w="8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外廓尺寸自动测量装置</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80"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9"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r>
              <w:rPr>
                <w:rFonts w:hint="default" w:ascii="Times New Roman" w:hAnsi="Times New Roman" w:eastAsia="宋体" w:cs="Times New Roman"/>
                <w:b/>
                <w:bCs/>
                <w:color w:val="auto"/>
                <w:kern w:val="0"/>
                <w:sz w:val="21"/>
                <w:szCs w:val="21"/>
                <w:vertAlign w:val="superscript"/>
                <w:lang w:val="en-US" w:eastAsia="zh-CN" w:bidi="ar"/>
              </w:rPr>
              <w:t>4</w:t>
            </w:r>
          </w:p>
        </w:tc>
        <w:tc>
          <w:tcPr>
            <w:tcW w:w="2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1749的要求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23</w:t>
            </w:r>
          </w:p>
        </w:tc>
        <w:tc>
          <w:tcPr>
            <w:tcW w:w="8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地磅或多轴轮重仪</w:t>
            </w:r>
          </w:p>
        </w:tc>
        <w:tc>
          <w:tcPr>
            <w:tcW w:w="4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80"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r>
              <w:rPr>
                <w:rFonts w:hint="default" w:ascii="Times New Roman" w:hAnsi="Times New Roman" w:eastAsia="宋体" w:cs="Times New Roman"/>
                <w:b/>
                <w:bCs/>
                <w:color w:val="auto"/>
                <w:kern w:val="0"/>
                <w:sz w:val="21"/>
                <w:szCs w:val="21"/>
                <w:vertAlign w:val="superscript"/>
                <w:lang w:val="en-US" w:eastAsia="zh-CN" w:bidi="ar"/>
              </w:rPr>
              <w:t>5</w:t>
            </w:r>
          </w:p>
        </w:tc>
        <w:tc>
          <w:tcPr>
            <w:tcW w:w="269"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9"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r>
              <w:rPr>
                <w:rFonts w:hint="default" w:ascii="Times New Roman" w:hAnsi="Times New Roman" w:eastAsia="宋体" w:cs="Times New Roman"/>
                <w:b/>
                <w:bCs/>
                <w:color w:val="auto"/>
                <w:kern w:val="0"/>
                <w:sz w:val="21"/>
                <w:szCs w:val="21"/>
                <w:vertAlign w:val="superscript"/>
                <w:lang w:val="en-US" w:eastAsia="zh-CN" w:bidi="ar"/>
              </w:rPr>
              <w:t>5</w:t>
            </w:r>
          </w:p>
        </w:tc>
        <w:tc>
          <w:tcPr>
            <w:tcW w:w="2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主要计量性能应满足JJG</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1014的要求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5000" w:type="pct"/>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lang w:val="en-US" w:eastAsia="zh-CN" w:bidi="ar"/>
              </w:rPr>
            </w:pPr>
            <w:r>
              <w:rPr>
                <w:rFonts w:hint="default" w:ascii="Times New Roman" w:hAnsi="Times New Roman" w:eastAsia="方正仿宋_GB2312" w:cs="Times New Roman"/>
                <w:b/>
                <w:bCs/>
                <w:color w:val="auto"/>
                <w:kern w:val="0"/>
                <w:sz w:val="21"/>
                <w:szCs w:val="21"/>
                <w:lang w:val="en-US" w:eastAsia="zh-CN" w:bidi="ar"/>
              </w:rPr>
              <w:t>三、路试检验部分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24</w:t>
            </w:r>
          </w:p>
        </w:tc>
        <w:tc>
          <w:tcPr>
            <w:tcW w:w="846"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便携式制动性能测试仪</w:t>
            </w:r>
            <w:r>
              <w:rPr>
                <w:rFonts w:hint="default" w:ascii="Times New Roman" w:hAnsi="Times New Roman" w:eastAsia="方正仿宋_GB2312" w:cs="Times New Roman"/>
                <w:b/>
                <w:bCs/>
                <w:color w:val="auto"/>
                <w:kern w:val="0"/>
                <w:sz w:val="21"/>
                <w:szCs w:val="21"/>
                <w:highlight w:val="none"/>
                <w:vertAlign w:val="superscript"/>
                <w:lang w:val="en-US" w:eastAsia="zh-CN" w:bidi="ar-SA"/>
              </w:rPr>
              <w:t>6</w:t>
            </w:r>
          </w:p>
        </w:tc>
        <w:tc>
          <w:tcPr>
            <w:tcW w:w="873"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lang w:val="en-US" w:eastAsia="zh-CN" w:bidi="ar"/>
              </w:rPr>
              <w:t>○</w:t>
            </w:r>
            <w:r>
              <w:rPr>
                <w:rFonts w:hint="eastAsia" w:ascii="Times New Roman" w:hAnsi="Times New Roman" w:cs="Times New Roman"/>
                <w:b/>
                <w:bCs/>
                <w:color w:val="auto"/>
                <w:kern w:val="0"/>
                <w:sz w:val="21"/>
                <w:szCs w:val="21"/>
                <w:highlight w:val="none"/>
                <w:vertAlign w:val="superscript"/>
                <w:lang w:val="en-US" w:eastAsia="zh-CN" w:bidi="ar-SA"/>
              </w:rPr>
              <w:t>7</w:t>
            </w:r>
          </w:p>
        </w:tc>
        <w:tc>
          <w:tcPr>
            <w:tcW w:w="269" w:type="pct"/>
            <w:vMerge w:val="restart"/>
            <w:tcBorders>
              <w:top w:val="single" w:color="000000"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vMerge w:val="restart"/>
            <w:tcBorders>
              <w:top w:val="single" w:color="000000"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vMerge w:val="restart"/>
            <w:tcBorders>
              <w:top w:val="single" w:color="000000" w:sz="4" w:space="0"/>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vMerge w:val="restart"/>
            <w:tcBorders>
              <w:top w:val="single" w:color="000000"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vMerge w:val="restart"/>
            <w:tcBorders>
              <w:top w:val="single" w:color="000000" w:sz="4" w:space="0"/>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1168的要求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非接触式汽车速度测试仪</w:t>
            </w:r>
            <w:r>
              <w:rPr>
                <w:rFonts w:hint="default" w:ascii="Times New Roman" w:hAnsi="Times New Roman" w:eastAsia="方正仿宋_GB2312" w:cs="Times New Roman"/>
                <w:b/>
                <w:bCs/>
                <w:color w:val="auto"/>
                <w:kern w:val="0"/>
                <w:sz w:val="21"/>
                <w:szCs w:val="21"/>
                <w:highlight w:val="none"/>
                <w:vertAlign w:val="superscript"/>
                <w:lang w:val="en-US" w:eastAsia="zh-CN" w:bidi="ar-SA"/>
              </w:rPr>
              <w:t>6</w:t>
            </w:r>
          </w:p>
        </w:tc>
        <w:tc>
          <w:tcPr>
            <w:tcW w:w="488"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vMerge w:val="continue"/>
            <w:tcBorders>
              <w:left w:val="single" w:color="000000"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80" w:type="pct"/>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vMerge w:val="continue"/>
            <w:tcBorders>
              <w:left w:val="single" w:color="000000"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9" w:type="pct"/>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0"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1193的要求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25</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路试车道</w:t>
            </w:r>
          </w:p>
        </w:tc>
        <w:tc>
          <w:tcPr>
            <w:tcW w:w="87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w:t>
            </w:r>
            <w:r>
              <w:rPr>
                <w:rFonts w:hint="eastAsia" w:ascii="Times New Roman" w:hAnsi="Times New Roman" w:cs="Times New Roman"/>
                <w:b/>
                <w:bCs/>
                <w:color w:val="auto"/>
                <w:kern w:val="0"/>
                <w:sz w:val="21"/>
                <w:szCs w:val="21"/>
                <w:highlight w:val="none"/>
                <w:vertAlign w:val="superscript"/>
                <w:lang w:val="en-US" w:eastAsia="zh-CN" w:bidi="ar-SA"/>
              </w:rPr>
              <w:t>7</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left="79" w:leftChars="25" w:firstLine="0" w:firstLineChars="0"/>
              <w:jc w:val="left"/>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满足技术补充要求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26</w:t>
            </w: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驻车坡道</w:t>
            </w:r>
            <w:r>
              <w:rPr>
                <w:rFonts w:hint="eastAsia" w:ascii="Times New Roman" w:hAnsi="Times New Roman" w:cs="Times New Roman"/>
                <w:b/>
                <w:bCs/>
                <w:color w:val="auto"/>
                <w:kern w:val="0"/>
                <w:sz w:val="21"/>
                <w:szCs w:val="21"/>
                <w:highlight w:val="none"/>
                <w:vertAlign w:val="superscript"/>
                <w:lang w:val="en-US" w:eastAsia="zh-CN" w:bidi="ar-SA"/>
              </w:rPr>
              <w:t>8</w:t>
            </w:r>
          </w:p>
        </w:tc>
        <w:tc>
          <w:tcPr>
            <w:tcW w:w="488"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vMerge w:val="restart"/>
            <w:tcBorders>
              <w:top w:val="single" w:color="auto"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80" w:type="pct"/>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69" w:type="pct"/>
            <w:vMerge w:val="restart"/>
            <w:tcBorders>
              <w:top w:val="single" w:color="auto" w:sz="4" w:space="0"/>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9" w:type="pct"/>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0"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271"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w:t>
            </w:r>
          </w:p>
        </w:tc>
        <w:tc>
          <w:tcPr>
            <w:tcW w:w="308" w:type="pct"/>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left="79" w:leftChars="25" w:firstLine="0" w:firstLineChars="0"/>
              <w:jc w:val="left"/>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满足技术补充要求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338" w:type="pct"/>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84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highlight w:val="none"/>
                <w:lang w:val="en-US" w:eastAsia="zh-CN" w:bidi="ar-SA"/>
              </w:rPr>
              <w:t>驻车制动性能测试仪</w:t>
            </w:r>
            <w:r>
              <w:rPr>
                <w:rFonts w:hint="eastAsia" w:ascii="Times New Roman" w:hAnsi="Times New Roman" w:cs="Times New Roman"/>
                <w:b/>
                <w:bCs/>
                <w:color w:val="auto"/>
                <w:kern w:val="0"/>
                <w:sz w:val="21"/>
                <w:szCs w:val="21"/>
                <w:highlight w:val="none"/>
                <w:vertAlign w:val="superscript"/>
                <w:lang w:val="en-US" w:eastAsia="zh-CN" w:bidi="ar-SA"/>
              </w:rPr>
              <w:t>8</w:t>
            </w:r>
          </w:p>
        </w:tc>
        <w:tc>
          <w:tcPr>
            <w:tcW w:w="488" w:type="pct"/>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80" w:type="pct"/>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69" w:type="pct"/>
            <w:vMerge w:val="continue"/>
            <w:tcBorders>
              <w:left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9" w:type="pct"/>
            <w:vMerge w:val="continue"/>
            <w:tcBorders>
              <w:left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0" w:type="pct"/>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271" w:type="pct"/>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308" w:type="pct"/>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方正仿宋_GB2312" w:cs="Times New Roman"/>
                <w:color w:val="auto"/>
                <w:kern w:val="0"/>
                <w:sz w:val="21"/>
                <w:szCs w:val="21"/>
                <w:highlight w:val="none"/>
                <w:lang w:val="en-US" w:eastAsia="zh-CN" w:bidi="ar-SA"/>
              </w:rPr>
            </w:pPr>
          </w:p>
        </w:tc>
        <w:tc>
          <w:tcPr>
            <w:tcW w:w="1109" w:type="pct"/>
            <w:tcBorders>
              <w:top w:val="single" w:color="auto"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79" w:leftChars="25"/>
              <w:jc w:val="left"/>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 w:val="21"/>
                <w:szCs w:val="21"/>
                <w:lang w:val="en-US" w:eastAsia="zh-CN" w:bidi="ar"/>
              </w:rPr>
              <w:t>主要计量性能应满足JJF</w:t>
            </w:r>
            <w:r>
              <w:rPr>
                <w:rFonts w:hint="eastAsia" w:ascii="Times New Roman" w:hAnsi="Times New Roman" w:cs="Times New Roman"/>
                <w:color w:val="auto"/>
                <w:kern w:val="0"/>
                <w:sz w:val="21"/>
                <w:szCs w:val="21"/>
                <w:lang w:val="en-US" w:eastAsia="zh-CN" w:bidi="ar"/>
              </w:rPr>
              <w:t xml:space="preserve"> </w:t>
            </w:r>
            <w:r>
              <w:rPr>
                <w:rFonts w:hint="default" w:ascii="Times New Roman" w:hAnsi="Times New Roman" w:eastAsia="方正仿宋_GB2312" w:cs="Times New Roman"/>
                <w:color w:val="auto"/>
                <w:kern w:val="0"/>
                <w:sz w:val="21"/>
                <w:szCs w:val="21"/>
                <w:lang w:val="en-US" w:eastAsia="zh-CN" w:bidi="ar"/>
              </w:rPr>
              <w:t>1671的要求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510" w:hRule="atLeast"/>
          <w:jc w:val="center"/>
        </w:trPr>
        <w:tc>
          <w:tcPr>
            <w:tcW w:w="5000" w:type="pct"/>
            <w:gridSpan w:val="1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206" w:firstLineChars="100"/>
              <w:jc w:val="left"/>
              <w:textAlignment w:val="center"/>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备注：表中“●”代表必配项、“○”代表选配项。</w:t>
            </w:r>
          </w:p>
          <w:p>
            <w:pPr>
              <w:keepNext w:val="0"/>
              <w:keepLines w:val="0"/>
              <w:pageBreakBefore w:val="0"/>
              <w:widowControl w:val="0"/>
              <w:kinsoku/>
              <w:wordWrap/>
              <w:overflowPunct/>
              <w:topLinePunct w:val="0"/>
              <w:autoSpaceDE/>
              <w:autoSpaceDN/>
              <w:bidi w:val="0"/>
              <w:adjustRightInd w:val="0"/>
              <w:snapToGrid w:val="0"/>
              <w:spacing w:line="240" w:lineRule="auto"/>
              <w:ind w:firstLine="206" w:firstLineChars="100"/>
              <w:jc w:val="left"/>
              <w:textAlignment w:val="center"/>
              <w:rPr>
                <w:rFonts w:hint="eastAsia" w:hAnsi="方正仿宋_GB2312" w:cs="方正仿宋_GB2312"/>
                <w:color w:val="auto"/>
                <w:kern w:val="0"/>
                <w:sz w:val="21"/>
                <w:szCs w:val="21"/>
                <w:highlight w:val="none"/>
                <w:lang w:val="en-US" w:eastAsia="zh-CN" w:bidi="ar-SA"/>
              </w:rPr>
            </w:pPr>
            <w:r>
              <w:rPr>
                <w:rFonts w:hint="eastAsia" w:hAnsi="方正仿宋_GB2312" w:cs="方正仿宋_GB2312"/>
                <w:color w:val="auto"/>
                <w:kern w:val="0"/>
                <w:sz w:val="21"/>
                <w:szCs w:val="21"/>
                <w:highlight w:val="none"/>
                <w:lang w:val="en-US" w:eastAsia="zh-CN" w:bidi="ar-SA"/>
              </w:rPr>
              <w:t>注1：适用于使用方向盘转向、且装有两个后轮并有驾驶室的正三轮摩托车；</w:t>
            </w:r>
          </w:p>
          <w:p>
            <w:pPr>
              <w:keepNext w:val="0"/>
              <w:keepLines w:val="0"/>
              <w:pageBreakBefore w:val="0"/>
              <w:widowControl w:val="0"/>
              <w:kinsoku/>
              <w:wordWrap/>
              <w:overflowPunct/>
              <w:topLinePunct w:val="0"/>
              <w:autoSpaceDE/>
              <w:autoSpaceDN/>
              <w:bidi w:val="0"/>
              <w:adjustRightInd w:val="0"/>
              <w:snapToGrid w:val="0"/>
              <w:spacing w:line="240" w:lineRule="auto"/>
              <w:ind w:firstLine="206" w:firstLineChars="100"/>
              <w:jc w:val="left"/>
              <w:textAlignment w:val="center"/>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注</w:t>
            </w:r>
            <w:r>
              <w:rPr>
                <w:rFonts w:hint="eastAsia" w:hAnsi="方正仿宋_GB2312" w:cs="方正仿宋_GB2312"/>
                <w:color w:val="auto"/>
                <w:kern w:val="0"/>
                <w:sz w:val="21"/>
                <w:szCs w:val="21"/>
                <w:highlight w:val="none"/>
                <w:lang w:val="en-US" w:eastAsia="zh-CN" w:bidi="ar-SA"/>
              </w:rPr>
              <w:t>2</w:t>
            </w:r>
            <w:r>
              <w:rPr>
                <w:rFonts w:hint="eastAsia" w:ascii="方正仿宋_GB2312" w:hAnsi="方正仿宋_GB2312" w:eastAsia="方正仿宋_GB2312" w:cs="方正仿宋_GB2312"/>
                <w:color w:val="auto"/>
                <w:kern w:val="0"/>
                <w:sz w:val="21"/>
                <w:szCs w:val="21"/>
                <w:highlight w:val="none"/>
                <w:lang w:val="en-US" w:eastAsia="zh-CN" w:bidi="ar-SA"/>
              </w:rPr>
              <w:t>：</w:t>
            </w:r>
            <w:r>
              <w:rPr>
                <w:rFonts w:hint="eastAsia" w:ascii="方正仿宋_GB2312" w:hAnsi="方正仿宋_GB2312" w:eastAsia="方正仿宋_GB2312" w:cs="方正仿宋_GB2312"/>
                <w:color w:val="auto"/>
                <w:kern w:val="0"/>
                <w:sz w:val="21"/>
                <w:szCs w:val="21"/>
                <w:lang w:val="en-US" w:eastAsia="zh-CN" w:bidi="ar"/>
              </w:rPr>
              <w:t>金属探伤仪</w:t>
            </w:r>
            <w:r>
              <w:rPr>
                <w:rFonts w:hint="eastAsia" w:ascii="方正仿宋_GB2312" w:hAnsi="方正仿宋_GB2312" w:eastAsia="方正仿宋_GB2312" w:cs="方正仿宋_GB2312"/>
                <w:color w:val="auto"/>
                <w:kern w:val="0"/>
                <w:sz w:val="21"/>
                <w:szCs w:val="21"/>
                <w:highlight w:val="none"/>
                <w:lang w:val="en-US" w:eastAsia="zh-CN" w:bidi="ar-SA"/>
              </w:rPr>
              <w:t>和</w:t>
            </w:r>
            <w:r>
              <w:rPr>
                <w:rFonts w:hint="eastAsia" w:ascii="方正仿宋_GB2312" w:hAnsi="方正仿宋_GB2312" w:eastAsia="方正仿宋_GB2312" w:cs="方正仿宋_GB2312"/>
                <w:color w:val="auto"/>
                <w:kern w:val="0"/>
                <w:sz w:val="21"/>
                <w:szCs w:val="21"/>
                <w:lang w:val="en-US" w:eastAsia="zh-CN" w:bidi="ar"/>
              </w:rPr>
              <w:t>油漆层厚度检测仪</w:t>
            </w:r>
            <w:r>
              <w:rPr>
                <w:rFonts w:hint="eastAsia" w:ascii="方正仿宋_GB2312" w:hAnsi="方正仿宋_GB2312" w:eastAsia="方正仿宋_GB2312" w:cs="方正仿宋_GB2312"/>
                <w:color w:val="auto"/>
                <w:kern w:val="0"/>
                <w:sz w:val="21"/>
                <w:szCs w:val="21"/>
                <w:highlight w:val="none"/>
                <w:lang w:val="en-US" w:eastAsia="zh-CN" w:bidi="ar-SA"/>
              </w:rPr>
              <w:t>可选择其中之一；</w:t>
            </w:r>
          </w:p>
          <w:p>
            <w:pPr>
              <w:keepNext w:val="0"/>
              <w:keepLines w:val="0"/>
              <w:pageBreakBefore w:val="0"/>
              <w:widowControl w:val="0"/>
              <w:kinsoku/>
              <w:wordWrap/>
              <w:overflowPunct/>
              <w:topLinePunct w:val="0"/>
              <w:autoSpaceDE/>
              <w:autoSpaceDN/>
              <w:bidi w:val="0"/>
              <w:adjustRightInd w:val="0"/>
              <w:snapToGrid w:val="0"/>
              <w:spacing w:line="240" w:lineRule="auto"/>
              <w:ind w:left="237" w:leftChars="75" w:firstLine="0" w:firstLineChars="0"/>
              <w:jc w:val="left"/>
              <w:textAlignment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kern w:val="0"/>
                <w:sz w:val="21"/>
                <w:szCs w:val="21"/>
                <w:lang w:val="en-US" w:eastAsia="zh-CN" w:bidi="ar"/>
              </w:rPr>
              <w:t>注</w:t>
            </w:r>
            <w:r>
              <w:rPr>
                <w:rFonts w:hint="eastAsia" w:hAnsi="方正仿宋_GB2312" w:cs="方正仿宋_GB2312"/>
                <w:color w:val="auto"/>
                <w:kern w:val="0"/>
                <w:sz w:val="21"/>
                <w:szCs w:val="21"/>
                <w:lang w:val="en-US" w:eastAsia="zh-CN" w:bidi="ar"/>
              </w:rPr>
              <w:t>3</w:t>
            </w:r>
            <w:r>
              <w:rPr>
                <w:rFonts w:hint="eastAsia" w:ascii="方正仿宋_GB2312" w:hAnsi="方正仿宋_GB2312" w:eastAsia="方正仿宋_GB2312" w:cs="方正仿宋_GB2312"/>
                <w:color w:val="auto"/>
                <w:kern w:val="0"/>
                <w:sz w:val="21"/>
                <w:szCs w:val="21"/>
                <w:lang w:val="en-US" w:eastAsia="zh-CN" w:bidi="ar"/>
              </w:rPr>
              <w:t>：序号1</w:t>
            </w:r>
            <w:r>
              <w:rPr>
                <w:rFonts w:hint="eastAsia" w:hAnsi="方正仿宋_GB2312" w:cs="方正仿宋_GB2312"/>
                <w:color w:val="auto"/>
                <w:kern w:val="0"/>
                <w:sz w:val="21"/>
                <w:szCs w:val="21"/>
                <w:lang w:val="en-US" w:eastAsia="zh-CN" w:bidi="ar"/>
              </w:rPr>
              <w:t>7</w:t>
            </w:r>
            <w:r>
              <w:rPr>
                <w:rFonts w:hint="eastAsia" w:ascii="方正仿宋_GB2312" w:hAnsi="方正仿宋_GB2312" w:eastAsia="方正仿宋_GB2312" w:cs="方正仿宋_GB2312"/>
                <w:color w:val="auto"/>
                <w:kern w:val="0"/>
                <w:sz w:val="21"/>
                <w:szCs w:val="21"/>
                <w:lang w:val="en-US" w:eastAsia="zh-CN" w:bidi="ar"/>
              </w:rPr>
              <w:t>和序号</w:t>
            </w:r>
            <w:r>
              <w:rPr>
                <w:rFonts w:hint="eastAsia" w:hAnsi="方正仿宋_GB2312" w:cs="方正仿宋_GB2312"/>
                <w:color w:val="auto"/>
                <w:kern w:val="0"/>
                <w:sz w:val="21"/>
                <w:szCs w:val="21"/>
                <w:lang w:val="en-US" w:eastAsia="zh-CN" w:bidi="ar"/>
              </w:rPr>
              <w:t>18</w:t>
            </w:r>
            <w:r>
              <w:rPr>
                <w:rFonts w:hint="eastAsia" w:ascii="方正仿宋_GB2312" w:hAnsi="方正仿宋_GB2312" w:eastAsia="方正仿宋_GB2312" w:cs="方正仿宋_GB2312"/>
                <w:color w:val="auto"/>
                <w:kern w:val="0"/>
                <w:sz w:val="21"/>
                <w:szCs w:val="21"/>
                <w:lang w:val="en-US" w:eastAsia="zh-CN" w:bidi="ar"/>
              </w:rPr>
              <w:t>有一种即可；承检车型包含三轴及三轴以上多轴货车和/或总质量大于3500kg的并装双轴、并装三轴挂车的机动车检测站，应配备序号1</w:t>
            </w:r>
            <w:r>
              <w:rPr>
                <w:rFonts w:hint="eastAsia" w:hAnsi="方正仿宋_GB2312" w:cs="方正仿宋_GB2312"/>
                <w:color w:val="auto"/>
                <w:kern w:val="0"/>
                <w:sz w:val="21"/>
                <w:szCs w:val="21"/>
                <w:lang w:val="en-US" w:eastAsia="zh-CN" w:bidi="ar"/>
              </w:rPr>
              <w:t>8</w:t>
            </w:r>
            <w:r>
              <w:rPr>
                <w:rFonts w:hint="eastAsia" w:ascii="方正仿宋_GB2312" w:hAnsi="方正仿宋_GB2312" w:eastAsia="方正仿宋_GB2312" w:cs="方正仿宋_GB2312"/>
                <w:color w:val="auto"/>
                <w:kern w:val="0"/>
                <w:sz w:val="21"/>
                <w:szCs w:val="21"/>
                <w:lang w:val="en-US" w:eastAsia="zh-CN" w:bidi="ar"/>
              </w:rPr>
              <w:t>设备，且具有加载功能；</w:t>
            </w:r>
          </w:p>
          <w:p>
            <w:pPr>
              <w:keepNext w:val="0"/>
              <w:keepLines w:val="0"/>
              <w:pageBreakBefore w:val="0"/>
              <w:widowControl w:val="0"/>
              <w:kinsoku/>
              <w:wordWrap/>
              <w:overflowPunct/>
              <w:topLinePunct w:val="0"/>
              <w:autoSpaceDE/>
              <w:autoSpaceDN/>
              <w:bidi w:val="0"/>
              <w:adjustRightInd w:val="0"/>
              <w:snapToGrid w:val="0"/>
              <w:spacing w:line="240" w:lineRule="auto"/>
              <w:ind w:firstLine="206" w:firstLineChars="100"/>
              <w:jc w:val="left"/>
              <w:textAlignment w:val="center"/>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注</w:t>
            </w:r>
            <w:r>
              <w:rPr>
                <w:rFonts w:hint="eastAsia" w:hAnsi="方正仿宋_GB2312" w:cs="方正仿宋_GB2312"/>
                <w:color w:val="auto"/>
                <w:kern w:val="0"/>
                <w:sz w:val="21"/>
                <w:szCs w:val="21"/>
                <w:highlight w:val="none"/>
                <w:lang w:val="en-US" w:eastAsia="zh-CN" w:bidi="ar-SA"/>
              </w:rPr>
              <w:t>4</w:t>
            </w:r>
            <w:r>
              <w:rPr>
                <w:rFonts w:hint="eastAsia" w:ascii="方正仿宋_GB2312" w:hAnsi="方正仿宋_GB2312" w:eastAsia="方正仿宋_GB2312" w:cs="方正仿宋_GB2312"/>
                <w:color w:val="auto"/>
                <w:kern w:val="0"/>
                <w:sz w:val="21"/>
                <w:szCs w:val="21"/>
                <w:highlight w:val="none"/>
                <w:lang w:val="en-US" w:eastAsia="zh-CN" w:bidi="ar-SA"/>
              </w:rPr>
              <w:t>：适用于重中型挂车；</w:t>
            </w:r>
          </w:p>
          <w:p>
            <w:pPr>
              <w:keepNext w:val="0"/>
              <w:keepLines w:val="0"/>
              <w:pageBreakBefore w:val="0"/>
              <w:widowControl w:val="0"/>
              <w:kinsoku/>
              <w:wordWrap/>
              <w:overflowPunct/>
              <w:topLinePunct w:val="0"/>
              <w:autoSpaceDE/>
              <w:autoSpaceDN/>
              <w:bidi w:val="0"/>
              <w:adjustRightInd w:val="0"/>
              <w:snapToGrid w:val="0"/>
              <w:spacing w:line="240" w:lineRule="auto"/>
              <w:ind w:firstLine="206" w:firstLineChars="100"/>
              <w:jc w:val="left"/>
              <w:textAlignment w:val="center"/>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注</w:t>
            </w:r>
            <w:r>
              <w:rPr>
                <w:rFonts w:hint="eastAsia" w:hAnsi="方正仿宋_GB2312" w:cs="方正仿宋_GB2312"/>
                <w:color w:val="auto"/>
                <w:kern w:val="0"/>
                <w:sz w:val="21"/>
                <w:szCs w:val="21"/>
                <w:highlight w:val="none"/>
                <w:lang w:val="en-US" w:eastAsia="zh-CN" w:bidi="ar-SA"/>
              </w:rPr>
              <w:t>5</w:t>
            </w:r>
            <w:r>
              <w:rPr>
                <w:rFonts w:hint="eastAsia" w:ascii="方正仿宋_GB2312" w:hAnsi="方正仿宋_GB2312" w:eastAsia="方正仿宋_GB2312" w:cs="方正仿宋_GB2312"/>
                <w:color w:val="auto"/>
                <w:kern w:val="0"/>
                <w:sz w:val="21"/>
                <w:szCs w:val="21"/>
                <w:highlight w:val="none"/>
                <w:lang w:val="en-US" w:eastAsia="zh-CN" w:bidi="ar-SA"/>
              </w:rPr>
              <w:t>：承检车型包含并装轴的客车和挂车；</w:t>
            </w:r>
          </w:p>
          <w:p>
            <w:pPr>
              <w:keepNext w:val="0"/>
              <w:keepLines w:val="0"/>
              <w:pageBreakBefore w:val="0"/>
              <w:widowControl w:val="0"/>
              <w:kinsoku/>
              <w:wordWrap/>
              <w:overflowPunct/>
              <w:topLinePunct w:val="0"/>
              <w:autoSpaceDE/>
              <w:autoSpaceDN/>
              <w:bidi w:val="0"/>
              <w:adjustRightInd w:val="0"/>
              <w:snapToGrid w:val="0"/>
              <w:spacing w:line="240" w:lineRule="auto"/>
              <w:ind w:firstLine="206" w:firstLineChars="100"/>
              <w:jc w:val="left"/>
              <w:textAlignment w:val="center"/>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注</w:t>
            </w:r>
            <w:r>
              <w:rPr>
                <w:rFonts w:hint="eastAsia" w:hAnsi="方正仿宋_GB2312" w:cs="方正仿宋_GB2312"/>
                <w:color w:val="auto"/>
                <w:kern w:val="0"/>
                <w:sz w:val="21"/>
                <w:szCs w:val="21"/>
                <w:highlight w:val="none"/>
                <w:lang w:val="en-US" w:eastAsia="zh-CN" w:bidi="ar-SA"/>
              </w:rPr>
              <w:t>6</w:t>
            </w:r>
            <w:r>
              <w:rPr>
                <w:rFonts w:hint="eastAsia" w:ascii="方正仿宋_GB2312" w:hAnsi="方正仿宋_GB2312" w:eastAsia="方正仿宋_GB2312" w:cs="方正仿宋_GB2312"/>
                <w:color w:val="auto"/>
                <w:kern w:val="0"/>
                <w:sz w:val="21"/>
                <w:szCs w:val="21"/>
                <w:highlight w:val="none"/>
                <w:lang w:val="en-US" w:eastAsia="zh-CN" w:bidi="ar-SA"/>
              </w:rPr>
              <w:t>：便携式制动性能测试仪和非接触式汽车速度计可选择其中之一；</w:t>
            </w:r>
          </w:p>
          <w:p>
            <w:pPr>
              <w:keepNext w:val="0"/>
              <w:keepLines w:val="0"/>
              <w:pageBreakBefore w:val="0"/>
              <w:widowControl w:val="0"/>
              <w:kinsoku/>
              <w:wordWrap/>
              <w:overflowPunct/>
              <w:topLinePunct w:val="0"/>
              <w:autoSpaceDE/>
              <w:autoSpaceDN/>
              <w:bidi w:val="0"/>
              <w:adjustRightInd w:val="0"/>
              <w:snapToGrid w:val="0"/>
              <w:spacing w:line="240" w:lineRule="auto"/>
              <w:ind w:firstLine="206" w:firstLineChars="100"/>
              <w:jc w:val="left"/>
              <w:textAlignment w:val="center"/>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hAnsi="方正仿宋_GB2312" w:cs="方正仿宋_GB2312"/>
                <w:color w:val="auto"/>
                <w:kern w:val="0"/>
                <w:sz w:val="21"/>
                <w:szCs w:val="21"/>
                <w:highlight w:val="none"/>
                <w:lang w:val="en-US" w:eastAsia="zh-CN" w:bidi="ar-SA"/>
              </w:rPr>
              <w:t>注7：</w:t>
            </w:r>
            <w:r>
              <w:rPr>
                <w:rFonts w:hint="eastAsia" w:ascii="方正仿宋_GB2312" w:hAnsi="方正仿宋_GB2312" w:eastAsia="方正仿宋_GB2312" w:cs="方正仿宋_GB2312"/>
                <w:color w:val="auto"/>
                <w:kern w:val="0"/>
                <w:sz w:val="21"/>
                <w:szCs w:val="21"/>
                <w:highlight w:val="none"/>
                <w:lang w:val="en-US" w:eastAsia="zh-CN" w:bidi="ar-SA"/>
              </w:rPr>
              <w:t>最大承检车型为非营运小型、微型载客汽车的机构，采用平板制动检验台检验行车制动性能的，可不配置</w:t>
            </w:r>
            <w:r>
              <w:rPr>
                <w:rFonts w:hint="eastAsia" w:hAnsi="方正仿宋_GB2312" w:cs="方正仿宋_GB2312"/>
                <w:color w:val="auto"/>
                <w:kern w:val="0"/>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240" w:lineRule="exact"/>
              <w:ind w:firstLine="206" w:firstLineChars="100"/>
              <w:jc w:val="left"/>
              <w:textAlignment w:val="center"/>
              <w:rPr>
                <w:rFonts w:hint="default" w:ascii="方正仿宋_GB2312" w:hAnsi="方正仿宋_GB2312" w:eastAsia="方正仿宋_GB2312" w:cs="方正仿宋_GB2312"/>
                <w:color w:val="auto"/>
                <w:kern w:val="0"/>
                <w:sz w:val="24"/>
                <w:szCs w:val="24"/>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注</w:t>
            </w:r>
            <w:r>
              <w:rPr>
                <w:rFonts w:hint="eastAsia" w:hAnsi="方正仿宋_GB2312" w:cs="方正仿宋_GB2312"/>
                <w:color w:val="auto"/>
                <w:kern w:val="0"/>
                <w:sz w:val="21"/>
                <w:szCs w:val="21"/>
                <w:highlight w:val="none"/>
                <w:lang w:val="en-US" w:eastAsia="zh-CN" w:bidi="ar-SA"/>
              </w:rPr>
              <w:t>8</w:t>
            </w:r>
            <w:r>
              <w:rPr>
                <w:rFonts w:hint="eastAsia" w:ascii="方正仿宋_GB2312" w:hAnsi="方正仿宋_GB2312" w:eastAsia="方正仿宋_GB2312" w:cs="方正仿宋_GB2312"/>
                <w:color w:val="auto"/>
                <w:kern w:val="0"/>
                <w:sz w:val="21"/>
                <w:szCs w:val="21"/>
                <w:highlight w:val="none"/>
                <w:lang w:val="en-US" w:eastAsia="zh-CN" w:bidi="ar-SA"/>
              </w:rPr>
              <w:t>：驻车坡道、驻车制动性能测试仪可选其中一种</w:t>
            </w:r>
            <w:r>
              <w:rPr>
                <w:rFonts w:hint="eastAsia" w:hAnsi="方正仿宋_GB2312" w:cs="方正仿宋_GB2312"/>
                <w:color w:val="auto"/>
                <w:kern w:val="0"/>
                <w:sz w:val="21"/>
                <w:szCs w:val="21"/>
                <w:highlight w:val="none"/>
                <w:lang w:val="en-US" w:eastAsia="zh-CN" w:bidi="ar-SA"/>
              </w:rPr>
              <w:t>。</w:t>
            </w:r>
          </w:p>
        </w:tc>
      </w:tr>
    </w:tbl>
    <w:p>
      <w:pPr>
        <w:pStyle w:val="30"/>
        <w:ind w:firstLine="304" w:firstLineChars="100"/>
        <w:jc w:val="center"/>
        <w:rPr>
          <w:rFonts w:hint="default" w:ascii="Times New Roman" w:hAnsi="Times New Roman" w:cs="Times New Roman"/>
          <w:color w:val="auto"/>
          <w:highlight w:val="none"/>
        </w:rPr>
      </w:pPr>
    </w:p>
    <w:p>
      <w:pPr>
        <w:pStyle w:val="30"/>
        <w:ind w:firstLine="304" w:firstLineChars="10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表</w:t>
      </w:r>
      <w:r>
        <w:rPr>
          <w:rFonts w:hint="eastAsia" w:ascii="Times New Roman" w:hAnsi="Times New Roman" w:cs="Times New Roman"/>
          <w:color w:val="auto"/>
          <w:highlight w:val="none"/>
          <w:lang w:val="en-US" w:eastAsia="zh-CN"/>
        </w:rPr>
        <w:t>7</w:t>
      </w:r>
      <w:r>
        <w:rPr>
          <w:rFonts w:hint="default" w:ascii="Times New Roman" w:hAnsi="Times New Roman" w:cs="Times New Roman"/>
          <w:color w:val="auto"/>
          <w:highlight w:val="none"/>
        </w:rPr>
        <w:t>-2</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环检仪器设备配备和技术性能要求表</w:t>
      </w:r>
    </w:p>
    <w:tbl>
      <w:tblPr>
        <w:tblStyle w:val="15"/>
        <w:tblW w:w="9220"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660"/>
        <w:gridCol w:w="2125"/>
        <w:gridCol w:w="1076"/>
        <w:gridCol w:w="1076"/>
        <w:gridCol w:w="1076"/>
        <w:gridCol w:w="1077"/>
        <w:gridCol w:w="213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54" w:hRule="atLeast"/>
          <w:jc w:val="center"/>
        </w:trPr>
        <w:tc>
          <w:tcPr>
            <w:tcW w:w="660"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序号</w:t>
            </w:r>
          </w:p>
        </w:tc>
        <w:tc>
          <w:tcPr>
            <w:tcW w:w="2125"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仪器设备名称</w:t>
            </w:r>
          </w:p>
        </w:tc>
        <w:tc>
          <w:tcPr>
            <w:tcW w:w="2152" w:type="dxa"/>
            <w:gridSpan w:val="2"/>
            <w:tcBorders>
              <w:top w:val="single" w:color="000000" w:sz="4" w:space="0"/>
              <w:left w:val="single" w:color="000000"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
              </w:rPr>
              <w:t>轻型汽车</w:t>
            </w:r>
          </w:p>
        </w:tc>
        <w:tc>
          <w:tcPr>
            <w:tcW w:w="2153" w:type="dxa"/>
            <w:gridSpan w:val="2"/>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
              </w:rPr>
              <w:t>重型汽车</w:t>
            </w:r>
          </w:p>
        </w:tc>
        <w:tc>
          <w:tcPr>
            <w:tcW w:w="2130"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SA"/>
              </w:rPr>
              <w:t>技术性能要求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94" w:hRule="atLeast"/>
          <w:jc w:val="center"/>
        </w:trPr>
        <w:tc>
          <w:tcPr>
            <w:tcW w:w="660"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72" w:firstLineChars="200"/>
              <w:jc w:val="center"/>
              <w:textAlignment w:val="center"/>
              <w:rPr>
                <w:rFonts w:hint="default" w:ascii="Times New Roman" w:hAnsi="Times New Roman" w:eastAsia="黑体" w:cs="Times New Roman"/>
                <w:color w:val="auto"/>
                <w:kern w:val="0"/>
                <w:sz w:val="24"/>
                <w:szCs w:val="24"/>
                <w:highlight w:val="none"/>
                <w:lang w:val="en-US" w:eastAsia="zh-CN" w:bidi="ar-SA"/>
              </w:rPr>
            </w:pPr>
          </w:p>
        </w:tc>
        <w:tc>
          <w:tcPr>
            <w:tcW w:w="2125"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72" w:firstLineChars="200"/>
              <w:jc w:val="center"/>
              <w:textAlignment w:val="center"/>
              <w:rPr>
                <w:rFonts w:hint="default" w:ascii="Times New Roman" w:hAnsi="Times New Roman" w:eastAsia="黑体" w:cs="Times New Roman"/>
                <w:color w:val="auto"/>
                <w:kern w:val="0"/>
                <w:sz w:val="24"/>
                <w:szCs w:val="24"/>
                <w:highlight w:val="none"/>
                <w:lang w:val="en-US" w:eastAsia="zh-CN" w:bidi="ar-SA"/>
              </w:rPr>
            </w:pPr>
          </w:p>
        </w:tc>
        <w:tc>
          <w:tcPr>
            <w:tcW w:w="1076" w:type="dxa"/>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
              </w:rPr>
              <w:t>汽油/其他点燃式发动机汽车</w:t>
            </w:r>
          </w:p>
        </w:tc>
        <w:tc>
          <w:tcPr>
            <w:tcW w:w="1076" w:type="dxa"/>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
              </w:rPr>
              <w:t>柴油/其他压燃式发动机汽车</w:t>
            </w:r>
          </w:p>
        </w:tc>
        <w:tc>
          <w:tcPr>
            <w:tcW w:w="1076" w:type="dxa"/>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
              </w:rPr>
              <w:t>汽油/其他点燃式发动机汽车</w:t>
            </w:r>
          </w:p>
        </w:tc>
        <w:tc>
          <w:tcPr>
            <w:tcW w:w="1077" w:type="dxa"/>
            <w:tcBorders>
              <w:top w:val="single" w:color="auto" w:sz="4" w:space="0"/>
              <w:left w:val="single" w:color="auto"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黑体" w:cs="Times New Roman"/>
                <w:color w:val="auto"/>
                <w:kern w:val="0"/>
                <w:sz w:val="24"/>
                <w:szCs w:val="24"/>
                <w:highlight w:val="none"/>
                <w:lang w:val="en-US" w:eastAsia="zh-CN" w:bidi="ar-SA"/>
              </w:rPr>
            </w:pPr>
            <w:r>
              <w:rPr>
                <w:rFonts w:hint="default" w:ascii="Times New Roman" w:hAnsi="Times New Roman" w:eastAsia="黑体" w:cs="Times New Roman"/>
                <w:color w:val="auto"/>
                <w:kern w:val="0"/>
                <w:sz w:val="24"/>
                <w:szCs w:val="24"/>
                <w:highlight w:val="none"/>
                <w:lang w:val="en-US" w:eastAsia="zh-CN" w:bidi="ar"/>
              </w:rPr>
              <w:t>柴油/其他压燃式发动机汽车</w:t>
            </w:r>
          </w:p>
        </w:tc>
        <w:tc>
          <w:tcPr>
            <w:tcW w:w="2130"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72" w:firstLineChars="200"/>
              <w:jc w:val="center"/>
              <w:textAlignment w:val="center"/>
              <w:rPr>
                <w:rFonts w:hint="default" w:ascii="Times New Roman" w:hAnsi="Times New Roman" w:eastAsia="仿宋" w:cs="Times New Roman"/>
                <w:color w:val="auto"/>
                <w:kern w:val="0"/>
                <w:sz w:val="24"/>
                <w:szCs w:val="24"/>
                <w:highlight w:val="none"/>
                <w:lang w:val="en-US" w:eastAsia="zh-CN" w:bidi="ar-SA"/>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机动车检验智能终端（PDA）</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3847和GB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底盘测功机</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3847和GB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汽车排气分析仪</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72" w:firstLineChars="200"/>
              <w:jc w:val="center"/>
              <w:textAlignment w:val="center"/>
              <w:rPr>
                <w:rFonts w:hint="default" w:ascii="Times New Roman" w:hAnsi="Times New Roman" w:eastAsia="仿宋" w:cs="Times New Roman"/>
                <w:color w:val="auto"/>
                <w:kern w:val="0"/>
                <w:sz w:val="24"/>
                <w:szCs w:val="24"/>
                <w:highlight w:val="none"/>
                <w:lang w:val="en-US" w:eastAsia="zh-CN" w:bidi="ar-SA"/>
              </w:rPr>
            </w:pPr>
          </w:p>
        </w:tc>
        <w:tc>
          <w:tcPr>
            <w:tcW w:w="1076"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72" w:firstLineChars="200"/>
              <w:jc w:val="center"/>
              <w:textAlignment w:val="center"/>
              <w:rPr>
                <w:rFonts w:hint="default" w:ascii="Times New Roman" w:hAnsi="Times New Roman" w:eastAsia="仿宋" w:cs="Times New Roman"/>
                <w:color w:val="auto"/>
                <w:kern w:val="0"/>
                <w:sz w:val="24"/>
                <w:szCs w:val="24"/>
                <w:highlight w:val="none"/>
                <w:lang w:val="en-US" w:eastAsia="zh-CN" w:bidi="ar-SA"/>
              </w:rPr>
            </w:pP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4</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氮氧化物分析仪</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spacing w:line="400" w:lineRule="exact"/>
              <w:ind w:left="0" w:leftChars="0" w:right="0" w:firstLine="472" w:firstLineChars="200"/>
              <w:jc w:val="center"/>
              <w:rPr>
                <w:rFonts w:hint="default" w:ascii="Times New Roman" w:hAnsi="Times New Roman" w:eastAsia="仿宋" w:cs="Times New Roman"/>
                <w:color w:val="auto"/>
                <w:kern w:val="0"/>
                <w:sz w:val="24"/>
                <w:szCs w:val="24"/>
                <w:highlight w:val="none"/>
                <w:lang w:val="en-US" w:eastAsia="zh-CN" w:bidi="ar-SA"/>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w:t>
            </w:r>
            <w:r>
              <w:rPr>
                <w:rFonts w:hint="default" w:ascii="Times New Roman" w:hAnsi="Times New Roman" w:eastAsia="仿宋" w:cs="Times New Roman"/>
                <w:color w:val="auto"/>
                <w:kern w:val="0"/>
                <w:sz w:val="24"/>
                <w:szCs w:val="24"/>
                <w:highlight w:val="none"/>
                <w:vertAlign w:val="superscript"/>
                <w:lang w:val="en-US" w:eastAsia="zh-CN" w:bidi="ar"/>
              </w:rPr>
              <w:t>1</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72" w:firstLineChars="200"/>
              <w:jc w:val="center"/>
              <w:textAlignment w:val="center"/>
              <w:rPr>
                <w:rFonts w:hint="default" w:ascii="Times New Roman" w:hAnsi="Times New Roman" w:eastAsia="仿宋" w:cs="Times New Roman"/>
                <w:color w:val="auto"/>
                <w:kern w:val="0"/>
                <w:sz w:val="24"/>
                <w:szCs w:val="24"/>
                <w:highlight w:val="none"/>
                <w:lang w:val="en-US" w:eastAsia="zh-CN" w:bidi="ar-SA"/>
              </w:rPr>
            </w:pP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w:t>
            </w:r>
            <w:r>
              <w:rPr>
                <w:rFonts w:hint="default" w:ascii="Times New Roman" w:hAnsi="Times New Roman" w:eastAsia="仿宋" w:cs="Times New Roman"/>
                <w:color w:val="auto"/>
                <w:kern w:val="0"/>
                <w:sz w:val="24"/>
                <w:szCs w:val="24"/>
                <w:highlight w:val="none"/>
                <w:vertAlign w:val="superscript"/>
                <w:lang w:val="en-US" w:eastAsia="zh-CN" w:bidi="ar"/>
              </w:rPr>
              <w:t>1</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5</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不透光烟度计</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72" w:firstLineChars="200"/>
              <w:jc w:val="center"/>
              <w:textAlignment w:val="center"/>
              <w:rPr>
                <w:rFonts w:hint="default" w:ascii="Times New Roman" w:hAnsi="Times New Roman" w:eastAsia="仿宋" w:cs="Times New Roman"/>
                <w:color w:val="auto"/>
                <w:kern w:val="0"/>
                <w:sz w:val="24"/>
                <w:szCs w:val="24"/>
                <w:highlight w:val="none"/>
                <w:lang w:val="en-US" w:eastAsia="zh-CN" w:bidi="ar-SA"/>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center"/>
              <w:rPr>
                <w:rFonts w:hint="default" w:ascii="Times New Roman" w:hAnsi="Times New Roman" w:eastAsia="仿宋" w:cs="Times New Roman"/>
                <w:color w:val="auto"/>
                <w:kern w:val="0"/>
                <w:sz w:val="24"/>
                <w:szCs w:val="24"/>
                <w:highlight w:val="none"/>
                <w:lang w:val="en-US" w:eastAsia="zh-CN" w:bidi="ar-SA"/>
              </w:rPr>
            </w:pP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6</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发动机转速计</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3847和GB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7</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OBD诊断仪</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3847和GB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8</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环境参数检测仪（气象站）</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3847和GB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9</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温湿度计</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3847和GB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10</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大气压力计</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3847和GB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五点检查标准气体</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3847和GB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零点标准气体发生器</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w:t>
            </w:r>
            <w:r>
              <w:rPr>
                <w:rFonts w:hint="default" w:ascii="Times New Roman" w:hAnsi="Times New Roman" w:eastAsia="仿宋" w:cs="Times New Roman"/>
                <w:b/>
                <w:bCs/>
                <w:color w:val="auto"/>
                <w:kern w:val="0"/>
                <w:sz w:val="24"/>
                <w:szCs w:val="24"/>
                <w:highlight w:val="none"/>
                <w:vertAlign w:val="superscript"/>
                <w:lang w:val="en-US" w:eastAsia="zh-CN" w:bidi="ar"/>
              </w:rPr>
              <w:t>2</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w:t>
            </w:r>
            <w:r>
              <w:rPr>
                <w:rFonts w:hint="default" w:ascii="Times New Roman" w:hAnsi="Times New Roman" w:eastAsia="仿宋" w:cs="Times New Roman"/>
                <w:b/>
                <w:bCs/>
                <w:color w:val="auto"/>
                <w:kern w:val="0"/>
                <w:sz w:val="24"/>
                <w:szCs w:val="24"/>
                <w:highlight w:val="none"/>
                <w:vertAlign w:val="superscript"/>
                <w:lang w:val="en-US" w:eastAsia="zh-CN" w:bidi="ar"/>
              </w:rPr>
              <w:t>2</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w:t>
            </w:r>
            <w:r>
              <w:rPr>
                <w:rFonts w:hint="default" w:ascii="Times New Roman" w:hAnsi="Times New Roman" w:eastAsia="仿宋" w:cs="Times New Roman"/>
                <w:b/>
                <w:bCs/>
                <w:color w:val="auto"/>
                <w:kern w:val="0"/>
                <w:sz w:val="24"/>
                <w:szCs w:val="24"/>
                <w:highlight w:val="none"/>
                <w:vertAlign w:val="superscript"/>
                <w:lang w:val="en-US" w:eastAsia="zh-CN" w:bidi="ar"/>
              </w:rPr>
              <w:t>2</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w:t>
            </w:r>
            <w:r>
              <w:rPr>
                <w:rFonts w:hint="default" w:ascii="Times New Roman" w:hAnsi="Times New Roman" w:eastAsia="仿宋" w:cs="Times New Roman"/>
                <w:b/>
                <w:bCs/>
                <w:color w:val="auto"/>
                <w:kern w:val="0"/>
                <w:sz w:val="24"/>
                <w:szCs w:val="24"/>
                <w:highlight w:val="none"/>
                <w:vertAlign w:val="superscript"/>
                <w:lang w:val="en-US" w:eastAsia="zh-CN" w:bidi="ar"/>
              </w:rPr>
              <w:t>2</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3847和GB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标准滤光片（30％、50%、70%、90%）</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72" w:firstLineChars="200"/>
              <w:jc w:val="center"/>
              <w:textAlignment w:val="center"/>
              <w:rPr>
                <w:rFonts w:hint="default" w:ascii="Times New Roman" w:hAnsi="Times New Roman" w:eastAsia="仿宋" w:cs="Times New Roman"/>
                <w:color w:val="auto"/>
                <w:kern w:val="0"/>
                <w:sz w:val="24"/>
                <w:szCs w:val="24"/>
                <w:highlight w:val="none"/>
                <w:lang w:val="en-US" w:eastAsia="zh-CN" w:bidi="ar-SA"/>
              </w:rPr>
            </w:pP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72" w:firstLineChars="200"/>
              <w:jc w:val="center"/>
              <w:textAlignment w:val="center"/>
              <w:rPr>
                <w:rFonts w:hint="default" w:ascii="Times New Roman" w:hAnsi="Times New Roman" w:eastAsia="仿宋" w:cs="Times New Roman"/>
                <w:color w:val="auto"/>
                <w:kern w:val="0"/>
                <w:sz w:val="24"/>
                <w:szCs w:val="24"/>
                <w:highlight w:val="none"/>
                <w:lang w:val="en-US" w:eastAsia="zh-CN" w:bidi="ar-SA"/>
              </w:rPr>
            </w:pP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14</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标准砝码</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w:t>
            </w:r>
            <w:r>
              <w:rPr>
                <w:rFonts w:hint="eastAsia" w:ascii="Times New Roman" w:hAnsi="Times New Roman" w:eastAsia="仿宋" w:cs="Times New Roman"/>
                <w:color w:val="auto"/>
                <w:kern w:val="0"/>
                <w:sz w:val="24"/>
                <w:szCs w:val="24"/>
                <w:highlight w:val="none"/>
                <w:lang w:val="en-US" w:eastAsia="zh-CN" w:bidi="ar"/>
              </w:rPr>
              <w:t>m</w:t>
            </w:r>
            <w:r>
              <w:rPr>
                <w:rFonts w:hint="default" w:ascii="Times New Roman" w:hAnsi="Times New Roman" w:eastAsia="仿宋" w:cs="Times New Roman"/>
                <w:color w:val="auto"/>
                <w:kern w:val="0"/>
                <w:sz w:val="24"/>
                <w:szCs w:val="24"/>
                <w:highlight w:val="none"/>
                <w:lang w:val="en-US" w:eastAsia="zh-CN" w:bidi="ar"/>
              </w:rPr>
              <w:t>2级要求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15</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转速表</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107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jc w:val="center"/>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
              </w:rPr>
              <w:t>满足GB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3847和GB</w:t>
            </w:r>
            <w:r>
              <w:rPr>
                <w:rFonts w:hint="eastAsia" w:ascii="Times New Roman" w:hAnsi="Times New Roman" w:eastAsia="仿宋" w:cs="Times New Roman"/>
                <w:color w:val="auto"/>
                <w:kern w:val="0"/>
                <w:sz w:val="24"/>
                <w:szCs w:val="24"/>
                <w:highlight w:val="none"/>
                <w:lang w:val="en-US" w:eastAsia="zh-CN" w:bidi="ar"/>
              </w:rPr>
              <w:t xml:space="preserve"> </w:t>
            </w:r>
            <w:r>
              <w:rPr>
                <w:rFonts w:hint="default" w:ascii="Times New Roman" w:hAnsi="Times New Roman" w:eastAsia="仿宋" w:cs="Times New Roman"/>
                <w:color w:val="auto"/>
                <w:kern w:val="0"/>
                <w:sz w:val="24"/>
                <w:szCs w:val="24"/>
                <w:highlight w:val="none"/>
                <w:lang w:val="en-US" w:eastAsia="zh-CN" w:bidi="ar"/>
              </w:rPr>
              <w:t>18285的要求</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54" w:hRule="atLeast"/>
          <w:jc w:val="center"/>
        </w:trPr>
        <w:tc>
          <w:tcPr>
            <w:tcW w:w="9220"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firstLine="236" w:firstLineChars="100"/>
              <w:jc w:val="both"/>
              <w:textAlignment w:val="auto"/>
              <w:rPr>
                <w:rFonts w:hint="eastAsia" w:ascii="方正仿宋_GB2312" w:hAnsi="方正仿宋_GB2312" w:eastAsia="方正仿宋_GB2312" w:cs="方正仿宋_GB2312"/>
                <w:color w:val="auto"/>
                <w:kern w:val="0"/>
                <w:sz w:val="24"/>
                <w:szCs w:val="24"/>
                <w:highlight w:val="none"/>
                <w:lang w:val="en-US" w:eastAsia="zh-CN" w:bidi="ar"/>
              </w:rPr>
            </w:pPr>
            <w:r>
              <w:rPr>
                <w:rFonts w:hint="eastAsia" w:ascii="方正仿宋_GB2312" w:hAnsi="方正仿宋_GB2312" w:eastAsia="方正仿宋_GB2312" w:cs="方正仿宋_GB2312"/>
                <w:color w:val="auto"/>
                <w:kern w:val="0"/>
                <w:sz w:val="24"/>
                <w:szCs w:val="24"/>
                <w:highlight w:val="none"/>
                <w:lang w:val="en-US" w:eastAsia="zh-CN" w:bidi="ar"/>
              </w:rPr>
              <w:t>备注：表中“●”代表必配项、“○”代表选配项</w:t>
            </w:r>
          </w:p>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left="237" w:leftChars="75" w:right="0" w:firstLine="0" w:firstLineChars="0"/>
              <w:jc w:val="both"/>
              <w:textAlignment w:val="auto"/>
              <w:rPr>
                <w:rFonts w:hint="eastAsia" w:ascii="方正仿宋_GB2312" w:hAnsi="方正仿宋_GB2312" w:eastAsia="方正仿宋_GB2312" w:cs="方正仿宋_GB2312"/>
                <w:color w:val="auto"/>
                <w:kern w:val="0"/>
                <w:sz w:val="24"/>
                <w:szCs w:val="24"/>
                <w:highlight w:val="none"/>
                <w:lang w:val="en-US" w:eastAsia="zh-CN" w:bidi="ar"/>
              </w:rPr>
            </w:pPr>
            <w:r>
              <w:rPr>
                <w:rFonts w:hint="eastAsia" w:ascii="方正仿宋_GB2312" w:hAnsi="方正仿宋_GB2312" w:eastAsia="方正仿宋_GB2312" w:cs="方正仿宋_GB2312"/>
                <w:color w:val="auto"/>
                <w:kern w:val="0"/>
                <w:sz w:val="24"/>
                <w:szCs w:val="24"/>
                <w:highlight w:val="none"/>
                <w:lang w:val="en-US" w:eastAsia="zh-CN" w:bidi="ar"/>
              </w:rPr>
              <w:t>注1：汽车排气分析仪具备对应检测方法的氮氧化物分析功能时，可不再单独配备氮氧化物分析仪；</w:t>
            </w:r>
          </w:p>
          <w:p>
            <w:pPr>
              <w:keepNext w:val="0"/>
              <w:keepLines w:val="0"/>
              <w:pageBreakBefore w:val="0"/>
              <w:widowControl w:val="0"/>
              <w:suppressLineNumbers w:val="0"/>
              <w:kinsoku/>
              <w:wordWrap/>
              <w:overflowPunct/>
              <w:topLinePunct w:val="0"/>
              <w:autoSpaceDE/>
              <w:autoSpaceDN/>
              <w:bidi w:val="0"/>
              <w:adjustRightInd w:val="0"/>
              <w:snapToGrid w:val="0"/>
              <w:spacing w:line="400" w:lineRule="exact"/>
              <w:ind w:right="0" w:firstLine="236" w:firstLineChars="100"/>
              <w:jc w:val="both"/>
              <w:textAlignment w:val="auto"/>
              <w:rPr>
                <w:rFonts w:hint="default" w:ascii="Times New Roman" w:hAnsi="Times New Roman" w:eastAsia="仿宋" w:cs="Times New Roman"/>
                <w:color w:val="auto"/>
                <w:sz w:val="24"/>
                <w:szCs w:val="31"/>
                <w:highlight w:val="none"/>
                <w:lang w:val="en-US" w:eastAsia="zh-CN"/>
              </w:rPr>
            </w:pPr>
            <w:r>
              <w:rPr>
                <w:rFonts w:hint="eastAsia" w:ascii="方正仿宋_GB2312" w:hAnsi="方正仿宋_GB2312" w:eastAsia="方正仿宋_GB2312" w:cs="方正仿宋_GB2312"/>
                <w:color w:val="auto"/>
                <w:kern w:val="0"/>
                <w:sz w:val="24"/>
                <w:szCs w:val="24"/>
                <w:highlight w:val="none"/>
                <w:lang w:val="en-US" w:eastAsia="zh-CN" w:bidi="ar"/>
              </w:rPr>
              <w:t>注2：具有零点标准气体时可不配备。</w:t>
            </w:r>
          </w:p>
        </w:tc>
      </w:tr>
    </w:tbl>
    <w:p>
      <w:pPr>
        <w:pStyle w:val="2"/>
        <w:numPr>
          <w:ilvl w:val="0"/>
          <w:numId w:val="5"/>
        </w:numPr>
        <w:ind w:left="0" w:leftChars="0" w:firstLine="632" w:firstLineChars="0"/>
        <w:rPr>
          <w:rFonts w:hint="default" w:ascii="Times New Roman" w:hAnsi="Times New Roman" w:cs="Times New Roman"/>
          <w:b w:val="0"/>
          <w:color w:val="auto"/>
          <w:highlight w:val="none"/>
        </w:rPr>
      </w:pPr>
      <w:bookmarkStart w:id="144" w:name="_Toc23643"/>
      <w:bookmarkStart w:id="145" w:name="_Toc8553"/>
      <w:bookmarkStart w:id="146" w:name="_Toc2870"/>
      <w:bookmarkStart w:id="147" w:name="_Toc12548"/>
      <w:bookmarkStart w:id="148" w:name="_Toc20596"/>
      <w:r>
        <w:rPr>
          <w:rFonts w:hint="default" w:ascii="Times New Roman" w:hAnsi="Times New Roman" w:cs="Times New Roman"/>
          <w:color w:val="auto"/>
          <w:highlight w:val="none"/>
        </w:rPr>
        <w:t>管理体系</w:t>
      </w:r>
      <w:bookmarkEnd w:id="144"/>
      <w:bookmarkEnd w:id="145"/>
      <w:bookmarkEnd w:id="146"/>
      <w:bookmarkEnd w:id="147"/>
      <w:bookmarkEnd w:id="148"/>
    </w:p>
    <w:p>
      <w:pPr>
        <w:ind w:firstLine="632" w:firstLineChars="200"/>
        <w:outlineLvl w:val="1"/>
        <w:rPr>
          <w:rFonts w:hint="default" w:eastAsia="方正仿宋_GB2312"/>
          <w:color w:val="auto"/>
          <w:lang w:val="en-US" w:eastAsia="zh-CN"/>
        </w:rPr>
      </w:pPr>
      <w:bookmarkStart w:id="149" w:name="_Toc5463"/>
      <w:bookmarkStart w:id="150" w:name="_Toc32076"/>
      <w:bookmarkStart w:id="151" w:name="_Toc27312"/>
      <w:r>
        <w:rPr>
          <w:rFonts w:hint="default" w:ascii="Times New Roman" w:hAnsi="Times New Roman" w:cs="Times New Roman"/>
          <w:color w:val="auto"/>
          <w:highlight w:val="none"/>
        </w:rPr>
        <w:t>7.1</w:t>
      </w:r>
      <w:bookmarkEnd w:id="149"/>
      <w:bookmarkStart w:id="152" w:name="_Toc26876"/>
      <w:r>
        <w:rPr>
          <w:rFonts w:hint="eastAsia" w:ascii="Times New Roman" w:hAnsi="Times New Roman" w:cs="Times New Roman"/>
          <w:color w:val="auto"/>
          <w:highlight w:val="none"/>
          <w:lang w:val="en-US" w:eastAsia="zh-CN"/>
        </w:rPr>
        <w:t>相关</w:t>
      </w:r>
      <w:r>
        <w:rPr>
          <w:rFonts w:hint="eastAsia"/>
          <w:color w:val="auto"/>
          <w:lang w:val="en-US" w:eastAsia="zh-CN"/>
        </w:rPr>
        <w:t>要求</w:t>
      </w:r>
      <w:bookmarkEnd w:id="150"/>
      <w:bookmarkEnd w:id="151"/>
      <w:bookmarkEnd w:id="152"/>
    </w:p>
    <w:p>
      <w:pPr>
        <w:pStyle w:val="7"/>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准则》2.12.4*：检验检测机构能正确使用有效的方法开展检验检测活动。检验检测方法包括标准方法和非标准方法，应当优先使用标准方法。使用标准方法前应当进行验证；使用非标准方法前，应当先对方法进行确认，再验证。</w:t>
      </w:r>
    </w:p>
    <w:p>
      <w:pPr>
        <w:pStyle w:val="7"/>
        <w:rPr>
          <w:rFonts w:hint="default" w:ascii="Times New Roman" w:hAnsi="Times New Roman" w:eastAsia="方正仿宋_GB2312" w:cs="Times New Roman"/>
          <w:color w:val="auto"/>
          <w:sz w:val="32"/>
          <w:szCs w:val="20"/>
          <w:highlight w:val="none"/>
        </w:rPr>
      </w:pPr>
      <w:r>
        <w:rPr>
          <w:rFonts w:hint="default" w:ascii="Times New Roman" w:hAnsi="Times New Roman" w:cs="Times New Roman"/>
          <w:b w:val="0"/>
          <w:i w:val="0"/>
          <w:color w:val="auto"/>
          <w:highlight w:val="none"/>
        </w:rPr>
        <w:t>《准则》2.12.</w:t>
      </w:r>
      <w:r>
        <w:rPr>
          <w:rFonts w:hint="default" w:ascii="Times New Roman" w:hAnsi="Times New Roman" w:cs="Times New Roman"/>
          <w:b w:val="0"/>
          <w:i w:val="0"/>
          <w:color w:val="auto"/>
          <w:highlight w:val="none"/>
          <w:lang w:val="en-US" w:eastAsia="zh-CN"/>
        </w:rPr>
        <w:t>9</w:t>
      </w:r>
      <w:r>
        <w:rPr>
          <w:rFonts w:hint="default" w:ascii="Times New Roman" w:hAnsi="Times New Roman" w:cs="Times New Roman"/>
          <w:b w:val="0"/>
          <w:i w:val="0"/>
          <w:color w:val="auto"/>
          <w:highlight w:val="none"/>
          <w:lang w:eastAsia="zh-CN"/>
        </w:rPr>
        <w:t>：</w:t>
      </w:r>
      <w:r>
        <w:rPr>
          <w:rFonts w:hint="default" w:ascii="Times New Roman" w:hAnsi="Times New Roman" w:eastAsia="方正仿宋_GB2312" w:cs="Times New Roman"/>
          <w:color w:val="auto"/>
          <w:sz w:val="32"/>
          <w:szCs w:val="20"/>
          <w:highlight w:val="none"/>
        </w:rPr>
        <w:t>检验检测机构应当实施有效的数据、结果质量控制活动，质量控制活动与检验检测工作相适应。数据、结果质量控制活动包括内部质量控制活动和外部质量控制活动。内部质量控制活动包括但不限于人员比对、设备比对、留样再测、盲样考核等。外部质量控制活动包括但不限于能力验证、实验室间比对等。</w:t>
      </w:r>
    </w:p>
    <w:p>
      <w:pPr>
        <w:pStyle w:val="4"/>
        <w:ind w:firstLine="632" w:firstLineChars="200"/>
        <w:outlineLvl w:val="1"/>
        <w:rPr>
          <w:rFonts w:hint="default" w:ascii="Times New Roman" w:hAnsi="Times New Roman" w:cs="Times New Roman"/>
          <w:color w:val="auto"/>
          <w:highlight w:val="none"/>
        </w:rPr>
      </w:pPr>
      <w:bookmarkStart w:id="153" w:name="_Toc23825"/>
      <w:bookmarkStart w:id="154" w:name="_Toc25949"/>
      <w:bookmarkStart w:id="155" w:name="_Toc12085"/>
      <w:r>
        <w:rPr>
          <w:rFonts w:hint="default" w:ascii="Times New Roman" w:hAnsi="Times New Roman" w:cs="Times New Roman"/>
          <w:color w:val="auto"/>
          <w:highlight w:val="none"/>
        </w:rPr>
        <w:t>7.</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判定指南</w:t>
      </w:r>
      <w:bookmarkEnd w:id="153"/>
      <w:bookmarkEnd w:id="154"/>
      <w:bookmarkEnd w:id="155"/>
    </w:p>
    <w:p>
      <w:pPr>
        <w:pStyle w:val="7"/>
        <w:numPr>
          <w:ilvl w:val="0"/>
          <w:numId w:val="0"/>
        </w:numPr>
        <w:ind w:firstLine="608" w:firstLineChars="0"/>
        <w:rPr>
          <w:rFonts w:hint="eastAsia" w:ascii="Times New Roman" w:hAnsi="Times New Roman" w:cs="Times New Roman"/>
          <w:strike w:val="0"/>
          <w:color w:val="auto"/>
          <w:highlight w:val="none"/>
          <w:lang w:eastAsia="zh-CN"/>
        </w:rPr>
      </w:pPr>
      <w:r>
        <w:rPr>
          <w:rFonts w:hint="default" w:ascii="Times New Roman" w:hAnsi="Times New Roman" w:eastAsia="方正仿宋_GB2312" w:cs="Times New Roman"/>
          <w:b w:val="0"/>
          <w:color w:val="auto"/>
          <w:spacing w:val="-6"/>
          <w:sz w:val="32"/>
          <w:highlight w:val="none"/>
        </w:rPr>
        <w:t>7.</w:t>
      </w:r>
      <w:r>
        <w:rPr>
          <w:rFonts w:hint="eastAsia" w:ascii="Times New Roman" w:hAnsi="Times New Roman" w:cs="Times New Roman"/>
          <w:b w:val="0"/>
          <w:color w:val="auto"/>
          <w:spacing w:val="-6"/>
          <w:sz w:val="32"/>
          <w:highlight w:val="none"/>
          <w:lang w:val="en-US" w:eastAsia="zh-CN"/>
        </w:rPr>
        <w:t>2</w:t>
      </w:r>
      <w:r>
        <w:rPr>
          <w:rFonts w:hint="default" w:ascii="Times New Roman" w:hAnsi="Times New Roman" w:eastAsia="方正仿宋_GB2312" w:cs="Times New Roman"/>
          <w:b w:val="0"/>
          <w:color w:val="auto"/>
          <w:spacing w:val="-6"/>
          <w:sz w:val="32"/>
          <w:highlight w:val="none"/>
        </w:rPr>
        <w:t>.</w:t>
      </w:r>
      <w:r>
        <w:rPr>
          <w:rFonts w:hint="eastAsia" w:ascii="Times New Roman" w:hAnsi="Times New Roman" w:cs="Times New Roman"/>
          <w:b w:val="0"/>
          <w:color w:val="auto"/>
          <w:spacing w:val="-6"/>
          <w:sz w:val="32"/>
          <w:highlight w:val="none"/>
          <w:lang w:val="en-US" w:eastAsia="zh-CN"/>
        </w:rPr>
        <w:t>1</w:t>
      </w:r>
      <w:r>
        <w:rPr>
          <w:rFonts w:hint="eastAsia" w:ascii="Times New Roman" w:hAnsi="Times New Roman" w:cs="Times New Roman"/>
          <w:color w:val="auto"/>
          <w:highlight w:val="none"/>
          <w:lang w:val="en-US" w:eastAsia="zh-CN"/>
        </w:rPr>
        <w:t>检验检测方法定期查新并保留查新记录</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机构建立</w:t>
      </w:r>
      <w:r>
        <w:rPr>
          <w:rFonts w:hint="eastAsia" w:ascii="Times New Roman" w:hAnsi="Times New Roman" w:cs="Times New Roman"/>
          <w:color w:val="auto"/>
          <w:highlight w:val="none"/>
          <w:lang w:val="en-US" w:eastAsia="zh-CN"/>
        </w:rPr>
        <w:t>查新</w:t>
      </w:r>
      <w:r>
        <w:rPr>
          <w:rFonts w:hint="default" w:ascii="Times New Roman" w:hAnsi="Times New Roman" w:cs="Times New Roman"/>
          <w:color w:val="auto"/>
          <w:highlight w:val="none"/>
        </w:rPr>
        <w:t>机制，通过检验检测机构资质认定能力项目库管理平台</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https://cma.caqit.org.cn</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，完成“一单一库”查询工作，核查资质认定事项清单更新公告、本机构涉及检验标准的入库、废止、替代、变更情况及能力库动态调整信息</w:t>
      </w:r>
      <w:r>
        <w:rPr>
          <w:rFonts w:hint="default" w:ascii="Times New Roman" w:hAnsi="Times New Roman" w:cs="Times New Roman"/>
          <w:color w:val="auto"/>
        </w:rPr>
        <w:t>；</w:t>
      </w:r>
      <w:r>
        <w:rPr>
          <w:rFonts w:hint="eastAsia" w:ascii="Times New Roman" w:hAnsi="Times New Roman" w:cs="Times New Roman"/>
          <w:color w:val="auto"/>
          <w:highlight w:val="none"/>
          <w:lang w:val="en-US" w:eastAsia="zh-CN"/>
        </w:rPr>
        <w:t>每月至少查新一次，查新</w:t>
      </w:r>
      <w:r>
        <w:rPr>
          <w:rFonts w:hint="default" w:ascii="Times New Roman" w:hAnsi="Times New Roman" w:cs="Times New Roman"/>
          <w:color w:val="auto"/>
          <w:highlight w:val="none"/>
        </w:rPr>
        <w:t>记录</w:t>
      </w:r>
      <w:r>
        <w:rPr>
          <w:rFonts w:ascii="Times New Roman" w:hAnsi="Times New Roman" w:eastAsia="方正仿宋_GB2312" w:cs="Times New Roman"/>
          <w:color w:val="auto"/>
          <w:sz w:val="32"/>
          <w:szCs w:val="20"/>
          <w:highlight w:val="none"/>
        </w:rPr>
        <w:t>应包含但不限于</w:t>
      </w:r>
      <w:r>
        <w:rPr>
          <w:rFonts w:hint="eastAsia" w:ascii="Times New Roman" w:hAnsi="Times New Roman" w:cs="Times New Roman"/>
          <w:color w:val="auto"/>
          <w:sz w:val="32"/>
          <w:szCs w:val="20"/>
          <w:highlight w:val="none"/>
          <w:lang w:eastAsia="zh-CN"/>
        </w:rPr>
        <w:t>：</w:t>
      </w:r>
      <w:r>
        <w:rPr>
          <w:rFonts w:hint="default" w:ascii="Times New Roman" w:hAnsi="Times New Roman" w:cs="Times New Roman"/>
          <w:color w:val="auto"/>
          <w:highlight w:val="none"/>
        </w:rPr>
        <w:t>查</w:t>
      </w:r>
      <w:r>
        <w:rPr>
          <w:rFonts w:hint="default" w:ascii="Times New Roman" w:hAnsi="Times New Roman" w:cs="Times New Roman"/>
          <w:strike w:val="0"/>
          <w:color w:val="auto"/>
          <w:highlight w:val="none"/>
        </w:rPr>
        <w:t>询时间、更新内容、涉及的检</w:t>
      </w:r>
      <w:r>
        <w:rPr>
          <w:rFonts w:hint="eastAsia" w:ascii="Times New Roman" w:hAnsi="Times New Roman" w:cs="Times New Roman"/>
          <w:strike w:val="0"/>
          <w:color w:val="auto"/>
          <w:highlight w:val="none"/>
          <w:lang w:val="en-US" w:eastAsia="zh-CN"/>
        </w:rPr>
        <w:t>验</w:t>
      </w:r>
      <w:r>
        <w:rPr>
          <w:rFonts w:hint="default" w:ascii="Times New Roman" w:hAnsi="Times New Roman" w:cs="Times New Roman"/>
          <w:strike w:val="0"/>
          <w:color w:val="auto"/>
          <w:highlight w:val="none"/>
        </w:rPr>
        <w:t>标准及项目变动情况</w:t>
      </w:r>
      <w:r>
        <w:rPr>
          <w:rFonts w:hint="eastAsia" w:ascii="Times New Roman" w:hAnsi="Times New Roman" w:cs="Times New Roman"/>
          <w:strike w:val="0"/>
          <w:color w:val="auto"/>
          <w:highlight w:val="none"/>
          <w:lang w:eastAsia="zh-CN"/>
        </w:rPr>
        <w:t>，</w:t>
      </w:r>
      <w:r>
        <w:rPr>
          <w:rFonts w:hint="eastAsia" w:ascii="Times New Roman" w:hAnsi="Times New Roman" w:cs="Times New Roman"/>
          <w:strike w:val="0"/>
          <w:color w:val="auto"/>
          <w:highlight w:val="none"/>
          <w:lang w:val="en-US" w:eastAsia="zh-CN"/>
        </w:rPr>
        <w:t>确保所用方法正确有效</w:t>
      </w:r>
      <w:r>
        <w:rPr>
          <w:rFonts w:hint="eastAsia" w:ascii="Times New Roman" w:hAnsi="Times New Roman" w:cs="Times New Roman"/>
          <w:strike w:val="0"/>
          <w:color w:val="auto"/>
          <w:highlight w:val="none"/>
          <w:lang w:eastAsia="zh-CN"/>
        </w:rPr>
        <w:t>。</w:t>
      </w:r>
    </w:p>
    <w:p>
      <w:pPr>
        <w:pStyle w:val="7"/>
        <w:widowControl/>
        <w:numPr>
          <w:ilvl w:val="0"/>
          <w:numId w:val="0"/>
        </w:numPr>
        <w:ind w:left="0" w:leftChars="0" w:firstLine="608" w:firstLineChars="0"/>
        <w:rPr>
          <w:rFonts w:hint="default" w:ascii="Times New Roman" w:hAnsi="Times New Roman" w:cs="Times New Roman"/>
          <w:b w:val="0"/>
          <w:color w:val="auto"/>
          <w:highlight w:val="none"/>
        </w:rPr>
      </w:pPr>
      <w:r>
        <w:rPr>
          <w:rFonts w:hint="eastAsia" w:ascii="Times New Roman" w:hAnsi="Times New Roman" w:cs="Times New Roman"/>
          <w:strike w:val="0"/>
          <w:color w:val="auto"/>
          <w:highlight w:val="none"/>
          <w:lang w:val="en-US" w:eastAsia="zh-CN"/>
        </w:rPr>
        <w:t>7.2.2</w:t>
      </w:r>
      <w:r>
        <w:rPr>
          <w:rFonts w:ascii="Times New Roman" w:hAnsi="Times New Roman" w:eastAsia="方正仿宋_GB2312" w:cs="Times New Roman"/>
          <w:strike w:val="0"/>
          <w:color w:val="auto"/>
          <w:sz w:val="32"/>
          <w:szCs w:val="20"/>
          <w:highlight w:val="none"/>
        </w:rPr>
        <w:t>机构应</w:t>
      </w:r>
      <w:r>
        <w:rPr>
          <w:rFonts w:hint="default" w:ascii="Times New Roman" w:hAnsi="Times New Roman" w:eastAsia="方正仿宋_GB2312" w:cs="Times New Roman"/>
          <w:strike w:val="0"/>
          <w:color w:val="auto"/>
          <w:sz w:val="32"/>
          <w:szCs w:val="20"/>
          <w:highlight w:val="none"/>
          <w:lang w:val="en-US" w:eastAsia="zh-CN"/>
        </w:rPr>
        <w:t>对照</w:t>
      </w:r>
      <w:r>
        <w:rPr>
          <w:rFonts w:ascii="Times New Roman" w:hAnsi="Times New Roman" w:eastAsia="方正仿宋_GB2312" w:cs="Times New Roman"/>
          <w:strike w:val="0"/>
          <w:color w:val="auto"/>
          <w:sz w:val="32"/>
          <w:szCs w:val="20"/>
          <w:highlight w:val="none"/>
        </w:rPr>
        <w:t>GB</w:t>
      </w:r>
      <w:r>
        <w:rPr>
          <w:rFonts w:hint="eastAsia" w:ascii="Times New Roman" w:hAnsi="Times New Roman" w:cs="Times New Roman"/>
          <w:strike w:val="0"/>
          <w:color w:val="auto"/>
          <w:sz w:val="32"/>
          <w:szCs w:val="20"/>
          <w:highlight w:val="none"/>
          <w:lang w:val="en-US" w:eastAsia="zh-CN"/>
        </w:rPr>
        <w:t xml:space="preserve"> </w:t>
      </w:r>
      <w:r>
        <w:rPr>
          <w:rFonts w:ascii="Times New Roman" w:hAnsi="Times New Roman" w:eastAsia="方正仿宋_GB2312" w:cs="Times New Roman"/>
          <w:strike w:val="0"/>
          <w:color w:val="auto"/>
          <w:sz w:val="32"/>
          <w:szCs w:val="20"/>
          <w:highlight w:val="none"/>
        </w:rPr>
        <w:t>38900、GB</w:t>
      </w:r>
      <w:r>
        <w:rPr>
          <w:rFonts w:hint="eastAsia" w:ascii="Times New Roman" w:hAnsi="Times New Roman" w:cs="Times New Roman"/>
          <w:strike w:val="0"/>
          <w:color w:val="auto"/>
          <w:sz w:val="32"/>
          <w:szCs w:val="20"/>
          <w:highlight w:val="none"/>
          <w:lang w:val="en-US" w:eastAsia="zh-CN"/>
        </w:rPr>
        <w:t xml:space="preserve"> </w:t>
      </w:r>
      <w:r>
        <w:rPr>
          <w:rFonts w:ascii="Times New Roman" w:hAnsi="Times New Roman" w:eastAsia="方正仿宋_GB2312" w:cs="Times New Roman"/>
          <w:strike w:val="0"/>
          <w:color w:val="auto"/>
          <w:sz w:val="32"/>
          <w:szCs w:val="20"/>
          <w:highlight w:val="none"/>
        </w:rPr>
        <w:t>18285、GB</w:t>
      </w:r>
      <w:r>
        <w:rPr>
          <w:rFonts w:hint="eastAsia" w:ascii="Times New Roman" w:hAnsi="Times New Roman" w:cs="Times New Roman"/>
          <w:strike w:val="0"/>
          <w:color w:val="auto"/>
          <w:sz w:val="32"/>
          <w:szCs w:val="20"/>
          <w:highlight w:val="none"/>
          <w:lang w:val="en-US" w:eastAsia="zh-CN"/>
        </w:rPr>
        <w:t xml:space="preserve"> </w:t>
      </w:r>
      <w:r>
        <w:rPr>
          <w:rFonts w:ascii="Times New Roman" w:hAnsi="Times New Roman" w:eastAsia="方正仿宋_GB2312" w:cs="Times New Roman"/>
          <w:strike w:val="0"/>
          <w:color w:val="auto"/>
          <w:sz w:val="32"/>
          <w:szCs w:val="20"/>
          <w:highlight w:val="none"/>
        </w:rPr>
        <w:t>3847标准开展方法验证，</w:t>
      </w:r>
      <w:r>
        <w:rPr>
          <w:rFonts w:hint="eastAsia" w:ascii="Times New Roman" w:hAnsi="Times New Roman" w:cs="Times New Roman"/>
          <w:strike w:val="0"/>
          <w:color w:val="auto"/>
          <w:sz w:val="32"/>
          <w:szCs w:val="20"/>
          <w:highlight w:val="none"/>
          <w:lang w:val="en-US" w:eastAsia="zh-CN"/>
        </w:rPr>
        <w:t>标准</w:t>
      </w:r>
      <w:r>
        <w:rPr>
          <w:rFonts w:ascii="Times New Roman" w:hAnsi="Times New Roman" w:eastAsia="方正仿宋_GB2312" w:cs="Times New Roman"/>
          <w:strike w:val="0"/>
          <w:color w:val="auto"/>
          <w:sz w:val="32"/>
          <w:szCs w:val="20"/>
          <w:highlight w:val="none"/>
        </w:rPr>
        <w:t>方法</w:t>
      </w:r>
      <w:r>
        <w:rPr>
          <w:rFonts w:ascii="Times New Roman" w:hAnsi="Times New Roman" w:eastAsia="方正仿宋_GB2312" w:cs="Times New Roman"/>
          <w:color w:val="auto"/>
          <w:sz w:val="32"/>
          <w:szCs w:val="20"/>
          <w:highlight w:val="none"/>
        </w:rPr>
        <w:t>验证记录应包含但不限于：人员能力评价、场所环境设施条件评价、测量设备及软件适用性评价、检验方法及作业指导书评价、原始记录与检验报告评价等内容</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详见表8</w:t>
      </w:r>
      <w:r>
        <w:rPr>
          <w:rFonts w:hint="eastAsia" w:ascii="Times New Roman" w:hAnsi="Times New Roman" w:cs="Times New Roman"/>
          <w:color w:val="auto"/>
          <w:highlight w:val="none"/>
          <w:lang w:eastAsia="zh-CN"/>
        </w:rPr>
        <w:t>）。</w:t>
      </w:r>
    </w:p>
    <w:p>
      <w:pPr>
        <w:pStyle w:val="30"/>
        <w:numPr>
          <w:ilvl w:val="0"/>
          <w:numId w:val="0"/>
        </w:numPr>
        <w:rPr>
          <w:rFonts w:hint="default" w:ascii="Times New Roman" w:hAnsi="Times New Roman" w:cs="Times New Roman"/>
          <w:b w:val="0"/>
          <w:color w:val="auto"/>
        </w:rPr>
      </w:pPr>
      <w:r>
        <w:rPr>
          <w:rFonts w:hint="default" w:ascii="Times New Roman" w:hAnsi="Times New Roman" w:cs="Times New Roman"/>
          <w:color w:val="auto"/>
          <w:highlight w:val="none"/>
        </w:rPr>
        <w:t>表</w:t>
      </w:r>
      <w:r>
        <w:rPr>
          <w:rFonts w:hint="eastAsia" w:ascii="Times New Roman" w:hAnsi="Times New Roman" w:cs="Times New Roman"/>
          <w:color w:val="auto"/>
          <w:highlight w:val="none"/>
          <w:lang w:val="en-US" w:eastAsia="zh-CN"/>
        </w:rPr>
        <w:t>8：标准方法验证</w:t>
      </w:r>
      <w:r>
        <w:rPr>
          <w:rFonts w:hint="default" w:ascii="Times New Roman" w:hAnsi="Times New Roman" w:cs="Times New Roman"/>
          <w:color w:val="auto"/>
          <w:highlight w:val="none"/>
        </w:rPr>
        <w:t>要求</w:t>
      </w:r>
    </w:p>
    <w:tbl>
      <w:tblPr>
        <w:tblStyle w:val="15"/>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34"/>
        <w:gridCol w:w="68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noWrap w:val="0"/>
            <w:vAlign w:val="top"/>
          </w:tcPr>
          <w:p>
            <w:pPr>
              <w:pStyle w:val="21"/>
              <w:keepNext w:val="0"/>
              <w:keepLines w:val="0"/>
              <w:pageBreakBefore w:val="0"/>
              <w:widowControl w:val="0"/>
              <w:kinsoku/>
              <w:overflowPunct/>
              <w:topLinePunct w:val="0"/>
              <w:bidi w:val="0"/>
              <w:spacing w:line="560" w:lineRule="exact"/>
              <w:ind w:left="0" w:leftChars="0" w:right="0" w:firstLine="0" w:firstLineChars="0"/>
              <w:jc w:val="center"/>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color w:val="auto"/>
                <w:sz w:val="24"/>
                <w:szCs w:val="24"/>
                <w:highlight w:val="none"/>
                <w:lang w:val="en-US" w:eastAsia="zh-CN"/>
              </w:rPr>
              <w:t>验证项目</w:t>
            </w:r>
          </w:p>
        </w:tc>
        <w:tc>
          <w:tcPr>
            <w:tcW w:w="3766" w:type="pct"/>
            <w:noWrap w:val="0"/>
            <w:vAlign w:val="top"/>
          </w:tcPr>
          <w:p>
            <w:pPr>
              <w:pStyle w:val="21"/>
              <w:keepNext w:val="0"/>
              <w:keepLines w:val="0"/>
              <w:pageBreakBefore w:val="0"/>
              <w:widowControl w:val="0"/>
              <w:kinsoku/>
              <w:overflowPunct/>
              <w:topLinePunct w:val="0"/>
              <w:bidi w:val="0"/>
              <w:spacing w:line="560" w:lineRule="exact"/>
              <w:ind w:left="0" w:leftChars="0" w:right="0" w:firstLine="0" w:firstLineChars="0"/>
              <w:jc w:val="center"/>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color w:val="auto"/>
                <w:sz w:val="24"/>
                <w:szCs w:val="24"/>
                <w:highlight w:val="none"/>
                <w:lang w:val="en-US" w:eastAsia="zh-CN"/>
              </w:rPr>
              <w:t>要求及验证记录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restar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kern w:val="0"/>
                <w:sz w:val="24"/>
                <w:szCs w:val="24"/>
              </w:rPr>
              <w:t>对</w:t>
            </w:r>
            <w:r>
              <w:rPr>
                <w:rFonts w:hint="eastAsia" w:ascii="方正仿宋_GB2312" w:hAnsi="方正仿宋_GB2312" w:eastAsia="方正仿宋_GB2312" w:cs="方正仿宋_GB2312"/>
                <w:snapToGrid w:val="0"/>
                <w:color w:val="auto"/>
                <w:kern w:val="0"/>
                <w:sz w:val="24"/>
                <w:szCs w:val="24"/>
                <w:lang w:val="en-US" w:eastAsia="zh-CN"/>
              </w:rPr>
              <w:t>人</w:t>
            </w:r>
            <w:r>
              <w:rPr>
                <w:rFonts w:hint="eastAsia" w:ascii="方正仿宋_GB2312" w:hAnsi="方正仿宋_GB2312" w:eastAsia="方正仿宋_GB2312" w:cs="方正仿宋_GB2312"/>
                <w:snapToGrid w:val="0"/>
                <w:color w:val="auto"/>
                <w:kern w:val="0"/>
                <w:sz w:val="24"/>
                <w:szCs w:val="24"/>
              </w:rPr>
              <w:t>员能力的评价</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kern w:val="0"/>
                <w:sz w:val="24"/>
                <w:szCs w:val="24"/>
              </w:rPr>
              <w:t>检验人员</w:t>
            </w:r>
            <w:r>
              <w:rPr>
                <w:rFonts w:hint="eastAsia" w:ascii="方正仿宋_GB2312" w:hAnsi="方正仿宋_GB2312" w:eastAsia="方正仿宋_GB2312" w:cs="方正仿宋_GB2312"/>
                <w:snapToGrid w:val="0"/>
                <w:color w:val="auto"/>
                <w:kern w:val="0"/>
                <w:sz w:val="24"/>
                <w:szCs w:val="24"/>
                <w:lang w:bidi="ar"/>
              </w:rPr>
              <w:t>具备</w:t>
            </w:r>
            <w:r>
              <w:rPr>
                <w:rFonts w:hint="eastAsia" w:ascii="方正仿宋_GB2312" w:hAnsi="方正仿宋_GB2312" w:eastAsia="方正仿宋_GB2312" w:cs="方正仿宋_GB2312"/>
                <w:snapToGrid w:val="0"/>
                <w:color w:val="auto"/>
                <w:kern w:val="0"/>
                <w:sz w:val="24"/>
                <w:szCs w:val="24"/>
                <w:lang w:val="en-US" w:eastAsia="zh-CN" w:bidi="ar"/>
              </w:rPr>
              <w:t>实操</w:t>
            </w:r>
            <w:r>
              <w:rPr>
                <w:rFonts w:hint="eastAsia" w:ascii="方正仿宋_GB2312" w:hAnsi="方正仿宋_GB2312" w:eastAsia="方正仿宋_GB2312" w:cs="方正仿宋_GB2312"/>
                <w:snapToGrid w:val="0"/>
                <w:color w:val="auto"/>
                <w:kern w:val="0"/>
                <w:sz w:val="24"/>
                <w:szCs w:val="24"/>
                <w:lang w:bidi="ar"/>
              </w:rPr>
              <w:t>检验经验</w:t>
            </w:r>
            <w:r>
              <w:rPr>
                <w:rFonts w:hint="eastAsia" w:ascii="方正仿宋_GB2312" w:hAnsi="方正仿宋_GB2312" w:eastAsia="方正仿宋_GB2312" w:cs="方正仿宋_GB2312"/>
                <w:snapToGrid w:val="0"/>
                <w:color w:val="auto"/>
                <w:kern w:val="0"/>
                <w:sz w:val="24"/>
                <w:szCs w:val="24"/>
                <w:lang w:eastAsia="zh-CN" w:bidi="ar"/>
              </w:rPr>
              <w:t>、</w:t>
            </w:r>
            <w:r>
              <w:rPr>
                <w:rFonts w:hint="eastAsia" w:ascii="方正仿宋_GB2312" w:hAnsi="方正仿宋_GB2312" w:eastAsia="方正仿宋_GB2312" w:cs="方正仿宋_GB2312"/>
                <w:snapToGrid w:val="0"/>
                <w:color w:val="auto"/>
                <w:kern w:val="0"/>
                <w:sz w:val="24"/>
                <w:szCs w:val="24"/>
                <w:lang w:bidi="ar"/>
              </w:rPr>
              <w:t>熟悉方法</w:t>
            </w:r>
            <w:r>
              <w:rPr>
                <w:rFonts w:hint="eastAsia" w:ascii="方正仿宋_GB2312" w:hAnsi="方正仿宋_GB2312" w:eastAsia="方正仿宋_GB2312" w:cs="方正仿宋_GB2312"/>
                <w:snapToGrid w:val="0"/>
                <w:color w:val="auto"/>
                <w:kern w:val="0"/>
                <w:sz w:val="24"/>
                <w:szCs w:val="24"/>
                <w:lang w:val="en-US" w:eastAsia="zh-CN" w:bidi="ar"/>
              </w:rPr>
              <w:t>标准和检验流程。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bidi="ar-SA"/>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kern w:val="0"/>
                <w:sz w:val="24"/>
                <w:szCs w:val="24"/>
                <w:lang w:bidi="ar"/>
              </w:rPr>
              <w:t>对标准方法进行理论培训、实操培训</w:t>
            </w:r>
            <w:r>
              <w:rPr>
                <w:rFonts w:hint="eastAsia" w:ascii="方正仿宋_GB2312" w:hAnsi="方正仿宋_GB2312" w:eastAsia="方正仿宋_GB2312" w:cs="方正仿宋_GB2312"/>
                <w:snapToGrid w:val="0"/>
                <w:color w:val="auto"/>
                <w:kern w:val="0"/>
                <w:sz w:val="24"/>
                <w:szCs w:val="24"/>
                <w:lang w:val="en-US" w:eastAsia="zh-CN" w:bidi="ar"/>
              </w:rPr>
              <w:t>并进行</w:t>
            </w:r>
            <w:r>
              <w:rPr>
                <w:rFonts w:hint="eastAsia" w:ascii="方正仿宋_GB2312" w:hAnsi="方正仿宋_GB2312" w:eastAsia="方正仿宋_GB2312" w:cs="方正仿宋_GB2312"/>
                <w:snapToGrid w:val="0"/>
                <w:color w:val="auto"/>
                <w:kern w:val="0"/>
                <w:sz w:val="24"/>
                <w:szCs w:val="24"/>
                <w:lang w:bidi="ar"/>
              </w:rPr>
              <w:t>人员</w:t>
            </w:r>
            <w:r>
              <w:rPr>
                <w:rFonts w:hint="eastAsia" w:ascii="方正仿宋_GB2312" w:hAnsi="方正仿宋_GB2312" w:eastAsia="方正仿宋_GB2312" w:cs="方正仿宋_GB2312"/>
                <w:snapToGrid w:val="0"/>
                <w:color w:val="auto"/>
                <w:kern w:val="0"/>
                <w:sz w:val="24"/>
                <w:szCs w:val="24"/>
                <w:lang w:val="en-US" w:eastAsia="zh-CN" w:bidi="ar"/>
              </w:rPr>
              <w:t>资格</w:t>
            </w:r>
            <w:r>
              <w:rPr>
                <w:rFonts w:hint="eastAsia" w:ascii="方正仿宋_GB2312" w:hAnsi="方正仿宋_GB2312" w:eastAsia="方正仿宋_GB2312" w:cs="方正仿宋_GB2312"/>
                <w:snapToGrid w:val="0"/>
                <w:color w:val="auto"/>
                <w:kern w:val="0"/>
                <w:sz w:val="24"/>
                <w:szCs w:val="24"/>
                <w:lang w:bidi="ar"/>
              </w:rPr>
              <w:t>能力确认</w:t>
            </w:r>
            <w:r>
              <w:rPr>
                <w:rFonts w:hint="eastAsia" w:ascii="方正仿宋_GB2312" w:hAnsi="方正仿宋_GB2312" w:eastAsia="方正仿宋_GB2312" w:cs="方正仿宋_GB2312"/>
                <w:snapToGrid w:val="0"/>
                <w:color w:val="auto"/>
                <w:kern w:val="0"/>
                <w:sz w:val="24"/>
                <w:szCs w:val="24"/>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472" w:firstLineChars="200"/>
              <w:jc w:val="center"/>
              <w:textAlignment w:val="auto"/>
              <w:rPr>
                <w:rFonts w:hint="eastAsia" w:ascii="方正仿宋_GB2312" w:hAnsi="方正仿宋_GB2312" w:eastAsia="方正仿宋_GB2312" w:cs="方正仿宋_GB2312"/>
                <w:color w:val="auto"/>
                <w:sz w:val="24"/>
                <w:szCs w:val="24"/>
                <w:highlight w:val="none"/>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kern w:val="0"/>
                <w:sz w:val="24"/>
                <w:szCs w:val="24"/>
                <w:lang w:val="en-US" w:eastAsia="zh-CN" w:bidi="ar"/>
              </w:rPr>
              <w:t>人员经过</w:t>
            </w:r>
            <w:r>
              <w:rPr>
                <w:rFonts w:hint="eastAsia" w:ascii="方正仿宋_GB2312" w:hAnsi="方正仿宋_GB2312" w:eastAsia="方正仿宋_GB2312" w:cs="方正仿宋_GB2312"/>
                <w:snapToGrid w:val="0"/>
                <w:color w:val="auto"/>
                <w:kern w:val="0"/>
                <w:sz w:val="24"/>
                <w:szCs w:val="24"/>
                <w:lang w:bidi="ar"/>
              </w:rPr>
              <w:t>授权</w:t>
            </w:r>
            <w:r>
              <w:rPr>
                <w:rFonts w:hint="eastAsia" w:ascii="方正仿宋_GB2312" w:hAnsi="方正仿宋_GB2312" w:eastAsia="方正仿宋_GB2312" w:cs="方正仿宋_GB2312"/>
                <w:snapToGrid w:val="0"/>
                <w:color w:val="auto"/>
                <w:kern w:val="0"/>
                <w:sz w:val="24"/>
                <w:szCs w:val="24"/>
                <w:lang w:val="en-US" w:eastAsia="zh-CN" w:bidi="ar"/>
              </w:rPr>
              <w:t>后</w:t>
            </w:r>
            <w:r>
              <w:rPr>
                <w:rFonts w:hint="eastAsia" w:ascii="方正仿宋_GB2312" w:hAnsi="方正仿宋_GB2312" w:eastAsia="方正仿宋_GB2312" w:cs="方正仿宋_GB2312"/>
                <w:snapToGrid w:val="0"/>
                <w:color w:val="auto"/>
                <w:kern w:val="0"/>
                <w:sz w:val="24"/>
                <w:szCs w:val="24"/>
                <w:lang w:bidi="ar"/>
              </w:rPr>
              <w:t>上岗</w:t>
            </w:r>
            <w:r>
              <w:rPr>
                <w:rFonts w:hint="eastAsia" w:ascii="方正仿宋_GB2312" w:hAnsi="方正仿宋_GB2312" w:eastAsia="方正仿宋_GB2312" w:cs="方正仿宋_GB2312"/>
                <w:snapToGrid w:val="0"/>
                <w:color w:val="auto"/>
                <w:kern w:val="0"/>
                <w:sz w:val="24"/>
                <w:szCs w:val="24"/>
                <w:lang w:eastAsia="zh-CN" w:bidi="ar"/>
              </w:rPr>
              <w:t>，</w:t>
            </w:r>
            <w:r>
              <w:rPr>
                <w:rFonts w:hint="eastAsia" w:ascii="方正仿宋_GB2312" w:hAnsi="方正仿宋_GB2312" w:eastAsia="方正仿宋_GB2312" w:cs="方正仿宋_GB2312"/>
                <w:snapToGrid w:val="0"/>
                <w:color w:val="auto"/>
                <w:kern w:val="0"/>
                <w:sz w:val="24"/>
                <w:szCs w:val="24"/>
                <w:lang w:val="en-US" w:eastAsia="zh-CN" w:bidi="ar"/>
              </w:rPr>
              <w:t>有授权文件。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restar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kern w:val="0"/>
                <w:sz w:val="24"/>
                <w:szCs w:val="24"/>
              </w:rPr>
              <w:t>对场所环境设施条件的评价</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kern w:val="0"/>
                <w:sz w:val="24"/>
                <w:szCs w:val="24"/>
                <w:lang w:bidi="ar"/>
              </w:rPr>
              <w:t>设施配置符合</w:t>
            </w:r>
            <w:r>
              <w:rPr>
                <w:rFonts w:hint="eastAsia" w:ascii="方正仿宋_GB2312" w:hAnsi="方正仿宋_GB2312" w:eastAsia="方正仿宋_GB2312" w:cs="方正仿宋_GB2312"/>
                <w:snapToGrid w:val="0"/>
                <w:color w:val="auto"/>
                <w:kern w:val="0"/>
                <w:sz w:val="24"/>
                <w:szCs w:val="24"/>
                <w:lang w:val="en-US" w:eastAsia="zh-CN" w:bidi="ar"/>
              </w:rPr>
              <w:t>补充</w:t>
            </w:r>
            <w:r>
              <w:rPr>
                <w:rFonts w:hint="eastAsia" w:ascii="方正仿宋_GB2312" w:hAnsi="方正仿宋_GB2312" w:eastAsia="方正仿宋_GB2312" w:cs="方正仿宋_GB2312"/>
                <w:snapToGrid w:val="0"/>
                <w:color w:val="auto"/>
                <w:kern w:val="0"/>
                <w:sz w:val="24"/>
                <w:szCs w:val="24"/>
                <w:lang w:bidi="ar"/>
              </w:rPr>
              <w:t>要求</w:t>
            </w:r>
            <w:r>
              <w:rPr>
                <w:rFonts w:hint="eastAsia" w:ascii="方正仿宋_GB2312" w:hAnsi="方正仿宋_GB2312" w:eastAsia="方正仿宋_GB2312" w:cs="方正仿宋_GB2312"/>
                <w:snapToGrid w:val="0"/>
                <w:color w:val="auto"/>
                <w:kern w:val="0"/>
                <w:sz w:val="24"/>
                <w:szCs w:val="24"/>
                <w:lang w:val="en-US" w:eastAsia="zh-CN" w:bidi="ar"/>
              </w:rPr>
              <w:t>和</w:t>
            </w:r>
            <w:r>
              <w:rPr>
                <w:rFonts w:hint="eastAsia" w:ascii="方正仿宋_GB2312" w:hAnsi="方正仿宋_GB2312" w:eastAsia="方正仿宋_GB2312" w:cs="方正仿宋_GB2312"/>
                <w:snapToGrid w:val="0"/>
                <w:color w:val="auto"/>
                <w:kern w:val="0"/>
                <w:sz w:val="24"/>
                <w:szCs w:val="24"/>
                <w:lang w:bidi="ar"/>
              </w:rPr>
              <w:t>标准方法</w:t>
            </w:r>
            <w:r>
              <w:rPr>
                <w:rFonts w:hint="eastAsia" w:ascii="方正仿宋_GB2312" w:hAnsi="方正仿宋_GB2312" w:eastAsia="方正仿宋_GB2312" w:cs="方正仿宋_GB2312"/>
                <w:snapToGrid w:val="0"/>
                <w:color w:val="auto"/>
                <w:kern w:val="0"/>
                <w:sz w:val="24"/>
                <w:szCs w:val="24"/>
                <w:lang w:val="en-US" w:eastAsia="zh-CN" w:bidi="ar"/>
              </w:rPr>
              <w:t>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472" w:firstLineChars="200"/>
              <w:jc w:val="center"/>
              <w:textAlignment w:val="auto"/>
              <w:rPr>
                <w:rFonts w:hint="eastAsia" w:ascii="方正仿宋_GB2312" w:hAnsi="方正仿宋_GB2312" w:eastAsia="方正仿宋_GB2312" w:cs="方正仿宋_GB2312"/>
                <w:color w:val="auto"/>
                <w:sz w:val="24"/>
                <w:szCs w:val="24"/>
                <w:highlight w:val="none"/>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kern w:val="0"/>
                <w:sz w:val="24"/>
                <w:szCs w:val="24"/>
                <w:lang w:bidi="ar"/>
              </w:rPr>
              <w:t>有效控制环境条件（温度、湿度、阳光、污染、</w:t>
            </w:r>
            <w:r>
              <w:rPr>
                <w:rFonts w:hint="eastAsia" w:ascii="方正仿宋_GB2312" w:hAnsi="方正仿宋_GB2312" w:eastAsia="方正仿宋_GB2312" w:cs="方正仿宋_GB2312"/>
                <w:snapToGrid w:val="0"/>
                <w:color w:val="auto"/>
                <w:kern w:val="0"/>
                <w:sz w:val="24"/>
                <w:szCs w:val="24"/>
                <w:lang w:eastAsia="zh-CN" w:bidi="ar"/>
              </w:rPr>
              <w:t>噪声</w:t>
            </w:r>
            <w:r>
              <w:rPr>
                <w:rFonts w:hint="eastAsia" w:ascii="方正仿宋_GB2312" w:hAnsi="方正仿宋_GB2312" w:eastAsia="方正仿宋_GB2312" w:cs="方正仿宋_GB2312"/>
                <w:snapToGrid w:val="0"/>
                <w:color w:val="auto"/>
                <w:kern w:val="0"/>
                <w:sz w:val="24"/>
                <w:szCs w:val="24"/>
                <w:lang w:bidi="ar"/>
              </w:rPr>
              <w:t>等）并记录</w:t>
            </w:r>
            <w:r>
              <w:rPr>
                <w:rFonts w:hint="eastAsia" w:ascii="方正仿宋_GB2312" w:hAnsi="方正仿宋_GB2312" w:eastAsia="方正仿宋_GB2312" w:cs="方正仿宋_GB2312"/>
                <w:snapToGrid w:val="0"/>
                <w:color w:val="auto"/>
                <w:kern w:val="0"/>
                <w:sz w:val="24"/>
                <w:szCs w:val="24"/>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472" w:firstLineChars="200"/>
              <w:jc w:val="center"/>
              <w:textAlignment w:val="auto"/>
              <w:rPr>
                <w:rFonts w:hint="eastAsia" w:ascii="方正仿宋_GB2312" w:hAnsi="方正仿宋_GB2312" w:eastAsia="方正仿宋_GB2312" w:cs="方正仿宋_GB2312"/>
                <w:color w:val="auto"/>
                <w:sz w:val="24"/>
                <w:szCs w:val="24"/>
                <w:highlight w:val="none"/>
              </w:rPr>
            </w:pPr>
          </w:p>
        </w:tc>
        <w:tc>
          <w:tcPr>
            <w:tcW w:w="3766" w:type="pct"/>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kern w:val="0"/>
                <w:sz w:val="24"/>
                <w:szCs w:val="24"/>
                <w:lang w:bidi="ar"/>
              </w:rPr>
              <w:t>识别危险因素，配备安全防护设施和用品。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restar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sz w:val="24"/>
                <w:szCs w:val="24"/>
              </w:rPr>
              <w:t>对测量设备</w:t>
            </w:r>
            <w:r>
              <w:rPr>
                <w:rFonts w:hint="eastAsia" w:ascii="方正仿宋_GB2312" w:hAnsi="方正仿宋_GB2312" w:eastAsia="方正仿宋_GB2312" w:cs="方正仿宋_GB2312"/>
                <w:snapToGrid w:val="0"/>
                <w:color w:val="auto"/>
                <w:sz w:val="24"/>
                <w:szCs w:val="24"/>
                <w:lang w:val="en-US" w:eastAsia="zh-CN"/>
              </w:rPr>
              <w:t>及软件</w:t>
            </w:r>
            <w:r>
              <w:rPr>
                <w:rFonts w:hint="eastAsia" w:ascii="方正仿宋_GB2312" w:hAnsi="方正仿宋_GB2312" w:eastAsia="方正仿宋_GB2312" w:cs="方正仿宋_GB2312"/>
                <w:snapToGrid w:val="0"/>
                <w:color w:val="auto"/>
                <w:sz w:val="24"/>
                <w:szCs w:val="24"/>
              </w:rPr>
              <w:t>适用性的评价</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kern w:val="0"/>
                <w:sz w:val="24"/>
                <w:szCs w:val="24"/>
                <w:lang w:bidi="ar"/>
              </w:rPr>
              <w:t>设备和辅助设备</w:t>
            </w:r>
            <w:r>
              <w:rPr>
                <w:rFonts w:hint="eastAsia" w:ascii="方正仿宋_GB2312" w:hAnsi="方正仿宋_GB2312" w:eastAsia="方正仿宋_GB2312" w:cs="方正仿宋_GB2312"/>
                <w:snapToGrid w:val="0"/>
                <w:color w:val="auto"/>
                <w:kern w:val="0"/>
                <w:sz w:val="24"/>
                <w:szCs w:val="24"/>
                <w:lang w:val="en-US" w:eastAsia="zh-CN" w:bidi="ar"/>
              </w:rPr>
              <w:t>配备齐全、</w:t>
            </w:r>
            <w:r>
              <w:rPr>
                <w:rFonts w:hint="eastAsia" w:ascii="方正仿宋_GB2312" w:hAnsi="方正仿宋_GB2312" w:eastAsia="方正仿宋_GB2312" w:cs="方正仿宋_GB2312"/>
                <w:snapToGrid w:val="0"/>
                <w:color w:val="auto"/>
                <w:kern w:val="0"/>
                <w:sz w:val="24"/>
                <w:szCs w:val="24"/>
                <w:lang w:bidi="ar"/>
              </w:rPr>
              <w:t>正常运行。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snapToGrid w:val="0"/>
                <w:color w:val="auto"/>
                <w:sz w:val="24"/>
                <w:szCs w:val="24"/>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snapToGrid w:val="0"/>
                <w:color w:val="auto"/>
                <w:kern w:val="0"/>
                <w:sz w:val="24"/>
                <w:szCs w:val="24"/>
                <w:lang w:val="en-US" w:eastAsia="zh-CN" w:bidi="ar"/>
              </w:rPr>
            </w:pPr>
            <w:r>
              <w:rPr>
                <w:rFonts w:hint="eastAsia" w:ascii="方正仿宋_GB2312" w:hAnsi="方正仿宋_GB2312" w:eastAsia="方正仿宋_GB2312" w:cs="方正仿宋_GB2312"/>
                <w:snapToGrid w:val="0"/>
                <w:color w:val="auto"/>
                <w:kern w:val="0"/>
                <w:sz w:val="24"/>
                <w:szCs w:val="24"/>
                <w:lang w:bidi="ar"/>
              </w:rPr>
              <w:t>设备在</w:t>
            </w:r>
            <w:r>
              <w:rPr>
                <w:rFonts w:hint="eastAsia" w:ascii="方正仿宋_GB2312" w:hAnsi="方正仿宋_GB2312" w:eastAsia="方正仿宋_GB2312" w:cs="方正仿宋_GB2312"/>
                <w:snapToGrid w:val="0"/>
                <w:color w:val="auto"/>
                <w:kern w:val="0"/>
                <w:sz w:val="24"/>
                <w:szCs w:val="24"/>
                <w:shd w:val="clear" w:color="auto" w:fill="auto"/>
                <w:lang w:eastAsia="zh-CN" w:bidi="ar"/>
              </w:rPr>
              <w:t>检定校准</w:t>
            </w:r>
            <w:r>
              <w:rPr>
                <w:rFonts w:hint="eastAsia" w:ascii="方正仿宋_GB2312" w:hAnsi="方正仿宋_GB2312" w:eastAsia="方正仿宋_GB2312" w:cs="方正仿宋_GB2312"/>
                <w:snapToGrid w:val="0"/>
                <w:color w:val="auto"/>
                <w:kern w:val="0"/>
                <w:sz w:val="24"/>
                <w:szCs w:val="24"/>
                <w:lang w:bidi="ar"/>
              </w:rPr>
              <w:t>或核查的周期内，经确认满足计量溯源性要求</w:t>
            </w:r>
            <w:r>
              <w:rPr>
                <w:rFonts w:hint="eastAsia" w:ascii="方正仿宋_GB2312" w:hAnsi="方正仿宋_GB2312" w:eastAsia="方正仿宋_GB2312" w:cs="方正仿宋_GB2312"/>
                <w:snapToGrid w:val="0"/>
                <w:color w:val="auto"/>
                <w:kern w:val="0"/>
                <w:sz w:val="24"/>
                <w:szCs w:val="24"/>
                <w:lang w:val="en-US" w:eastAsia="zh-CN" w:bidi="ar"/>
              </w:rPr>
              <w:t>并记录。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snapToGrid w:val="0"/>
                <w:color w:val="auto"/>
                <w:sz w:val="24"/>
                <w:szCs w:val="24"/>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snapToGrid w:val="0"/>
                <w:color w:val="auto"/>
                <w:kern w:val="0"/>
                <w:sz w:val="24"/>
                <w:szCs w:val="24"/>
                <w:lang w:eastAsia="zh-CN" w:bidi="ar"/>
              </w:rPr>
            </w:pPr>
            <w:r>
              <w:rPr>
                <w:rFonts w:hint="eastAsia" w:ascii="方正仿宋_GB2312" w:hAnsi="方正仿宋_GB2312" w:eastAsia="方正仿宋_GB2312" w:cs="方正仿宋_GB2312"/>
                <w:snapToGrid w:val="0"/>
                <w:color w:val="auto"/>
                <w:sz w:val="24"/>
                <w:szCs w:val="24"/>
                <w:lang w:eastAsia="zh-CN"/>
              </w:rPr>
              <w:t>自动化软件</w:t>
            </w:r>
            <w:r>
              <w:rPr>
                <w:rFonts w:hint="eastAsia" w:ascii="方正仿宋_GB2312" w:hAnsi="方正仿宋_GB2312" w:eastAsia="方正仿宋_GB2312" w:cs="方正仿宋_GB2312"/>
                <w:snapToGrid w:val="0"/>
                <w:color w:val="auto"/>
                <w:sz w:val="24"/>
                <w:szCs w:val="24"/>
              </w:rPr>
              <w:t>经</w:t>
            </w:r>
            <w:r>
              <w:rPr>
                <w:rFonts w:hint="eastAsia" w:ascii="方正仿宋_GB2312" w:hAnsi="方正仿宋_GB2312" w:eastAsia="方正仿宋_GB2312" w:cs="方正仿宋_GB2312"/>
                <w:snapToGrid w:val="0"/>
                <w:color w:val="auto"/>
                <w:sz w:val="24"/>
                <w:szCs w:val="24"/>
                <w:lang w:val="en-US" w:eastAsia="zh-CN"/>
              </w:rPr>
              <w:t>验证、</w:t>
            </w:r>
            <w:r>
              <w:rPr>
                <w:rFonts w:hint="eastAsia" w:ascii="方正仿宋_GB2312" w:hAnsi="方正仿宋_GB2312" w:eastAsia="方正仿宋_GB2312" w:cs="方正仿宋_GB2312"/>
                <w:snapToGrid w:val="0"/>
                <w:color w:val="auto"/>
                <w:sz w:val="24"/>
                <w:szCs w:val="24"/>
              </w:rPr>
              <w:t>确认符合要求</w:t>
            </w:r>
            <w:r>
              <w:rPr>
                <w:rFonts w:hint="eastAsia" w:ascii="方正仿宋_GB2312" w:hAnsi="方正仿宋_GB2312" w:eastAsia="方正仿宋_GB2312" w:cs="方正仿宋_GB2312"/>
                <w:snapToGrid w:val="0"/>
                <w:color w:val="auto"/>
                <w:kern w:val="0"/>
                <w:sz w:val="24"/>
                <w:szCs w:val="24"/>
                <w:lang w:eastAsia="zh-CN" w:bidi="ar"/>
              </w:rPr>
              <w:t>（</w:t>
            </w:r>
            <w:r>
              <w:rPr>
                <w:rFonts w:hint="eastAsia" w:ascii="方正仿宋_GB2312" w:hAnsi="方正仿宋_GB2312" w:eastAsia="方正仿宋_GB2312" w:cs="方正仿宋_GB2312"/>
                <w:snapToGrid w:val="0"/>
                <w:color w:val="auto"/>
                <w:kern w:val="0"/>
                <w:sz w:val="24"/>
                <w:szCs w:val="24"/>
                <w:lang w:val="en-US" w:eastAsia="zh-CN" w:bidi="ar"/>
              </w:rPr>
              <w:t>详见表6</w:t>
            </w:r>
            <w:r>
              <w:rPr>
                <w:rFonts w:hint="eastAsia" w:ascii="方正仿宋_GB2312" w:hAnsi="方正仿宋_GB2312" w:eastAsia="方正仿宋_GB2312" w:cs="方正仿宋_GB2312"/>
                <w:snapToGrid w:val="0"/>
                <w:color w:val="auto"/>
                <w:kern w:val="0"/>
                <w:sz w:val="24"/>
                <w:szCs w:val="24"/>
                <w:lang w:eastAsia="zh-CN" w:bidi="ar"/>
              </w:rPr>
              <w:t>）</w:t>
            </w:r>
            <w:r>
              <w:rPr>
                <w:rFonts w:hint="eastAsia" w:ascii="方正仿宋_GB2312" w:hAnsi="方正仿宋_GB2312" w:eastAsia="方正仿宋_GB2312" w:cs="方正仿宋_GB2312"/>
                <w:snapToGrid w:val="0"/>
                <w:color w:val="auto"/>
                <w:kern w:val="0"/>
                <w:sz w:val="24"/>
                <w:szCs w:val="24"/>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snapToGrid w:val="0"/>
                <w:color w:val="auto"/>
                <w:sz w:val="24"/>
                <w:szCs w:val="24"/>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snapToGrid w:val="0"/>
                <w:color w:val="auto"/>
                <w:kern w:val="0"/>
                <w:sz w:val="24"/>
                <w:szCs w:val="24"/>
                <w:lang w:bidi="ar"/>
              </w:rPr>
            </w:pPr>
            <w:r>
              <w:rPr>
                <w:rFonts w:hint="eastAsia" w:ascii="方正仿宋_GB2312" w:hAnsi="方正仿宋_GB2312" w:eastAsia="方正仿宋_GB2312" w:cs="方正仿宋_GB2312"/>
                <w:snapToGrid w:val="0"/>
                <w:color w:val="auto"/>
                <w:kern w:val="0"/>
                <w:sz w:val="24"/>
                <w:szCs w:val="24"/>
                <w:lang w:bidi="ar"/>
              </w:rPr>
              <w:t>标准物质</w:t>
            </w:r>
            <w:r>
              <w:rPr>
                <w:rFonts w:hint="eastAsia" w:ascii="方正仿宋_GB2312" w:hAnsi="方正仿宋_GB2312" w:eastAsia="方正仿宋_GB2312" w:cs="方正仿宋_GB2312"/>
                <w:snapToGrid w:val="0"/>
                <w:color w:val="auto"/>
                <w:kern w:val="0"/>
                <w:sz w:val="24"/>
                <w:szCs w:val="24"/>
                <w:lang w:val="en-US" w:eastAsia="zh-CN" w:bidi="ar"/>
              </w:rPr>
              <w:t>特性、范围及不确定度</w:t>
            </w:r>
            <w:r>
              <w:rPr>
                <w:rFonts w:hint="eastAsia" w:ascii="方正仿宋_GB2312" w:hAnsi="方正仿宋_GB2312" w:eastAsia="方正仿宋_GB2312" w:cs="方正仿宋_GB2312"/>
                <w:snapToGrid w:val="0"/>
                <w:color w:val="auto"/>
                <w:kern w:val="0"/>
                <w:sz w:val="24"/>
                <w:szCs w:val="24"/>
                <w:lang w:bidi="ar"/>
              </w:rPr>
              <w:t>符合标准方法要求。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1233" w:type="pct"/>
            <w:vMerge w:val="restar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snapToGrid w:val="0"/>
                <w:color w:val="auto"/>
                <w:sz w:val="24"/>
                <w:szCs w:val="24"/>
              </w:rPr>
              <w:t>对检验方法及作业指导书的评价</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snapToGrid w:val="0"/>
                <w:color w:val="auto"/>
                <w:kern w:val="0"/>
                <w:sz w:val="24"/>
                <w:szCs w:val="24"/>
                <w:lang w:bidi="ar"/>
              </w:rPr>
              <w:t>有标准方法的正式文本</w:t>
            </w:r>
            <w:r>
              <w:rPr>
                <w:rFonts w:hint="eastAsia" w:ascii="方正仿宋_GB2312" w:hAnsi="方正仿宋_GB2312" w:eastAsia="方正仿宋_GB2312" w:cs="方正仿宋_GB2312"/>
                <w:snapToGrid w:val="0"/>
                <w:color w:val="auto"/>
                <w:kern w:val="0"/>
                <w:sz w:val="24"/>
                <w:szCs w:val="24"/>
                <w:lang w:val="en-US" w:eastAsia="zh-CN" w:bidi="ar"/>
              </w:rPr>
              <w:t>并受控</w:t>
            </w:r>
            <w:r>
              <w:rPr>
                <w:rFonts w:hint="eastAsia" w:ascii="方正仿宋_GB2312" w:hAnsi="方正仿宋_GB2312" w:eastAsia="方正仿宋_GB2312" w:cs="方正仿宋_GB2312"/>
                <w:snapToGrid w:val="0"/>
                <w:color w:val="auto"/>
                <w:kern w:val="0"/>
                <w:sz w:val="24"/>
                <w:szCs w:val="24"/>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snapToGrid w:val="0"/>
                <w:color w:val="auto"/>
                <w:kern w:val="0"/>
                <w:sz w:val="24"/>
                <w:szCs w:val="24"/>
                <w:lang w:bidi="ar"/>
              </w:rPr>
              <w:t>必要时，编写作业指导书。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restar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snapToGrid w:val="0"/>
                <w:color w:val="auto"/>
                <w:sz w:val="24"/>
                <w:szCs w:val="24"/>
              </w:rPr>
              <w:t>对原始记录和检验报告的评价</w:t>
            </w: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bidi="ar-SA"/>
              </w:rPr>
            </w:pPr>
            <w:r>
              <w:rPr>
                <w:rFonts w:hint="eastAsia" w:ascii="方正仿宋_GB2312" w:hAnsi="方正仿宋_GB2312" w:eastAsia="方正仿宋_GB2312" w:cs="方正仿宋_GB2312"/>
                <w:snapToGrid w:val="0"/>
                <w:color w:val="auto"/>
                <w:kern w:val="0"/>
                <w:sz w:val="24"/>
                <w:szCs w:val="24"/>
                <w:lang w:bidi="ar"/>
              </w:rPr>
              <w:t>原始记录应表格化，信息充分。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snapToGrid w:val="0"/>
                <w:color w:val="auto"/>
                <w:kern w:val="0"/>
                <w:sz w:val="24"/>
                <w:szCs w:val="24"/>
                <w:lang w:bidi="ar"/>
              </w:rPr>
              <w:t>原始记录信息能有效支撑出具的检验报告内容。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snapToGrid w:val="0"/>
                <w:color w:val="auto"/>
                <w:kern w:val="0"/>
                <w:sz w:val="24"/>
                <w:szCs w:val="24"/>
                <w:lang w:bidi="ar"/>
              </w:rPr>
              <w:t>检验报告基本信息格式固定，信息齐全，结论明确清晰，易于理解。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33" w:type="pct"/>
            <w:vMerge w:val="continue"/>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rPr>
            </w:pPr>
          </w:p>
        </w:tc>
        <w:tc>
          <w:tcPr>
            <w:tcW w:w="3766" w:type="pct"/>
            <w:noWrap w:val="0"/>
            <w:vAlign w:val="center"/>
          </w:tcPr>
          <w:p>
            <w:pPr>
              <w:pStyle w:val="21"/>
              <w:keepNext w:val="0"/>
              <w:keepLines w:val="0"/>
              <w:pageBreakBefore w:val="0"/>
              <w:widowControl w:val="0"/>
              <w:kinsoku/>
              <w:wordWrap/>
              <w:overflowPunct/>
              <w:topLinePunct w:val="0"/>
              <w:autoSpaceDE w:val="0"/>
              <w:autoSpaceDN w:val="0"/>
              <w:bidi w:val="0"/>
              <w:adjustRightInd/>
              <w:snapToGrid/>
              <w:spacing w:line="400" w:lineRule="exact"/>
              <w:ind w:left="0" w:leftChars="0" w:right="0" w:firstLine="0" w:firstLineChars="0"/>
              <w:jc w:val="left"/>
              <w:textAlignment w:val="auto"/>
              <w:rPr>
                <w:rFonts w:hint="eastAsia" w:ascii="方正仿宋_GB2312" w:hAnsi="方正仿宋_GB2312" w:eastAsia="方正仿宋_GB2312" w:cs="方正仿宋_GB2312"/>
                <w:snapToGrid w:val="0"/>
                <w:color w:val="auto"/>
                <w:kern w:val="0"/>
                <w:sz w:val="24"/>
                <w:szCs w:val="24"/>
                <w:highlight w:val="none"/>
                <w:lang w:bidi="ar"/>
              </w:rPr>
            </w:pPr>
            <w:r>
              <w:rPr>
                <w:rFonts w:hint="eastAsia" w:ascii="方正仿宋_GB2312" w:hAnsi="方正仿宋_GB2312" w:eastAsia="方正仿宋_GB2312" w:cs="方正仿宋_GB2312"/>
                <w:snapToGrid w:val="0"/>
                <w:color w:val="auto"/>
                <w:sz w:val="24"/>
                <w:szCs w:val="24"/>
                <w:highlight w:val="none"/>
              </w:rPr>
              <w:t>按标准要求出具完整的模拟检验报告。</w:t>
            </w:r>
          </w:p>
        </w:tc>
      </w:tr>
    </w:tbl>
    <w:p>
      <w:pPr>
        <w:pStyle w:val="7"/>
        <w:keepNext w:val="0"/>
        <w:keepLines w:val="0"/>
        <w:pageBreakBefore w:val="0"/>
        <w:widowControl w:val="0"/>
        <w:kinsoku/>
        <w:overflowPunct/>
        <w:topLinePunct w:val="0"/>
        <w:bidi w:val="0"/>
        <w:spacing w:before="0" w:beforeLines="0" w:after="0" w:afterLines="0" w:line="560" w:lineRule="exact"/>
        <w:ind w:right="0" w:rightChars="0"/>
        <w:outlineLvl w:val="9"/>
        <w:rPr>
          <w:rFonts w:hint="default" w:ascii="Times New Roman" w:hAnsi="Times New Roman" w:eastAsia="方正仿宋_GB2312" w:cs="Times New Roman"/>
          <w:color w:val="auto"/>
          <w:spacing w:val="-6"/>
          <w:sz w:val="32"/>
          <w:szCs w:val="21"/>
          <w:highlight w:val="none"/>
          <w:lang w:eastAsia="zh-CN"/>
        </w:rPr>
      </w:pPr>
      <w:r>
        <w:rPr>
          <w:rFonts w:hint="default" w:ascii="Times New Roman" w:hAnsi="Times New Roman" w:eastAsia="方正仿宋_GB2312" w:cs="Times New Roman"/>
          <w:b w:val="0"/>
          <w:color w:val="auto"/>
          <w:spacing w:val="-6"/>
          <w:sz w:val="32"/>
          <w:highlight w:val="none"/>
        </w:rPr>
        <w:t>7.</w:t>
      </w:r>
      <w:r>
        <w:rPr>
          <w:rFonts w:hint="eastAsia" w:ascii="Times New Roman" w:hAnsi="Times New Roman" w:cs="Times New Roman"/>
          <w:b w:val="0"/>
          <w:color w:val="auto"/>
          <w:spacing w:val="-6"/>
          <w:sz w:val="32"/>
          <w:highlight w:val="none"/>
          <w:lang w:val="en-US" w:eastAsia="zh-CN"/>
        </w:rPr>
        <w:t>2</w:t>
      </w:r>
      <w:r>
        <w:rPr>
          <w:rFonts w:hint="default" w:ascii="Times New Roman" w:hAnsi="Times New Roman" w:eastAsia="方正仿宋_GB2312" w:cs="Times New Roman"/>
          <w:b w:val="0"/>
          <w:color w:val="auto"/>
          <w:spacing w:val="-6"/>
          <w:sz w:val="32"/>
          <w:highlight w:val="none"/>
        </w:rPr>
        <w:t>.</w:t>
      </w:r>
      <w:r>
        <w:rPr>
          <w:rFonts w:hint="eastAsia" w:ascii="Times New Roman" w:hAnsi="Times New Roman" w:cs="Times New Roman"/>
          <w:b w:val="0"/>
          <w:color w:val="auto"/>
          <w:spacing w:val="-6"/>
          <w:sz w:val="32"/>
          <w:highlight w:val="none"/>
          <w:lang w:val="en-US" w:eastAsia="zh-CN"/>
        </w:rPr>
        <w:t>3</w:t>
      </w:r>
      <w:r>
        <w:rPr>
          <w:rFonts w:ascii="Times New Roman" w:hAnsi="Times New Roman" w:eastAsia="方正仿宋_GB2312" w:cs="Times New Roman"/>
          <w:color w:val="auto"/>
          <w:spacing w:val="-6"/>
          <w:sz w:val="32"/>
          <w:szCs w:val="21"/>
          <w:highlight w:val="none"/>
        </w:rPr>
        <w:t>取证周期内，机构</w:t>
      </w:r>
      <w:r>
        <w:rPr>
          <w:rFonts w:hint="default" w:ascii="Times New Roman" w:hAnsi="Times New Roman" w:eastAsia="方正仿宋_GB2312" w:cs="Times New Roman"/>
          <w:color w:val="auto"/>
          <w:spacing w:val="-6"/>
          <w:sz w:val="32"/>
          <w:szCs w:val="21"/>
          <w:highlight w:val="none"/>
          <w:lang w:val="en-US" w:eastAsia="zh-CN"/>
        </w:rPr>
        <w:t>实施</w:t>
      </w:r>
      <w:r>
        <w:rPr>
          <w:rFonts w:ascii="Times New Roman" w:hAnsi="Times New Roman" w:eastAsia="方正仿宋_GB2312" w:cs="Times New Roman"/>
          <w:color w:val="auto"/>
          <w:spacing w:val="-6"/>
          <w:sz w:val="32"/>
          <w:szCs w:val="21"/>
          <w:highlight w:val="none"/>
        </w:rPr>
        <w:t>的数据与结果质量控制活动应覆盖全部承检车型及检测线。机动车安全性能检验每年至少开展</w:t>
      </w:r>
      <w:r>
        <w:rPr>
          <w:rFonts w:hint="default" w:ascii="Times New Roman" w:hAnsi="Times New Roman" w:eastAsia="方正仿宋_GB2312" w:cs="Times New Roman"/>
          <w:color w:val="auto"/>
          <w:spacing w:val="-6"/>
          <w:sz w:val="32"/>
          <w:szCs w:val="21"/>
          <w:highlight w:val="none"/>
          <w:lang w:val="en-US" w:eastAsia="zh-CN"/>
        </w:rPr>
        <w:t>一</w:t>
      </w:r>
      <w:r>
        <w:rPr>
          <w:rFonts w:ascii="Times New Roman" w:hAnsi="Times New Roman" w:eastAsia="方正仿宋_GB2312" w:cs="Times New Roman"/>
          <w:color w:val="auto"/>
          <w:spacing w:val="-6"/>
          <w:sz w:val="32"/>
          <w:szCs w:val="21"/>
          <w:highlight w:val="none"/>
        </w:rPr>
        <w:t>次</w:t>
      </w:r>
      <w:r>
        <w:rPr>
          <w:rFonts w:hint="default" w:ascii="Times New Roman" w:hAnsi="Times New Roman" w:eastAsia="方正仿宋_GB2312" w:cs="Times New Roman"/>
          <w:color w:val="auto"/>
          <w:spacing w:val="-6"/>
          <w:sz w:val="32"/>
          <w:szCs w:val="21"/>
          <w:highlight w:val="none"/>
          <w:lang w:val="en-US" w:eastAsia="zh-CN"/>
        </w:rPr>
        <w:t>机构间</w:t>
      </w:r>
      <w:r>
        <w:rPr>
          <w:rFonts w:ascii="Times New Roman" w:hAnsi="Times New Roman" w:eastAsia="方正仿宋_GB2312" w:cs="Times New Roman"/>
          <w:color w:val="auto"/>
          <w:spacing w:val="-6"/>
          <w:sz w:val="32"/>
          <w:szCs w:val="21"/>
          <w:highlight w:val="none"/>
        </w:rPr>
        <w:t>比对；污染物排放检验每半年至少开展</w:t>
      </w:r>
      <w:r>
        <w:rPr>
          <w:rFonts w:hint="eastAsia" w:ascii="Times New Roman" w:eastAsia="方正仿宋_GB2312" w:cs="Times New Roman"/>
          <w:color w:val="auto"/>
          <w:spacing w:val="-6"/>
          <w:sz w:val="32"/>
          <w:szCs w:val="21"/>
          <w:highlight w:val="none"/>
          <w:lang w:eastAsia="zh-CN"/>
        </w:rPr>
        <w:t>一</w:t>
      </w:r>
      <w:r>
        <w:rPr>
          <w:rFonts w:ascii="Times New Roman" w:hAnsi="Times New Roman" w:eastAsia="方正仿宋_GB2312" w:cs="Times New Roman"/>
          <w:color w:val="auto"/>
          <w:spacing w:val="-6"/>
          <w:sz w:val="32"/>
          <w:szCs w:val="21"/>
          <w:highlight w:val="none"/>
        </w:rPr>
        <w:t>次机构间比对。</w:t>
      </w:r>
    </w:p>
    <w:sectPr>
      <w:footerReference r:id="rId5" w:type="default"/>
      <w:footerReference r:id="rId6" w:type="even"/>
      <w:pgSz w:w="11906" w:h="16838"/>
      <w:pgMar w:top="1962" w:right="1474" w:bottom="1848" w:left="1587" w:header="851" w:footer="1049" w:gutter="0"/>
      <w:pgBorders>
        <w:top w:val="none" w:sz="0" w:space="0"/>
        <w:left w:val="none" w:sz="0" w:space="0"/>
        <w:bottom w:val="none" w:sz="0" w:space="0"/>
        <w:right w:val="none" w:sz="0" w:space="0"/>
      </w:pgBorders>
      <w:pgNumType w:fmt="decimal"/>
      <w:cols w:space="425" w:num="1"/>
      <w:rtlGutter w:val="0"/>
      <w:docGrid w:type="linesAndChars" w:linePitch="592"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楷体_GB2312">
    <w:altName w:val="楷体"/>
    <w:panose1 w:val="02000000000000000000"/>
    <w:charset w:val="86"/>
    <w:family w:val="auto"/>
    <w:pitch w:val="default"/>
    <w:sig w:usb0="00000000" w:usb1="00000000"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wordWrap w:val="0"/>
      <w:spacing w:line="473" w:lineRule="auto"/>
      <w:ind w:right="320" w:rightChars="100"/>
      <w:jc w:val="right"/>
      <w:rPr>
        <w:rFonts w:hint="eastAsia" w:ascii="方正楷体_GB2312" w:eastAsia="方正楷体_GB2312"/>
        <w:sz w:val="28"/>
      </w:rPr>
    </w:pPr>
    <w:r>
      <w:rPr>
        <w:rStyle w:val="18"/>
        <w:rFonts w:hint="eastAsia" w:ascii="宋体" w:hAnsi="宋体" w:eastAsia="宋体"/>
        <w:sz w:val="28"/>
      </w:rPr>
      <w:t>—</w:t>
    </w:r>
    <w:r>
      <w:rPr>
        <w:rFonts w:hint="eastAsia" w:ascii="宋体" w:hAnsi="宋体" w:eastAsia="宋体"/>
        <w:sz w:val="28"/>
      </w:rPr>
      <w:fldChar w:fldCharType="begin"/>
    </w:r>
    <w:r>
      <w:rPr>
        <w:rStyle w:val="18"/>
        <w:rFonts w:hint="eastAsia" w:ascii="宋体" w:hAnsi="宋体" w:eastAsia="宋体"/>
        <w:sz w:val="28"/>
      </w:rPr>
      <w:instrText xml:space="preserve"> PAGE </w:instrText>
    </w:r>
    <w:r>
      <w:rPr>
        <w:rFonts w:hint="eastAsia" w:ascii="宋体" w:hAnsi="宋体" w:eastAsia="宋体"/>
        <w:sz w:val="28"/>
      </w:rPr>
      <w:fldChar w:fldCharType="separate"/>
    </w:r>
    <w:r>
      <w:rPr>
        <w:rStyle w:val="18"/>
        <w:rFonts w:ascii="宋体" w:hAnsi="宋体" w:eastAsia="宋体"/>
        <w:sz w:val="28"/>
      </w:rPr>
      <w:t>1</w:t>
    </w:r>
    <w:r>
      <w:rPr>
        <w:rFonts w:hint="eastAsia" w:ascii="宋体" w:hAnsi="宋体" w:eastAsia="宋体"/>
        <w:sz w:val="28"/>
      </w:rPr>
      <w:fldChar w:fldCharType="end"/>
    </w:r>
    <w:r>
      <w:rPr>
        <w:rStyle w:val="18"/>
        <w:rFonts w:hint="eastAsia" w:ascii="宋体" w:hAnsi="宋体" w:eastAsia="宋体"/>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2124"/>
        <w:tab w:val="clear" w:pos="4153"/>
      </w:tabs>
      <w:spacing w:line="473" w:lineRule="auto"/>
      <w:ind w:left="320" w:leftChars="100"/>
      <w:jc w:val="left"/>
      <w:rPr>
        <w:rStyle w:val="18"/>
        <w:rFonts w:hint="eastAsia" w:ascii="宋体" w:hAnsi="宋体" w:eastAsia="宋体"/>
        <w:position w:val="-28"/>
        <w:sz w:val="28"/>
      </w:rPr>
    </w:pPr>
    <w:r>
      <w:rPr>
        <w:rStyle w:val="18"/>
        <w:rFonts w:hint="eastAsia" w:ascii="宋体" w:hAnsi="宋体" w:eastAsia="宋体"/>
        <w:position w:val="-28"/>
        <w:sz w:val="28"/>
      </w:rPr>
      <w:t>—</w:t>
    </w:r>
    <w:r>
      <w:rPr>
        <w:rFonts w:hint="eastAsia" w:ascii="宋体" w:hAnsi="宋体" w:eastAsia="宋体"/>
        <w:position w:val="-28"/>
        <w:sz w:val="28"/>
      </w:rPr>
      <w:fldChar w:fldCharType="begin"/>
    </w:r>
    <w:r>
      <w:rPr>
        <w:rStyle w:val="18"/>
        <w:rFonts w:hint="eastAsia" w:ascii="宋体" w:hAnsi="宋体" w:eastAsia="宋体"/>
        <w:position w:val="-28"/>
        <w:sz w:val="28"/>
      </w:rPr>
      <w:instrText xml:space="preserve"> PAGE </w:instrText>
    </w:r>
    <w:r>
      <w:rPr>
        <w:rFonts w:hint="eastAsia" w:ascii="宋体" w:hAnsi="宋体" w:eastAsia="宋体"/>
        <w:position w:val="-28"/>
        <w:sz w:val="28"/>
      </w:rPr>
      <w:fldChar w:fldCharType="separate"/>
    </w:r>
    <w:r>
      <w:rPr>
        <w:rStyle w:val="18"/>
        <w:rFonts w:ascii="宋体" w:hAnsi="宋体" w:eastAsia="宋体"/>
        <w:position w:val="-28"/>
        <w:sz w:val="28"/>
      </w:rPr>
      <w:t>4</w:t>
    </w:r>
    <w:r>
      <w:rPr>
        <w:rFonts w:hint="eastAsia" w:ascii="宋体" w:hAnsi="宋体" w:eastAsia="宋体"/>
        <w:position w:val="-28"/>
        <w:sz w:val="28"/>
      </w:rPr>
      <w:fldChar w:fldCharType="end"/>
    </w:r>
    <w:r>
      <w:rPr>
        <w:rStyle w:val="18"/>
        <w:rFonts w:hint="eastAsia" w:ascii="宋体" w:hAnsi="宋体" w:eastAsia="宋体"/>
        <w:position w:val="-28"/>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20"/>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9"/>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3"/>
      <w:suff w:val="nothing"/>
      <w:lvlText w:val="%1.%2.%3　"/>
      <w:lvlJc w:val="left"/>
      <w:pPr>
        <w:ind w:left="0" w:firstLine="0"/>
      </w:pPr>
      <w:rPr>
        <w:rFonts w:hint="eastAsia" w:ascii="黑体" w:hAnsi="Times New Roman" w:eastAsia="黑体"/>
        <w:b w:val="0"/>
        <w:i w:val="0"/>
        <w:sz w:val="21"/>
      </w:rPr>
    </w:lvl>
    <w:lvl w:ilvl="3" w:tentative="0">
      <w:start w:val="1"/>
      <w:numFmt w:val="decimal"/>
      <w:pStyle w:val="25"/>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C5917C3"/>
    <w:multiLevelType w:val="multilevel"/>
    <w:tmpl w:val="2C5917C3"/>
    <w:lvl w:ilvl="0" w:tentative="0">
      <w:start w:val="1"/>
      <w:numFmt w:val="none"/>
      <w:pStyle w:val="27"/>
      <w:suff w:val="nothing"/>
      <w:lvlText w:val="%1——"/>
      <w:lvlJc w:val="left"/>
      <w:pPr>
        <w:ind w:left="833"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
    <w:nsid w:val="58E165FA"/>
    <w:multiLevelType w:val="multilevel"/>
    <w:tmpl w:val="58E165FA"/>
    <w:lvl w:ilvl="0" w:tentative="0">
      <w:start w:val="1"/>
      <w:numFmt w:val="lowerLetter"/>
      <w:pStyle w:val="2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646260FA"/>
    <w:multiLevelType w:val="multilevel"/>
    <w:tmpl w:val="646260FA"/>
    <w:lvl w:ilvl="0" w:tentative="0">
      <w:start w:val="1"/>
      <w:numFmt w:val="decimal"/>
      <w:pStyle w:val="29"/>
      <w:suff w:val="nothing"/>
      <w:lvlText w:val="表%1　"/>
      <w:lvlJc w:val="left"/>
      <w:pPr>
        <w:ind w:left="0" w:firstLine="0"/>
      </w:pPr>
      <w:rPr>
        <w:rFonts w:hint="default" w:ascii="黑体" w:hAnsi="Times New Roman" w:eastAsia="黑体"/>
        <w:b w:val="0"/>
        <w:i w:val="0"/>
        <w:sz w:val="24"/>
        <w:szCs w:val="24"/>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6F220597"/>
    <w:multiLevelType w:val="multilevel"/>
    <w:tmpl w:val="6F220597"/>
    <w:lvl w:ilvl="0" w:tentative="0">
      <w:start w:val="1"/>
      <w:numFmt w:val="decimal"/>
      <w:suff w:val="space"/>
      <w:lvlText w:val="%1"/>
      <w:lvlJc w:val="left"/>
      <w:pPr>
        <w:ind w:left="0" w:firstLine="632"/>
      </w:pPr>
      <w:rPr>
        <w:rFonts w:hint="default"/>
      </w:rPr>
    </w:lvl>
    <w:lvl w:ilvl="1" w:tentative="0">
      <w:start w:val="1"/>
      <w:numFmt w:val="decimal"/>
      <w:suff w:val="space"/>
      <w:lvlText w:val="%1.%2"/>
      <w:lvlJc w:val="left"/>
      <w:pPr>
        <w:ind w:left="631" w:leftChars="0" w:firstLine="0" w:firstLineChars="0"/>
      </w:pPr>
      <w:rPr>
        <w:rFonts w:hint="default"/>
      </w:rPr>
    </w:lvl>
    <w:lvl w:ilvl="2" w:tentative="0">
      <w:start w:val="1"/>
      <w:numFmt w:val="decimal"/>
      <w:suff w:val="space"/>
      <w:lvlText w:val="%1.%2.%3"/>
      <w:lvlJc w:val="left"/>
      <w:pPr>
        <w:ind w:left="631" w:leftChars="0" w:firstLine="0" w:firstLineChars="0"/>
      </w:pPr>
      <w:rPr>
        <w:rFonts w:hint="default"/>
      </w:rPr>
    </w:lvl>
    <w:lvl w:ilvl="3" w:tentative="0">
      <w:start w:val="1"/>
      <w:numFmt w:val="decimal"/>
      <w:suff w:val="space"/>
      <w:lvlText w:val="%1.%2.%3.%4"/>
      <w:lvlJc w:val="left"/>
      <w:pPr>
        <w:ind w:left="631" w:leftChars="0" w:firstLine="0" w:firstLineChars="0"/>
      </w:pPr>
      <w:rPr>
        <w:rFonts w:hint="default"/>
      </w:rPr>
    </w:lvl>
    <w:lvl w:ilvl="4" w:tentative="0">
      <w:start w:val="1"/>
      <w:numFmt w:val="decimal"/>
      <w:suff w:val="space"/>
      <w:lvlText w:val="%1.%2.%3.%4.%5"/>
      <w:lvlJc w:val="left"/>
      <w:pPr>
        <w:ind w:left="631" w:leftChars="0" w:firstLine="0" w:firstLineChars="0"/>
      </w:pPr>
      <w:rPr>
        <w:rFonts w:hint="default"/>
      </w:rPr>
    </w:lvl>
    <w:lvl w:ilvl="5" w:tentative="0">
      <w:start w:val="1"/>
      <w:numFmt w:val="decimal"/>
      <w:suff w:val="space"/>
      <w:lvlText w:val="%1.%2.%3.%4.%5.%6"/>
      <w:lvlJc w:val="left"/>
      <w:pPr>
        <w:ind w:left="631" w:leftChars="0" w:firstLine="0" w:firstLineChars="0"/>
      </w:pPr>
      <w:rPr>
        <w:rFonts w:hint="default"/>
      </w:rPr>
    </w:lvl>
    <w:lvl w:ilvl="6" w:tentative="0">
      <w:start w:val="1"/>
      <w:numFmt w:val="decimal"/>
      <w:suff w:val="space"/>
      <w:lvlText w:val="%1.%2.%3.%4.%5.%6.%7"/>
      <w:lvlJc w:val="left"/>
      <w:pPr>
        <w:ind w:left="631" w:leftChars="0" w:firstLine="0" w:firstLineChars="0"/>
      </w:pPr>
      <w:rPr>
        <w:rFonts w:hint="default"/>
      </w:rPr>
    </w:lvl>
    <w:lvl w:ilvl="7" w:tentative="0">
      <w:start w:val="1"/>
      <w:numFmt w:val="decimal"/>
      <w:suff w:val="space"/>
      <w:lvlText w:val="%1.%2.%3.%4.%5.%6.%7.%8"/>
      <w:lvlJc w:val="left"/>
      <w:pPr>
        <w:ind w:left="631" w:leftChars="0" w:firstLine="0" w:firstLineChars="0"/>
      </w:pPr>
      <w:rPr>
        <w:rFonts w:hint="default"/>
      </w:rPr>
    </w:lvl>
    <w:lvl w:ilvl="8" w:tentative="0">
      <w:start w:val="1"/>
      <w:numFmt w:val="decimal"/>
      <w:suff w:val="space"/>
      <w:lvlText w:val="%1.%2.%3.%4.%5.%6.%7.%8.%9"/>
      <w:lvlJc w:val="left"/>
      <w:pPr>
        <w:ind w:left="631" w:leftChars="0" w:firstLine="0" w:firstLineChars="0"/>
      </w:pPr>
      <w:rPr>
        <w:rFont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true"/>
  <w:embedTrueTypeFonts/>
  <w:saveSubsetFonts/>
  <w:bordersDoNotSurroundHeader w:val="false"/>
  <w:bordersDoNotSurroundFooter w:val="false"/>
  <w:documentProtection w:enforcement="0"/>
  <w:defaultTabStop w:val="420"/>
  <w:evenAndOddHeaders w:val="true"/>
  <w:drawingGridHorizontalSpacing w:val="158"/>
  <w:drawingGridVerticalSpacing w:val="296"/>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iNDI5YTc3ZGMzNzA5MzJjMDcxMjg0ZGM2ODU2N2MifQ=="/>
  </w:docVars>
  <w:rsids>
    <w:rsidRoot w:val="00000000"/>
    <w:rsid w:val="00041CAD"/>
    <w:rsid w:val="000B6281"/>
    <w:rsid w:val="00377076"/>
    <w:rsid w:val="00920750"/>
    <w:rsid w:val="009E70F5"/>
    <w:rsid w:val="00A42F47"/>
    <w:rsid w:val="00A46D0A"/>
    <w:rsid w:val="00B0507A"/>
    <w:rsid w:val="010377BE"/>
    <w:rsid w:val="010C0502"/>
    <w:rsid w:val="01150CE5"/>
    <w:rsid w:val="0149727D"/>
    <w:rsid w:val="015B4FE6"/>
    <w:rsid w:val="015D4DE2"/>
    <w:rsid w:val="01763BCE"/>
    <w:rsid w:val="017C7548"/>
    <w:rsid w:val="01883901"/>
    <w:rsid w:val="019B53E2"/>
    <w:rsid w:val="01ED4312"/>
    <w:rsid w:val="01F3521E"/>
    <w:rsid w:val="01F36694"/>
    <w:rsid w:val="01F64D0F"/>
    <w:rsid w:val="01F9124D"/>
    <w:rsid w:val="01FD609D"/>
    <w:rsid w:val="0208054B"/>
    <w:rsid w:val="021E6B88"/>
    <w:rsid w:val="025905B8"/>
    <w:rsid w:val="02614FC7"/>
    <w:rsid w:val="02881E0B"/>
    <w:rsid w:val="028D4D85"/>
    <w:rsid w:val="029A7E37"/>
    <w:rsid w:val="02A24D72"/>
    <w:rsid w:val="02D768EE"/>
    <w:rsid w:val="03393105"/>
    <w:rsid w:val="034D6BB0"/>
    <w:rsid w:val="0350044F"/>
    <w:rsid w:val="03661A20"/>
    <w:rsid w:val="03685798"/>
    <w:rsid w:val="036E446E"/>
    <w:rsid w:val="039B5B6E"/>
    <w:rsid w:val="03E05C76"/>
    <w:rsid w:val="03E94B2B"/>
    <w:rsid w:val="03EF5EB9"/>
    <w:rsid w:val="04315245"/>
    <w:rsid w:val="04477AA3"/>
    <w:rsid w:val="045A3333"/>
    <w:rsid w:val="046E5030"/>
    <w:rsid w:val="047A1C27"/>
    <w:rsid w:val="0487115E"/>
    <w:rsid w:val="04986316"/>
    <w:rsid w:val="04A24CDA"/>
    <w:rsid w:val="04AC4660"/>
    <w:rsid w:val="04C35C7D"/>
    <w:rsid w:val="04D07A99"/>
    <w:rsid w:val="04D31337"/>
    <w:rsid w:val="04FA68C4"/>
    <w:rsid w:val="050168F0"/>
    <w:rsid w:val="052A032A"/>
    <w:rsid w:val="05353DA0"/>
    <w:rsid w:val="05384A92"/>
    <w:rsid w:val="05393890"/>
    <w:rsid w:val="055F2BCB"/>
    <w:rsid w:val="056106F1"/>
    <w:rsid w:val="05760640"/>
    <w:rsid w:val="057747FA"/>
    <w:rsid w:val="058C1C12"/>
    <w:rsid w:val="058F34B0"/>
    <w:rsid w:val="05946D18"/>
    <w:rsid w:val="05964427"/>
    <w:rsid w:val="05A21435"/>
    <w:rsid w:val="05F23A3F"/>
    <w:rsid w:val="05F257ED"/>
    <w:rsid w:val="05F94DCD"/>
    <w:rsid w:val="06035C4C"/>
    <w:rsid w:val="06304425"/>
    <w:rsid w:val="06356E17"/>
    <w:rsid w:val="064C5349"/>
    <w:rsid w:val="065F129B"/>
    <w:rsid w:val="066C4E13"/>
    <w:rsid w:val="067526A6"/>
    <w:rsid w:val="06874187"/>
    <w:rsid w:val="068C79F0"/>
    <w:rsid w:val="06B43B46"/>
    <w:rsid w:val="06B93983"/>
    <w:rsid w:val="06D51397"/>
    <w:rsid w:val="06D849E3"/>
    <w:rsid w:val="06EC66E0"/>
    <w:rsid w:val="06FA704F"/>
    <w:rsid w:val="070810E3"/>
    <w:rsid w:val="07163DF5"/>
    <w:rsid w:val="071B72C1"/>
    <w:rsid w:val="07201543"/>
    <w:rsid w:val="07465DF0"/>
    <w:rsid w:val="0775005F"/>
    <w:rsid w:val="07A62D33"/>
    <w:rsid w:val="07A73637"/>
    <w:rsid w:val="07E61381"/>
    <w:rsid w:val="07EF6488"/>
    <w:rsid w:val="07FE2B6F"/>
    <w:rsid w:val="07FF3502"/>
    <w:rsid w:val="08004343"/>
    <w:rsid w:val="08017F69"/>
    <w:rsid w:val="08070818"/>
    <w:rsid w:val="08095CBF"/>
    <w:rsid w:val="08103ADB"/>
    <w:rsid w:val="081303C8"/>
    <w:rsid w:val="08145EE9"/>
    <w:rsid w:val="082779D0"/>
    <w:rsid w:val="08296A78"/>
    <w:rsid w:val="083D3697"/>
    <w:rsid w:val="0849203C"/>
    <w:rsid w:val="08566507"/>
    <w:rsid w:val="085C0BFC"/>
    <w:rsid w:val="086D0AD3"/>
    <w:rsid w:val="086D0E3E"/>
    <w:rsid w:val="086E3851"/>
    <w:rsid w:val="086E3892"/>
    <w:rsid w:val="087A3B79"/>
    <w:rsid w:val="08843CC6"/>
    <w:rsid w:val="08962DA7"/>
    <w:rsid w:val="08A234FA"/>
    <w:rsid w:val="08CC5F66"/>
    <w:rsid w:val="08D12DD6"/>
    <w:rsid w:val="08DB0B60"/>
    <w:rsid w:val="08E104C7"/>
    <w:rsid w:val="08F85810"/>
    <w:rsid w:val="08FA1588"/>
    <w:rsid w:val="091B5D39"/>
    <w:rsid w:val="092959CA"/>
    <w:rsid w:val="092A7093"/>
    <w:rsid w:val="09376339"/>
    <w:rsid w:val="093F21AE"/>
    <w:rsid w:val="09497E1A"/>
    <w:rsid w:val="095A5B83"/>
    <w:rsid w:val="095C5D9F"/>
    <w:rsid w:val="096A21E5"/>
    <w:rsid w:val="09774987"/>
    <w:rsid w:val="097F02E4"/>
    <w:rsid w:val="09801555"/>
    <w:rsid w:val="098F027E"/>
    <w:rsid w:val="099C43EE"/>
    <w:rsid w:val="09A52F2B"/>
    <w:rsid w:val="09BC4A90"/>
    <w:rsid w:val="09C3197A"/>
    <w:rsid w:val="09CA0F24"/>
    <w:rsid w:val="09DC47EA"/>
    <w:rsid w:val="09E75957"/>
    <w:rsid w:val="09EA6F07"/>
    <w:rsid w:val="09F2225F"/>
    <w:rsid w:val="09FC79EC"/>
    <w:rsid w:val="0A074BFE"/>
    <w:rsid w:val="0A200B7B"/>
    <w:rsid w:val="0A354612"/>
    <w:rsid w:val="0A516F86"/>
    <w:rsid w:val="0A597BA0"/>
    <w:rsid w:val="0A650C83"/>
    <w:rsid w:val="0A660D49"/>
    <w:rsid w:val="0A740EC6"/>
    <w:rsid w:val="0A7F2737"/>
    <w:rsid w:val="0A8530D4"/>
    <w:rsid w:val="0A8B3E2A"/>
    <w:rsid w:val="0A8D3D36"/>
    <w:rsid w:val="0AA7129C"/>
    <w:rsid w:val="0AAB0D8C"/>
    <w:rsid w:val="0AB13EC9"/>
    <w:rsid w:val="0ACD673E"/>
    <w:rsid w:val="0ADD6A6C"/>
    <w:rsid w:val="0B2823DD"/>
    <w:rsid w:val="0B290B8C"/>
    <w:rsid w:val="0B363E66"/>
    <w:rsid w:val="0B375954"/>
    <w:rsid w:val="0B6A36D6"/>
    <w:rsid w:val="0B882E7B"/>
    <w:rsid w:val="0BBC7CD2"/>
    <w:rsid w:val="0BF91683"/>
    <w:rsid w:val="0C123672"/>
    <w:rsid w:val="0C1E0792"/>
    <w:rsid w:val="0C3B1C9C"/>
    <w:rsid w:val="0C85560D"/>
    <w:rsid w:val="0C8C24F7"/>
    <w:rsid w:val="0C8D626F"/>
    <w:rsid w:val="0C9F4D5D"/>
    <w:rsid w:val="0CAF06D2"/>
    <w:rsid w:val="0CB02DAF"/>
    <w:rsid w:val="0CE75980"/>
    <w:rsid w:val="0CF70803"/>
    <w:rsid w:val="0CFE36EC"/>
    <w:rsid w:val="0D35136C"/>
    <w:rsid w:val="0D4940E8"/>
    <w:rsid w:val="0D755681"/>
    <w:rsid w:val="0D892EDB"/>
    <w:rsid w:val="0D8D3D7A"/>
    <w:rsid w:val="0D934595"/>
    <w:rsid w:val="0D940E7C"/>
    <w:rsid w:val="0DAE6126"/>
    <w:rsid w:val="0DB461AA"/>
    <w:rsid w:val="0DBA7538"/>
    <w:rsid w:val="0DBE2B84"/>
    <w:rsid w:val="0DBF68FD"/>
    <w:rsid w:val="0DC249D9"/>
    <w:rsid w:val="0DC63AA1"/>
    <w:rsid w:val="0DE10795"/>
    <w:rsid w:val="0DEF71E2"/>
    <w:rsid w:val="0E0D0DE3"/>
    <w:rsid w:val="0E0D6FCA"/>
    <w:rsid w:val="0E146C48"/>
    <w:rsid w:val="0E190362"/>
    <w:rsid w:val="0E3746E5"/>
    <w:rsid w:val="0E4B0190"/>
    <w:rsid w:val="0E5449E9"/>
    <w:rsid w:val="0E6A6868"/>
    <w:rsid w:val="0E7019A5"/>
    <w:rsid w:val="0E782478"/>
    <w:rsid w:val="0E7E0566"/>
    <w:rsid w:val="0E811E04"/>
    <w:rsid w:val="0ECD48A5"/>
    <w:rsid w:val="0ECD6DEE"/>
    <w:rsid w:val="0EDA6B97"/>
    <w:rsid w:val="0EE303C9"/>
    <w:rsid w:val="0EE749C6"/>
    <w:rsid w:val="0EFB6721"/>
    <w:rsid w:val="0F0550C9"/>
    <w:rsid w:val="0F07770D"/>
    <w:rsid w:val="0F1121FC"/>
    <w:rsid w:val="0F2B0CD3"/>
    <w:rsid w:val="0F3E7E3A"/>
    <w:rsid w:val="0F490B74"/>
    <w:rsid w:val="0F5A68DD"/>
    <w:rsid w:val="0F5F78AF"/>
    <w:rsid w:val="0F6634D4"/>
    <w:rsid w:val="0F7200CA"/>
    <w:rsid w:val="0F884F56"/>
    <w:rsid w:val="0F8A050F"/>
    <w:rsid w:val="10093E5F"/>
    <w:rsid w:val="100A4CA2"/>
    <w:rsid w:val="101A5C15"/>
    <w:rsid w:val="10372EE7"/>
    <w:rsid w:val="103963AA"/>
    <w:rsid w:val="104B091B"/>
    <w:rsid w:val="105E064F"/>
    <w:rsid w:val="106D0892"/>
    <w:rsid w:val="106E2803"/>
    <w:rsid w:val="109A0F5B"/>
    <w:rsid w:val="10A122E9"/>
    <w:rsid w:val="10A43CE3"/>
    <w:rsid w:val="10A54545"/>
    <w:rsid w:val="10B45BD3"/>
    <w:rsid w:val="10BE4C49"/>
    <w:rsid w:val="10D34B99"/>
    <w:rsid w:val="10D96D38"/>
    <w:rsid w:val="10E072B6"/>
    <w:rsid w:val="10F92125"/>
    <w:rsid w:val="11147A7E"/>
    <w:rsid w:val="11241AA9"/>
    <w:rsid w:val="113D64B6"/>
    <w:rsid w:val="1145536B"/>
    <w:rsid w:val="11652140"/>
    <w:rsid w:val="116A324B"/>
    <w:rsid w:val="118542D3"/>
    <w:rsid w:val="11BF6ECB"/>
    <w:rsid w:val="11EC57E6"/>
    <w:rsid w:val="11ED1C8A"/>
    <w:rsid w:val="120174E4"/>
    <w:rsid w:val="12064AFA"/>
    <w:rsid w:val="124949E7"/>
    <w:rsid w:val="124D4697"/>
    <w:rsid w:val="125467A8"/>
    <w:rsid w:val="12564A7C"/>
    <w:rsid w:val="1265358F"/>
    <w:rsid w:val="126B2BAF"/>
    <w:rsid w:val="12971BF6"/>
    <w:rsid w:val="129C720C"/>
    <w:rsid w:val="12A554DA"/>
    <w:rsid w:val="12B87320"/>
    <w:rsid w:val="12E629F2"/>
    <w:rsid w:val="130059ED"/>
    <w:rsid w:val="131A10D3"/>
    <w:rsid w:val="13411D7F"/>
    <w:rsid w:val="134C01FB"/>
    <w:rsid w:val="13656661"/>
    <w:rsid w:val="136C7B89"/>
    <w:rsid w:val="13710699"/>
    <w:rsid w:val="137361BF"/>
    <w:rsid w:val="138E198A"/>
    <w:rsid w:val="13C37816"/>
    <w:rsid w:val="13C407C9"/>
    <w:rsid w:val="13D749A0"/>
    <w:rsid w:val="13DF1AA7"/>
    <w:rsid w:val="13E64BE3"/>
    <w:rsid w:val="13F56BD4"/>
    <w:rsid w:val="14090BE0"/>
    <w:rsid w:val="14092129"/>
    <w:rsid w:val="14117786"/>
    <w:rsid w:val="14187916"/>
    <w:rsid w:val="142D2812"/>
    <w:rsid w:val="142F76A5"/>
    <w:rsid w:val="1470434A"/>
    <w:rsid w:val="14B940A6"/>
    <w:rsid w:val="14BA1BCC"/>
    <w:rsid w:val="14CB202B"/>
    <w:rsid w:val="15181F84"/>
    <w:rsid w:val="15252FA3"/>
    <w:rsid w:val="15267743"/>
    <w:rsid w:val="15602773"/>
    <w:rsid w:val="15CC6AEE"/>
    <w:rsid w:val="15CE0CA7"/>
    <w:rsid w:val="15FB06EE"/>
    <w:rsid w:val="1600509A"/>
    <w:rsid w:val="160C28FB"/>
    <w:rsid w:val="1610675F"/>
    <w:rsid w:val="16414353"/>
    <w:rsid w:val="165A18B8"/>
    <w:rsid w:val="16685D83"/>
    <w:rsid w:val="166B7621"/>
    <w:rsid w:val="1672209C"/>
    <w:rsid w:val="16890701"/>
    <w:rsid w:val="16927B48"/>
    <w:rsid w:val="16A42B33"/>
    <w:rsid w:val="16B014D8"/>
    <w:rsid w:val="16DB130F"/>
    <w:rsid w:val="16E02158"/>
    <w:rsid w:val="16E055AC"/>
    <w:rsid w:val="171E28E6"/>
    <w:rsid w:val="17485BB5"/>
    <w:rsid w:val="17550AFC"/>
    <w:rsid w:val="17622036"/>
    <w:rsid w:val="17820677"/>
    <w:rsid w:val="1798116C"/>
    <w:rsid w:val="179D1A5D"/>
    <w:rsid w:val="17AF42BB"/>
    <w:rsid w:val="17C90AA4"/>
    <w:rsid w:val="17CC7A8D"/>
    <w:rsid w:val="17EC6540"/>
    <w:rsid w:val="17F9141B"/>
    <w:rsid w:val="1804388A"/>
    <w:rsid w:val="183A72AB"/>
    <w:rsid w:val="183F48C2"/>
    <w:rsid w:val="18442C00"/>
    <w:rsid w:val="18452800"/>
    <w:rsid w:val="186C6B83"/>
    <w:rsid w:val="188D1AD1"/>
    <w:rsid w:val="188E75F7"/>
    <w:rsid w:val="188F4BB6"/>
    <w:rsid w:val="1893621A"/>
    <w:rsid w:val="189556C9"/>
    <w:rsid w:val="18BB7CEF"/>
    <w:rsid w:val="18DA283C"/>
    <w:rsid w:val="18DF7E53"/>
    <w:rsid w:val="19014D65"/>
    <w:rsid w:val="19094ED0"/>
    <w:rsid w:val="191D4F72"/>
    <w:rsid w:val="194859F8"/>
    <w:rsid w:val="195645B9"/>
    <w:rsid w:val="196231FE"/>
    <w:rsid w:val="196834AA"/>
    <w:rsid w:val="197D0628"/>
    <w:rsid w:val="199D60E7"/>
    <w:rsid w:val="19BE3F0C"/>
    <w:rsid w:val="19C534C4"/>
    <w:rsid w:val="19E716B5"/>
    <w:rsid w:val="19F96FF9"/>
    <w:rsid w:val="1A0A736F"/>
    <w:rsid w:val="1A117E02"/>
    <w:rsid w:val="1A1848CA"/>
    <w:rsid w:val="1A2F696B"/>
    <w:rsid w:val="1A361CF4"/>
    <w:rsid w:val="1A3A17E5"/>
    <w:rsid w:val="1A43498D"/>
    <w:rsid w:val="1A5A1963"/>
    <w:rsid w:val="1A7550B9"/>
    <w:rsid w:val="1A81017C"/>
    <w:rsid w:val="1A846F04"/>
    <w:rsid w:val="1A871F5C"/>
    <w:rsid w:val="1AB26FA2"/>
    <w:rsid w:val="1AB82756"/>
    <w:rsid w:val="1AB84DF8"/>
    <w:rsid w:val="1ADE4866"/>
    <w:rsid w:val="1B0B4F2F"/>
    <w:rsid w:val="1B0E67CD"/>
    <w:rsid w:val="1B250598"/>
    <w:rsid w:val="1B6A61A2"/>
    <w:rsid w:val="1B966EEF"/>
    <w:rsid w:val="1BB47375"/>
    <w:rsid w:val="1BC23E94"/>
    <w:rsid w:val="1BD17F27"/>
    <w:rsid w:val="1BD47A17"/>
    <w:rsid w:val="1BDC43E9"/>
    <w:rsid w:val="1BE51C24"/>
    <w:rsid w:val="1C024584"/>
    <w:rsid w:val="1C404676"/>
    <w:rsid w:val="1C5A616E"/>
    <w:rsid w:val="1C626DD1"/>
    <w:rsid w:val="1C874A89"/>
    <w:rsid w:val="1C8E7BC6"/>
    <w:rsid w:val="1CB11B06"/>
    <w:rsid w:val="1CB33AD0"/>
    <w:rsid w:val="1CC17F9B"/>
    <w:rsid w:val="1CCC4B92"/>
    <w:rsid w:val="1CD54AC7"/>
    <w:rsid w:val="1CD55905"/>
    <w:rsid w:val="1CE43C8A"/>
    <w:rsid w:val="1CFA2842"/>
    <w:rsid w:val="1D632D08"/>
    <w:rsid w:val="1D644DCB"/>
    <w:rsid w:val="1D721295"/>
    <w:rsid w:val="1D7A639C"/>
    <w:rsid w:val="1D886D0B"/>
    <w:rsid w:val="1D8B2357"/>
    <w:rsid w:val="1D9E652E"/>
    <w:rsid w:val="1DB47B00"/>
    <w:rsid w:val="1DC046F7"/>
    <w:rsid w:val="1DD43CFE"/>
    <w:rsid w:val="1DD81A08"/>
    <w:rsid w:val="1DEE505B"/>
    <w:rsid w:val="1DFB74DD"/>
    <w:rsid w:val="1E002D45"/>
    <w:rsid w:val="1E073612"/>
    <w:rsid w:val="1E29229C"/>
    <w:rsid w:val="1E2C58E8"/>
    <w:rsid w:val="1E426EBA"/>
    <w:rsid w:val="1E6D3D13"/>
    <w:rsid w:val="1E825039"/>
    <w:rsid w:val="1E9C2197"/>
    <w:rsid w:val="1EC11BDF"/>
    <w:rsid w:val="1EF34455"/>
    <w:rsid w:val="1F152820"/>
    <w:rsid w:val="1F26058A"/>
    <w:rsid w:val="1F2F7577"/>
    <w:rsid w:val="1F473A29"/>
    <w:rsid w:val="1F4E188E"/>
    <w:rsid w:val="1F721A21"/>
    <w:rsid w:val="1F737547"/>
    <w:rsid w:val="1F861028"/>
    <w:rsid w:val="1F941997"/>
    <w:rsid w:val="1FA025B1"/>
    <w:rsid w:val="1FA754E6"/>
    <w:rsid w:val="1FBB6186"/>
    <w:rsid w:val="20107DF2"/>
    <w:rsid w:val="201A79C2"/>
    <w:rsid w:val="203171E6"/>
    <w:rsid w:val="203739B2"/>
    <w:rsid w:val="204D1B46"/>
    <w:rsid w:val="205E3D53"/>
    <w:rsid w:val="20722ECF"/>
    <w:rsid w:val="208A2D9A"/>
    <w:rsid w:val="20972A26"/>
    <w:rsid w:val="20996AFD"/>
    <w:rsid w:val="20BB11A5"/>
    <w:rsid w:val="20F3093F"/>
    <w:rsid w:val="20FE0493"/>
    <w:rsid w:val="2116462E"/>
    <w:rsid w:val="21222FD3"/>
    <w:rsid w:val="21443B56"/>
    <w:rsid w:val="214E5B76"/>
    <w:rsid w:val="21536C49"/>
    <w:rsid w:val="216536A1"/>
    <w:rsid w:val="21A07893"/>
    <w:rsid w:val="21B97BDA"/>
    <w:rsid w:val="21C94F6F"/>
    <w:rsid w:val="21E46B07"/>
    <w:rsid w:val="21E85FCA"/>
    <w:rsid w:val="21FC3824"/>
    <w:rsid w:val="22162020"/>
    <w:rsid w:val="2228286B"/>
    <w:rsid w:val="223034CD"/>
    <w:rsid w:val="2234120F"/>
    <w:rsid w:val="22525B39"/>
    <w:rsid w:val="225E1F0C"/>
    <w:rsid w:val="225E628C"/>
    <w:rsid w:val="227855A0"/>
    <w:rsid w:val="227D071B"/>
    <w:rsid w:val="228E7AF9"/>
    <w:rsid w:val="228F3FC6"/>
    <w:rsid w:val="22925F36"/>
    <w:rsid w:val="22965878"/>
    <w:rsid w:val="22993FB8"/>
    <w:rsid w:val="22A00653"/>
    <w:rsid w:val="22C34341"/>
    <w:rsid w:val="22E502BD"/>
    <w:rsid w:val="230C7A96"/>
    <w:rsid w:val="23143270"/>
    <w:rsid w:val="2317348D"/>
    <w:rsid w:val="232149CB"/>
    <w:rsid w:val="23365E57"/>
    <w:rsid w:val="234C07DB"/>
    <w:rsid w:val="234E1A6D"/>
    <w:rsid w:val="23621DAC"/>
    <w:rsid w:val="2383244E"/>
    <w:rsid w:val="23871813"/>
    <w:rsid w:val="238910E7"/>
    <w:rsid w:val="2398757C"/>
    <w:rsid w:val="23D15638"/>
    <w:rsid w:val="23D87E37"/>
    <w:rsid w:val="23EA038E"/>
    <w:rsid w:val="23FA0237"/>
    <w:rsid w:val="240370EB"/>
    <w:rsid w:val="241035B6"/>
    <w:rsid w:val="241237D2"/>
    <w:rsid w:val="241537B5"/>
    <w:rsid w:val="243D776E"/>
    <w:rsid w:val="24463E8D"/>
    <w:rsid w:val="246F1F69"/>
    <w:rsid w:val="247578BD"/>
    <w:rsid w:val="24BA608A"/>
    <w:rsid w:val="24CD1BC1"/>
    <w:rsid w:val="24E52C95"/>
    <w:rsid w:val="24FF3D57"/>
    <w:rsid w:val="250F386E"/>
    <w:rsid w:val="25335EE7"/>
    <w:rsid w:val="25406175"/>
    <w:rsid w:val="25535E50"/>
    <w:rsid w:val="2560231B"/>
    <w:rsid w:val="2574102E"/>
    <w:rsid w:val="25830BBA"/>
    <w:rsid w:val="2587082F"/>
    <w:rsid w:val="25927C97"/>
    <w:rsid w:val="25B83F05"/>
    <w:rsid w:val="25D96990"/>
    <w:rsid w:val="25E26491"/>
    <w:rsid w:val="25E90563"/>
    <w:rsid w:val="25FD1023"/>
    <w:rsid w:val="262B46D7"/>
    <w:rsid w:val="262F241A"/>
    <w:rsid w:val="265E685B"/>
    <w:rsid w:val="26793177"/>
    <w:rsid w:val="26806976"/>
    <w:rsid w:val="2686568A"/>
    <w:rsid w:val="269A360B"/>
    <w:rsid w:val="26A8795E"/>
    <w:rsid w:val="26BC05C1"/>
    <w:rsid w:val="26CA0A80"/>
    <w:rsid w:val="26D10C8A"/>
    <w:rsid w:val="26DE5BEE"/>
    <w:rsid w:val="26ED23F1"/>
    <w:rsid w:val="26EF1BA9"/>
    <w:rsid w:val="26FC7E22"/>
    <w:rsid w:val="27154F96"/>
    <w:rsid w:val="275D4004"/>
    <w:rsid w:val="277976C4"/>
    <w:rsid w:val="27E2526A"/>
    <w:rsid w:val="27E45A7F"/>
    <w:rsid w:val="28186EDD"/>
    <w:rsid w:val="281F42E7"/>
    <w:rsid w:val="28254F0A"/>
    <w:rsid w:val="28304227"/>
    <w:rsid w:val="2870419A"/>
    <w:rsid w:val="28712736"/>
    <w:rsid w:val="287B404F"/>
    <w:rsid w:val="28943FB7"/>
    <w:rsid w:val="28AB185F"/>
    <w:rsid w:val="28B135BA"/>
    <w:rsid w:val="28B2089B"/>
    <w:rsid w:val="28BE5CD7"/>
    <w:rsid w:val="28CA01D8"/>
    <w:rsid w:val="28EA087A"/>
    <w:rsid w:val="28F416F8"/>
    <w:rsid w:val="29002FD7"/>
    <w:rsid w:val="29367D51"/>
    <w:rsid w:val="296C5733"/>
    <w:rsid w:val="296F6FD1"/>
    <w:rsid w:val="29A529F3"/>
    <w:rsid w:val="29A547A1"/>
    <w:rsid w:val="29A84037"/>
    <w:rsid w:val="29B42C36"/>
    <w:rsid w:val="29B64C00"/>
    <w:rsid w:val="29BC26EA"/>
    <w:rsid w:val="29CE3CF8"/>
    <w:rsid w:val="29CE5AA6"/>
    <w:rsid w:val="29E76B67"/>
    <w:rsid w:val="29EB2AFB"/>
    <w:rsid w:val="29EE2D37"/>
    <w:rsid w:val="2A0D0CC4"/>
    <w:rsid w:val="2A122C5F"/>
    <w:rsid w:val="2A3C5105"/>
    <w:rsid w:val="2A420242"/>
    <w:rsid w:val="2A4B359A"/>
    <w:rsid w:val="2A53196C"/>
    <w:rsid w:val="2A8268F3"/>
    <w:rsid w:val="2ACA0963"/>
    <w:rsid w:val="2ADE61BC"/>
    <w:rsid w:val="2B0B4404"/>
    <w:rsid w:val="2B404781"/>
    <w:rsid w:val="2B4A3F87"/>
    <w:rsid w:val="2B5C5333"/>
    <w:rsid w:val="2B5C6960"/>
    <w:rsid w:val="2B822FEC"/>
    <w:rsid w:val="2B830B12"/>
    <w:rsid w:val="2BA33062"/>
    <w:rsid w:val="2BA52826"/>
    <w:rsid w:val="2BB331A5"/>
    <w:rsid w:val="2BCE7FDF"/>
    <w:rsid w:val="2BE40966"/>
    <w:rsid w:val="2BEB709F"/>
    <w:rsid w:val="2BFD08C4"/>
    <w:rsid w:val="2C2B3683"/>
    <w:rsid w:val="2C3B6C3D"/>
    <w:rsid w:val="2C416E1D"/>
    <w:rsid w:val="2C5030EA"/>
    <w:rsid w:val="2C597A6E"/>
    <w:rsid w:val="2C987164"/>
    <w:rsid w:val="2C992FCC"/>
    <w:rsid w:val="2C9A6113"/>
    <w:rsid w:val="2CB35427"/>
    <w:rsid w:val="2CB41336"/>
    <w:rsid w:val="2CCB29E4"/>
    <w:rsid w:val="2CD07D87"/>
    <w:rsid w:val="2CDC2BCF"/>
    <w:rsid w:val="2CF26023"/>
    <w:rsid w:val="2D0068BE"/>
    <w:rsid w:val="2D165931"/>
    <w:rsid w:val="2D1E6D44"/>
    <w:rsid w:val="2D205D6C"/>
    <w:rsid w:val="2D465D32"/>
    <w:rsid w:val="2D604432"/>
    <w:rsid w:val="2D7B5F44"/>
    <w:rsid w:val="2D867168"/>
    <w:rsid w:val="2DBE22D5"/>
    <w:rsid w:val="2DEF248E"/>
    <w:rsid w:val="2E057F04"/>
    <w:rsid w:val="2E1D2BB2"/>
    <w:rsid w:val="2E1F015E"/>
    <w:rsid w:val="2E2447DA"/>
    <w:rsid w:val="2E2760CC"/>
    <w:rsid w:val="2E2D0D8C"/>
    <w:rsid w:val="2E2E745B"/>
    <w:rsid w:val="2E312AA7"/>
    <w:rsid w:val="2E3A548A"/>
    <w:rsid w:val="2E3B0810"/>
    <w:rsid w:val="2E523C16"/>
    <w:rsid w:val="2E5D1AEE"/>
    <w:rsid w:val="2E6D7F83"/>
    <w:rsid w:val="2E7E75CE"/>
    <w:rsid w:val="2E8B77F8"/>
    <w:rsid w:val="2E9D1EEA"/>
    <w:rsid w:val="2EA17C2D"/>
    <w:rsid w:val="2EAC5F51"/>
    <w:rsid w:val="2EBB5519"/>
    <w:rsid w:val="2EC51ECD"/>
    <w:rsid w:val="2EC6213B"/>
    <w:rsid w:val="2EC658E5"/>
    <w:rsid w:val="2EDC2A13"/>
    <w:rsid w:val="2EE43FBD"/>
    <w:rsid w:val="2EF57F78"/>
    <w:rsid w:val="2EF74361"/>
    <w:rsid w:val="2F1A6D03"/>
    <w:rsid w:val="2F1B0347"/>
    <w:rsid w:val="2F1E74CF"/>
    <w:rsid w:val="2F2C38D9"/>
    <w:rsid w:val="2F510852"/>
    <w:rsid w:val="2F6A475B"/>
    <w:rsid w:val="2F7215C9"/>
    <w:rsid w:val="2F7B047E"/>
    <w:rsid w:val="2FB4573E"/>
    <w:rsid w:val="2FE222AB"/>
    <w:rsid w:val="2FFB511A"/>
    <w:rsid w:val="30054923"/>
    <w:rsid w:val="30336FAA"/>
    <w:rsid w:val="3034687E"/>
    <w:rsid w:val="305A62E5"/>
    <w:rsid w:val="305D373A"/>
    <w:rsid w:val="30647164"/>
    <w:rsid w:val="306B6744"/>
    <w:rsid w:val="306D3157"/>
    <w:rsid w:val="30763BB0"/>
    <w:rsid w:val="30872E52"/>
    <w:rsid w:val="308E5A3F"/>
    <w:rsid w:val="30982634"/>
    <w:rsid w:val="30A048E4"/>
    <w:rsid w:val="30A565FF"/>
    <w:rsid w:val="30B75106"/>
    <w:rsid w:val="30CE0A81"/>
    <w:rsid w:val="30D77C24"/>
    <w:rsid w:val="30D956E8"/>
    <w:rsid w:val="30E06AF4"/>
    <w:rsid w:val="30E262DA"/>
    <w:rsid w:val="30E64B1D"/>
    <w:rsid w:val="30E81B43"/>
    <w:rsid w:val="310546CE"/>
    <w:rsid w:val="31295CB7"/>
    <w:rsid w:val="314174A5"/>
    <w:rsid w:val="316F5DC0"/>
    <w:rsid w:val="317938AA"/>
    <w:rsid w:val="31794E91"/>
    <w:rsid w:val="318B6972"/>
    <w:rsid w:val="31903F88"/>
    <w:rsid w:val="31972C6C"/>
    <w:rsid w:val="31B45EC9"/>
    <w:rsid w:val="31BA0815"/>
    <w:rsid w:val="31FD7870"/>
    <w:rsid w:val="323C7C18"/>
    <w:rsid w:val="32494863"/>
    <w:rsid w:val="324C4580"/>
    <w:rsid w:val="32546D64"/>
    <w:rsid w:val="32625925"/>
    <w:rsid w:val="328E04C8"/>
    <w:rsid w:val="329D695D"/>
    <w:rsid w:val="32AB5D01"/>
    <w:rsid w:val="32EB3635"/>
    <w:rsid w:val="33145A7B"/>
    <w:rsid w:val="333856A4"/>
    <w:rsid w:val="333A41AC"/>
    <w:rsid w:val="3344794C"/>
    <w:rsid w:val="33460DA3"/>
    <w:rsid w:val="334B63B9"/>
    <w:rsid w:val="33645A78"/>
    <w:rsid w:val="336E7970"/>
    <w:rsid w:val="33AD0E22"/>
    <w:rsid w:val="33C1230E"/>
    <w:rsid w:val="33CA3782"/>
    <w:rsid w:val="33D740F0"/>
    <w:rsid w:val="34120C85"/>
    <w:rsid w:val="34207846"/>
    <w:rsid w:val="34272982"/>
    <w:rsid w:val="343230D5"/>
    <w:rsid w:val="347569F5"/>
    <w:rsid w:val="348F0527"/>
    <w:rsid w:val="34A231D4"/>
    <w:rsid w:val="34C62DA2"/>
    <w:rsid w:val="34D348B8"/>
    <w:rsid w:val="34DB15D1"/>
    <w:rsid w:val="34DB376C"/>
    <w:rsid w:val="34DD5737"/>
    <w:rsid w:val="34FE1785"/>
    <w:rsid w:val="35004F81"/>
    <w:rsid w:val="350B4052"/>
    <w:rsid w:val="35223149"/>
    <w:rsid w:val="35394EDA"/>
    <w:rsid w:val="35492DCC"/>
    <w:rsid w:val="355C48AD"/>
    <w:rsid w:val="355E6877"/>
    <w:rsid w:val="35862987"/>
    <w:rsid w:val="359875D2"/>
    <w:rsid w:val="3599034B"/>
    <w:rsid w:val="35AB313F"/>
    <w:rsid w:val="35C97A69"/>
    <w:rsid w:val="35DF52F8"/>
    <w:rsid w:val="35E825E5"/>
    <w:rsid w:val="35EB2255"/>
    <w:rsid w:val="35FE3BB6"/>
    <w:rsid w:val="36074868"/>
    <w:rsid w:val="36343134"/>
    <w:rsid w:val="363B10E4"/>
    <w:rsid w:val="363B44C3"/>
    <w:rsid w:val="36472D8F"/>
    <w:rsid w:val="36561765"/>
    <w:rsid w:val="365E4655"/>
    <w:rsid w:val="366652B8"/>
    <w:rsid w:val="36681030"/>
    <w:rsid w:val="36741F63"/>
    <w:rsid w:val="368A22E7"/>
    <w:rsid w:val="368A71F8"/>
    <w:rsid w:val="368E1BCD"/>
    <w:rsid w:val="36AE738B"/>
    <w:rsid w:val="36BB3856"/>
    <w:rsid w:val="36BF32BE"/>
    <w:rsid w:val="36CA4537"/>
    <w:rsid w:val="36D36DF1"/>
    <w:rsid w:val="36DD1A1E"/>
    <w:rsid w:val="36E74081"/>
    <w:rsid w:val="36EE3C2B"/>
    <w:rsid w:val="36FC6348"/>
    <w:rsid w:val="3705164D"/>
    <w:rsid w:val="37105BFE"/>
    <w:rsid w:val="371C436C"/>
    <w:rsid w:val="373158C6"/>
    <w:rsid w:val="374D1667"/>
    <w:rsid w:val="376163AC"/>
    <w:rsid w:val="376922D4"/>
    <w:rsid w:val="376C4B50"/>
    <w:rsid w:val="37AB4019"/>
    <w:rsid w:val="37BC000B"/>
    <w:rsid w:val="37C16C4A"/>
    <w:rsid w:val="37EF5A09"/>
    <w:rsid w:val="380633C1"/>
    <w:rsid w:val="380A28CA"/>
    <w:rsid w:val="380F5C07"/>
    <w:rsid w:val="3810372D"/>
    <w:rsid w:val="38116FDA"/>
    <w:rsid w:val="381B087C"/>
    <w:rsid w:val="383D21D3"/>
    <w:rsid w:val="38404012"/>
    <w:rsid w:val="384674F8"/>
    <w:rsid w:val="38556E74"/>
    <w:rsid w:val="385B52F0"/>
    <w:rsid w:val="387168C2"/>
    <w:rsid w:val="387B14EE"/>
    <w:rsid w:val="387F0849"/>
    <w:rsid w:val="38893547"/>
    <w:rsid w:val="388A1731"/>
    <w:rsid w:val="38A42C8E"/>
    <w:rsid w:val="38AD71CE"/>
    <w:rsid w:val="38D806EF"/>
    <w:rsid w:val="38F21C25"/>
    <w:rsid w:val="38FF3ECD"/>
    <w:rsid w:val="3914734F"/>
    <w:rsid w:val="39673821"/>
    <w:rsid w:val="3980763C"/>
    <w:rsid w:val="39932868"/>
    <w:rsid w:val="39AE6994"/>
    <w:rsid w:val="39B60304"/>
    <w:rsid w:val="39F94DC1"/>
    <w:rsid w:val="3A0F6392"/>
    <w:rsid w:val="3A22034B"/>
    <w:rsid w:val="3A396F6B"/>
    <w:rsid w:val="3A4122C4"/>
    <w:rsid w:val="3A730313"/>
    <w:rsid w:val="3A8D1CB3"/>
    <w:rsid w:val="3A8D72B7"/>
    <w:rsid w:val="3A9E1327"/>
    <w:rsid w:val="3AB31E12"/>
    <w:rsid w:val="3ABD2800"/>
    <w:rsid w:val="3AD1189A"/>
    <w:rsid w:val="3AE25855"/>
    <w:rsid w:val="3AE27603"/>
    <w:rsid w:val="3AF410E4"/>
    <w:rsid w:val="3B002821"/>
    <w:rsid w:val="3B111C96"/>
    <w:rsid w:val="3B1F0857"/>
    <w:rsid w:val="3B2778AB"/>
    <w:rsid w:val="3B3077EE"/>
    <w:rsid w:val="3B331C0C"/>
    <w:rsid w:val="3B4C0F20"/>
    <w:rsid w:val="3B4C7172"/>
    <w:rsid w:val="3B5153F8"/>
    <w:rsid w:val="3B5A188F"/>
    <w:rsid w:val="3BB30F9F"/>
    <w:rsid w:val="3BC92571"/>
    <w:rsid w:val="3BD056AD"/>
    <w:rsid w:val="3BDC71AB"/>
    <w:rsid w:val="3BE17176"/>
    <w:rsid w:val="3BED44B1"/>
    <w:rsid w:val="3C076A7F"/>
    <w:rsid w:val="3C090BBF"/>
    <w:rsid w:val="3C0B4DD9"/>
    <w:rsid w:val="3C120E6A"/>
    <w:rsid w:val="3C25485D"/>
    <w:rsid w:val="3C5D19C1"/>
    <w:rsid w:val="3C625E69"/>
    <w:rsid w:val="3C664263"/>
    <w:rsid w:val="3C667DC0"/>
    <w:rsid w:val="3C9E39FD"/>
    <w:rsid w:val="3CA01523"/>
    <w:rsid w:val="3CA54D8C"/>
    <w:rsid w:val="3CA964BD"/>
    <w:rsid w:val="3CC52D38"/>
    <w:rsid w:val="3CE97609"/>
    <w:rsid w:val="3CEA46C5"/>
    <w:rsid w:val="3CFB5C1A"/>
    <w:rsid w:val="3D070E25"/>
    <w:rsid w:val="3D0777F5"/>
    <w:rsid w:val="3D08531B"/>
    <w:rsid w:val="3D087E91"/>
    <w:rsid w:val="3D1617E6"/>
    <w:rsid w:val="3D1B32A0"/>
    <w:rsid w:val="3D255ECD"/>
    <w:rsid w:val="3D41713B"/>
    <w:rsid w:val="3D814136"/>
    <w:rsid w:val="3DA07301"/>
    <w:rsid w:val="3DBB69AA"/>
    <w:rsid w:val="3DEA0F04"/>
    <w:rsid w:val="3DEF4E7B"/>
    <w:rsid w:val="3E29379B"/>
    <w:rsid w:val="3E360C49"/>
    <w:rsid w:val="3E3C34CE"/>
    <w:rsid w:val="3E3C3588"/>
    <w:rsid w:val="3E5A1BA6"/>
    <w:rsid w:val="3E624969"/>
    <w:rsid w:val="3E6E604C"/>
    <w:rsid w:val="3E8C33CA"/>
    <w:rsid w:val="3E970704"/>
    <w:rsid w:val="3E9A01F4"/>
    <w:rsid w:val="3EB76FF8"/>
    <w:rsid w:val="3EC84D62"/>
    <w:rsid w:val="3ED41958"/>
    <w:rsid w:val="3ED82DBD"/>
    <w:rsid w:val="3EF033BE"/>
    <w:rsid w:val="3F0538C0"/>
    <w:rsid w:val="3F23643C"/>
    <w:rsid w:val="3F2B30C6"/>
    <w:rsid w:val="3F4563B2"/>
    <w:rsid w:val="3F546091"/>
    <w:rsid w:val="3F573614"/>
    <w:rsid w:val="3F5A1E64"/>
    <w:rsid w:val="3F7D5B4C"/>
    <w:rsid w:val="3F9E5AC2"/>
    <w:rsid w:val="3FA94B93"/>
    <w:rsid w:val="3FC574F3"/>
    <w:rsid w:val="3FC63C13"/>
    <w:rsid w:val="3FD61700"/>
    <w:rsid w:val="3FF014E1"/>
    <w:rsid w:val="4005305C"/>
    <w:rsid w:val="40112738"/>
    <w:rsid w:val="4013025E"/>
    <w:rsid w:val="403C5A07"/>
    <w:rsid w:val="40841CDE"/>
    <w:rsid w:val="40860A30"/>
    <w:rsid w:val="40B01F51"/>
    <w:rsid w:val="40B557B9"/>
    <w:rsid w:val="40BA692C"/>
    <w:rsid w:val="40C0256C"/>
    <w:rsid w:val="40D21EC7"/>
    <w:rsid w:val="40F57529"/>
    <w:rsid w:val="411A6AA4"/>
    <w:rsid w:val="412E1809"/>
    <w:rsid w:val="4131471C"/>
    <w:rsid w:val="41526B64"/>
    <w:rsid w:val="41656898"/>
    <w:rsid w:val="41686388"/>
    <w:rsid w:val="416B25A1"/>
    <w:rsid w:val="41856F3A"/>
    <w:rsid w:val="41881C2B"/>
    <w:rsid w:val="41A43864"/>
    <w:rsid w:val="41AA4BF2"/>
    <w:rsid w:val="41D43A1D"/>
    <w:rsid w:val="422455FC"/>
    <w:rsid w:val="424D3EFC"/>
    <w:rsid w:val="427A6373"/>
    <w:rsid w:val="429D02B3"/>
    <w:rsid w:val="42BC0224"/>
    <w:rsid w:val="42CB1A33"/>
    <w:rsid w:val="42D635B0"/>
    <w:rsid w:val="42D9753D"/>
    <w:rsid w:val="42E665AE"/>
    <w:rsid w:val="42EA174A"/>
    <w:rsid w:val="42EB7271"/>
    <w:rsid w:val="42EE410D"/>
    <w:rsid w:val="42F73E67"/>
    <w:rsid w:val="430345BA"/>
    <w:rsid w:val="432F0F66"/>
    <w:rsid w:val="433B1FA6"/>
    <w:rsid w:val="434846C3"/>
    <w:rsid w:val="43696E97"/>
    <w:rsid w:val="43737125"/>
    <w:rsid w:val="43893EEA"/>
    <w:rsid w:val="438C0A54"/>
    <w:rsid w:val="438C45B0"/>
    <w:rsid w:val="43972F54"/>
    <w:rsid w:val="43D61CCF"/>
    <w:rsid w:val="43DB1093"/>
    <w:rsid w:val="43E268C5"/>
    <w:rsid w:val="43E8292C"/>
    <w:rsid w:val="440A633A"/>
    <w:rsid w:val="440E3217"/>
    <w:rsid w:val="440F6F8F"/>
    <w:rsid w:val="442F1D76"/>
    <w:rsid w:val="44323017"/>
    <w:rsid w:val="446A6A62"/>
    <w:rsid w:val="446B0669"/>
    <w:rsid w:val="447137A5"/>
    <w:rsid w:val="447A08AC"/>
    <w:rsid w:val="448D02CB"/>
    <w:rsid w:val="44AA4B93"/>
    <w:rsid w:val="44AC2A30"/>
    <w:rsid w:val="44AD0C81"/>
    <w:rsid w:val="44AE67A8"/>
    <w:rsid w:val="44E73A68"/>
    <w:rsid w:val="44FE772F"/>
    <w:rsid w:val="450D6044"/>
    <w:rsid w:val="451A6EA1"/>
    <w:rsid w:val="4521341D"/>
    <w:rsid w:val="45251780"/>
    <w:rsid w:val="454C31E3"/>
    <w:rsid w:val="4560668B"/>
    <w:rsid w:val="45616C2B"/>
    <w:rsid w:val="456A4BB7"/>
    <w:rsid w:val="4588349D"/>
    <w:rsid w:val="458F5EA5"/>
    <w:rsid w:val="459141F8"/>
    <w:rsid w:val="459534C4"/>
    <w:rsid w:val="459B4F7E"/>
    <w:rsid w:val="45A007E6"/>
    <w:rsid w:val="45BB73CE"/>
    <w:rsid w:val="45E85112"/>
    <w:rsid w:val="460D74FE"/>
    <w:rsid w:val="461865CE"/>
    <w:rsid w:val="462211FB"/>
    <w:rsid w:val="4622744D"/>
    <w:rsid w:val="463131AB"/>
    <w:rsid w:val="46326F64"/>
    <w:rsid w:val="463F1DAD"/>
    <w:rsid w:val="46401681"/>
    <w:rsid w:val="465A0804"/>
    <w:rsid w:val="465B470D"/>
    <w:rsid w:val="467A7D2F"/>
    <w:rsid w:val="467F51B7"/>
    <w:rsid w:val="469D2DAA"/>
    <w:rsid w:val="46EB40C3"/>
    <w:rsid w:val="46F54B62"/>
    <w:rsid w:val="4706200F"/>
    <w:rsid w:val="470B7EE1"/>
    <w:rsid w:val="471054F8"/>
    <w:rsid w:val="4714323A"/>
    <w:rsid w:val="474653BD"/>
    <w:rsid w:val="474B6530"/>
    <w:rsid w:val="47510346"/>
    <w:rsid w:val="475C24EB"/>
    <w:rsid w:val="476D294A"/>
    <w:rsid w:val="47777325"/>
    <w:rsid w:val="47855EE6"/>
    <w:rsid w:val="47A90442"/>
    <w:rsid w:val="47AC0726"/>
    <w:rsid w:val="47AC0A26"/>
    <w:rsid w:val="47B3708C"/>
    <w:rsid w:val="47C836C3"/>
    <w:rsid w:val="47CD33E9"/>
    <w:rsid w:val="47D91D8D"/>
    <w:rsid w:val="47F16027"/>
    <w:rsid w:val="481C1C7A"/>
    <w:rsid w:val="481F0363"/>
    <w:rsid w:val="4821367A"/>
    <w:rsid w:val="4828582E"/>
    <w:rsid w:val="48425B85"/>
    <w:rsid w:val="484B6119"/>
    <w:rsid w:val="48767F70"/>
    <w:rsid w:val="488A3088"/>
    <w:rsid w:val="48A32C8B"/>
    <w:rsid w:val="48BF71D5"/>
    <w:rsid w:val="48C20BBE"/>
    <w:rsid w:val="49185819"/>
    <w:rsid w:val="491C6AFA"/>
    <w:rsid w:val="4932119D"/>
    <w:rsid w:val="493A1676"/>
    <w:rsid w:val="493F0316"/>
    <w:rsid w:val="4969564E"/>
    <w:rsid w:val="49706E5A"/>
    <w:rsid w:val="4972405A"/>
    <w:rsid w:val="4977360C"/>
    <w:rsid w:val="499A379E"/>
    <w:rsid w:val="49A5461D"/>
    <w:rsid w:val="49A846F8"/>
    <w:rsid w:val="49AC54BA"/>
    <w:rsid w:val="4A1448A8"/>
    <w:rsid w:val="4A217A88"/>
    <w:rsid w:val="4A4C6847"/>
    <w:rsid w:val="4A6022F2"/>
    <w:rsid w:val="4A7646BA"/>
    <w:rsid w:val="4A965D14"/>
    <w:rsid w:val="4A975F13"/>
    <w:rsid w:val="4AB97C54"/>
    <w:rsid w:val="4AC46D25"/>
    <w:rsid w:val="4AFB0FDE"/>
    <w:rsid w:val="4B014C01"/>
    <w:rsid w:val="4B0B4954"/>
    <w:rsid w:val="4B1E7AAF"/>
    <w:rsid w:val="4B1F21AD"/>
    <w:rsid w:val="4B344B67"/>
    <w:rsid w:val="4B4A79E6"/>
    <w:rsid w:val="4B502367"/>
    <w:rsid w:val="4B536E38"/>
    <w:rsid w:val="4B6D2F19"/>
    <w:rsid w:val="4B871421"/>
    <w:rsid w:val="4B8D7117"/>
    <w:rsid w:val="4B9D7E91"/>
    <w:rsid w:val="4BA80A71"/>
    <w:rsid w:val="4BB74194"/>
    <w:rsid w:val="4BBE6C56"/>
    <w:rsid w:val="4BD87EE6"/>
    <w:rsid w:val="4BE4100C"/>
    <w:rsid w:val="4BEB02E1"/>
    <w:rsid w:val="4BF2341E"/>
    <w:rsid w:val="4C1830D1"/>
    <w:rsid w:val="4C2555A1"/>
    <w:rsid w:val="4C2D13C2"/>
    <w:rsid w:val="4C3D2C67"/>
    <w:rsid w:val="4C50202F"/>
    <w:rsid w:val="4C6267F5"/>
    <w:rsid w:val="4C716A38"/>
    <w:rsid w:val="4C760FD5"/>
    <w:rsid w:val="4C7E2F03"/>
    <w:rsid w:val="4CA40468"/>
    <w:rsid w:val="4CB608EF"/>
    <w:rsid w:val="4CBA5818"/>
    <w:rsid w:val="4CC0427D"/>
    <w:rsid w:val="4CCC673D"/>
    <w:rsid w:val="4CD64AED"/>
    <w:rsid w:val="4D063625"/>
    <w:rsid w:val="4D353699"/>
    <w:rsid w:val="4D3A50CF"/>
    <w:rsid w:val="4D4E28D6"/>
    <w:rsid w:val="4D562FEC"/>
    <w:rsid w:val="4D7204C6"/>
    <w:rsid w:val="4D746E8E"/>
    <w:rsid w:val="4D8D1626"/>
    <w:rsid w:val="4D9724CF"/>
    <w:rsid w:val="4D9B1198"/>
    <w:rsid w:val="4DAE5A6A"/>
    <w:rsid w:val="4DBE4E9F"/>
    <w:rsid w:val="4DC67679"/>
    <w:rsid w:val="4E013DEC"/>
    <w:rsid w:val="4E037B64"/>
    <w:rsid w:val="4E131ACC"/>
    <w:rsid w:val="4E263853"/>
    <w:rsid w:val="4E347BA2"/>
    <w:rsid w:val="4E407033"/>
    <w:rsid w:val="4E4B5067"/>
    <w:rsid w:val="4E7B0469"/>
    <w:rsid w:val="4E8A5B90"/>
    <w:rsid w:val="4F473A81"/>
    <w:rsid w:val="4F615527"/>
    <w:rsid w:val="4F70158F"/>
    <w:rsid w:val="4F9D7B44"/>
    <w:rsid w:val="4FC6709B"/>
    <w:rsid w:val="4FD521A6"/>
    <w:rsid w:val="4FEB3E89"/>
    <w:rsid w:val="50067C12"/>
    <w:rsid w:val="50086328"/>
    <w:rsid w:val="500B0F52"/>
    <w:rsid w:val="501064D3"/>
    <w:rsid w:val="50163C0A"/>
    <w:rsid w:val="501C6CBB"/>
    <w:rsid w:val="50230744"/>
    <w:rsid w:val="503C1682"/>
    <w:rsid w:val="504601DC"/>
    <w:rsid w:val="504B75A0"/>
    <w:rsid w:val="504D3319"/>
    <w:rsid w:val="50ED0658"/>
    <w:rsid w:val="5109750B"/>
    <w:rsid w:val="51104F40"/>
    <w:rsid w:val="51316796"/>
    <w:rsid w:val="51380117"/>
    <w:rsid w:val="515D3A2F"/>
    <w:rsid w:val="517A6C32"/>
    <w:rsid w:val="518E762F"/>
    <w:rsid w:val="519628F3"/>
    <w:rsid w:val="51AE7DE7"/>
    <w:rsid w:val="51C13FBE"/>
    <w:rsid w:val="51D674CB"/>
    <w:rsid w:val="51F55A16"/>
    <w:rsid w:val="520774F7"/>
    <w:rsid w:val="520C480A"/>
    <w:rsid w:val="52182B92"/>
    <w:rsid w:val="522F7E83"/>
    <w:rsid w:val="523E076D"/>
    <w:rsid w:val="5245699D"/>
    <w:rsid w:val="52497B10"/>
    <w:rsid w:val="526A01B2"/>
    <w:rsid w:val="529A036B"/>
    <w:rsid w:val="52B10765"/>
    <w:rsid w:val="52B93619"/>
    <w:rsid w:val="52B952CD"/>
    <w:rsid w:val="52C673B2"/>
    <w:rsid w:val="52DF7040"/>
    <w:rsid w:val="53165C44"/>
    <w:rsid w:val="53193986"/>
    <w:rsid w:val="532365B3"/>
    <w:rsid w:val="53281E1B"/>
    <w:rsid w:val="532F2BCB"/>
    <w:rsid w:val="534A1D91"/>
    <w:rsid w:val="53673204"/>
    <w:rsid w:val="539248CB"/>
    <w:rsid w:val="539A6875"/>
    <w:rsid w:val="539F755D"/>
    <w:rsid w:val="53A2397B"/>
    <w:rsid w:val="53A57793"/>
    <w:rsid w:val="53B60928"/>
    <w:rsid w:val="53B8319F"/>
    <w:rsid w:val="53CD15F0"/>
    <w:rsid w:val="53D041D1"/>
    <w:rsid w:val="53DD2C05"/>
    <w:rsid w:val="53EB113C"/>
    <w:rsid w:val="5415239F"/>
    <w:rsid w:val="54295E34"/>
    <w:rsid w:val="542C1497"/>
    <w:rsid w:val="543F741C"/>
    <w:rsid w:val="545C1D7C"/>
    <w:rsid w:val="54640C31"/>
    <w:rsid w:val="54721577"/>
    <w:rsid w:val="54773E1A"/>
    <w:rsid w:val="547E7DFE"/>
    <w:rsid w:val="548D3D3E"/>
    <w:rsid w:val="548F2152"/>
    <w:rsid w:val="549534E0"/>
    <w:rsid w:val="54971DBB"/>
    <w:rsid w:val="54980C95"/>
    <w:rsid w:val="54B5148C"/>
    <w:rsid w:val="54BC281B"/>
    <w:rsid w:val="54BE47E5"/>
    <w:rsid w:val="54DA7145"/>
    <w:rsid w:val="54F55EF3"/>
    <w:rsid w:val="550B14E5"/>
    <w:rsid w:val="55164621"/>
    <w:rsid w:val="556A2277"/>
    <w:rsid w:val="55C4407D"/>
    <w:rsid w:val="55C7591B"/>
    <w:rsid w:val="55CD4E7B"/>
    <w:rsid w:val="56007BF1"/>
    <w:rsid w:val="56382375"/>
    <w:rsid w:val="56551179"/>
    <w:rsid w:val="566A39AB"/>
    <w:rsid w:val="566B2827"/>
    <w:rsid w:val="5674315F"/>
    <w:rsid w:val="56786C15"/>
    <w:rsid w:val="56794E67"/>
    <w:rsid w:val="567A40B0"/>
    <w:rsid w:val="567C5B8B"/>
    <w:rsid w:val="56933A4F"/>
    <w:rsid w:val="56AC65DB"/>
    <w:rsid w:val="56D025AE"/>
    <w:rsid w:val="56D67681"/>
    <w:rsid w:val="56ED3277"/>
    <w:rsid w:val="56F00EA2"/>
    <w:rsid w:val="56F02FEC"/>
    <w:rsid w:val="570813E5"/>
    <w:rsid w:val="572172AD"/>
    <w:rsid w:val="574B60D8"/>
    <w:rsid w:val="574D1E50"/>
    <w:rsid w:val="575136EE"/>
    <w:rsid w:val="577E46FF"/>
    <w:rsid w:val="57827D4C"/>
    <w:rsid w:val="57874D86"/>
    <w:rsid w:val="57F65EDE"/>
    <w:rsid w:val="58040325"/>
    <w:rsid w:val="5818767D"/>
    <w:rsid w:val="58226E39"/>
    <w:rsid w:val="58256929"/>
    <w:rsid w:val="58385019"/>
    <w:rsid w:val="584A6390"/>
    <w:rsid w:val="5853793A"/>
    <w:rsid w:val="58790B0E"/>
    <w:rsid w:val="58941782"/>
    <w:rsid w:val="589A7317"/>
    <w:rsid w:val="589F66DB"/>
    <w:rsid w:val="58D565A1"/>
    <w:rsid w:val="58EB2CD9"/>
    <w:rsid w:val="58EF7663"/>
    <w:rsid w:val="590B0E06"/>
    <w:rsid w:val="591207EE"/>
    <w:rsid w:val="592941F7"/>
    <w:rsid w:val="594A15AA"/>
    <w:rsid w:val="59637709"/>
    <w:rsid w:val="597F3BD7"/>
    <w:rsid w:val="598E5452"/>
    <w:rsid w:val="59AD307A"/>
    <w:rsid w:val="59BD32BD"/>
    <w:rsid w:val="59DE0B0D"/>
    <w:rsid w:val="59FE7432"/>
    <w:rsid w:val="5A14005F"/>
    <w:rsid w:val="5A24333C"/>
    <w:rsid w:val="5A272E2C"/>
    <w:rsid w:val="5A36015F"/>
    <w:rsid w:val="5A5B2AD6"/>
    <w:rsid w:val="5A5C0D28"/>
    <w:rsid w:val="5A8A42AA"/>
    <w:rsid w:val="5A8E37B2"/>
    <w:rsid w:val="5AB04BD0"/>
    <w:rsid w:val="5ABC1D83"/>
    <w:rsid w:val="5AC62645"/>
    <w:rsid w:val="5ACE5056"/>
    <w:rsid w:val="5AE82325"/>
    <w:rsid w:val="5AF2343A"/>
    <w:rsid w:val="5B3E6EE9"/>
    <w:rsid w:val="5B5B45D5"/>
    <w:rsid w:val="5B6065F6"/>
    <w:rsid w:val="5B61236E"/>
    <w:rsid w:val="5B663D64"/>
    <w:rsid w:val="5B6A162C"/>
    <w:rsid w:val="5B6C02A2"/>
    <w:rsid w:val="5B6E36A9"/>
    <w:rsid w:val="5B8C62B2"/>
    <w:rsid w:val="5B90055D"/>
    <w:rsid w:val="5B9E482C"/>
    <w:rsid w:val="5BBB1158"/>
    <w:rsid w:val="5BF925A6"/>
    <w:rsid w:val="5BFB37F9"/>
    <w:rsid w:val="5C09365C"/>
    <w:rsid w:val="5C135D05"/>
    <w:rsid w:val="5C237623"/>
    <w:rsid w:val="5C311D40"/>
    <w:rsid w:val="5C4C6B7A"/>
    <w:rsid w:val="5C842019"/>
    <w:rsid w:val="5C8E2CEF"/>
    <w:rsid w:val="5CB9354B"/>
    <w:rsid w:val="5CBD35D4"/>
    <w:rsid w:val="5CD252D1"/>
    <w:rsid w:val="5CF81DC4"/>
    <w:rsid w:val="5CFB5EAA"/>
    <w:rsid w:val="5CFBE994"/>
    <w:rsid w:val="5D010274"/>
    <w:rsid w:val="5D0D6309"/>
    <w:rsid w:val="5D2B2C34"/>
    <w:rsid w:val="5D4B2344"/>
    <w:rsid w:val="5D69550A"/>
    <w:rsid w:val="5D997B9D"/>
    <w:rsid w:val="5DAD53F7"/>
    <w:rsid w:val="5DB818AA"/>
    <w:rsid w:val="5DDF6716"/>
    <w:rsid w:val="5DE6559B"/>
    <w:rsid w:val="5DEA03F9"/>
    <w:rsid w:val="5DEE0667"/>
    <w:rsid w:val="5E0314BA"/>
    <w:rsid w:val="5E196F30"/>
    <w:rsid w:val="5E3653EC"/>
    <w:rsid w:val="5E3E6996"/>
    <w:rsid w:val="5E3F64CF"/>
    <w:rsid w:val="5E40626B"/>
    <w:rsid w:val="5E43213F"/>
    <w:rsid w:val="5E592EE3"/>
    <w:rsid w:val="5E671A49"/>
    <w:rsid w:val="5E6F08FE"/>
    <w:rsid w:val="5E7E4719"/>
    <w:rsid w:val="5E7E6D93"/>
    <w:rsid w:val="5E826883"/>
    <w:rsid w:val="5E895E64"/>
    <w:rsid w:val="5E8D24F9"/>
    <w:rsid w:val="5E916AC6"/>
    <w:rsid w:val="5EA648A8"/>
    <w:rsid w:val="5ECC3FA2"/>
    <w:rsid w:val="5EF84D97"/>
    <w:rsid w:val="5F0828D4"/>
    <w:rsid w:val="5F103E8F"/>
    <w:rsid w:val="5F116976"/>
    <w:rsid w:val="5F1C1A53"/>
    <w:rsid w:val="5F1C2834"/>
    <w:rsid w:val="5F1F116C"/>
    <w:rsid w:val="5F237C76"/>
    <w:rsid w:val="5F5A15AE"/>
    <w:rsid w:val="5F64242D"/>
    <w:rsid w:val="5F685B6F"/>
    <w:rsid w:val="5F6D12E1"/>
    <w:rsid w:val="5F6D308F"/>
    <w:rsid w:val="5F7C4A43"/>
    <w:rsid w:val="5F7E34EF"/>
    <w:rsid w:val="5F813833"/>
    <w:rsid w:val="5FA016B7"/>
    <w:rsid w:val="5FAD5B82"/>
    <w:rsid w:val="5FCA30A7"/>
    <w:rsid w:val="5FFE1F39"/>
    <w:rsid w:val="6008725C"/>
    <w:rsid w:val="60145C01"/>
    <w:rsid w:val="601856F1"/>
    <w:rsid w:val="602E56A9"/>
    <w:rsid w:val="6037711A"/>
    <w:rsid w:val="60397415"/>
    <w:rsid w:val="60487659"/>
    <w:rsid w:val="605B3830"/>
    <w:rsid w:val="606F1089"/>
    <w:rsid w:val="606F2B03"/>
    <w:rsid w:val="6094289E"/>
    <w:rsid w:val="60AE7E03"/>
    <w:rsid w:val="60B44CEE"/>
    <w:rsid w:val="60BE3B6C"/>
    <w:rsid w:val="60D21CFD"/>
    <w:rsid w:val="60D84CE3"/>
    <w:rsid w:val="60D96503"/>
    <w:rsid w:val="60DA0BF8"/>
    <w:rsid w:val="60E3046B"/>
    <w:rsid w:val="60FB291D"/>
    <w:rsid w:val="61333E65"/>
    <w:rsid w:val="61386D43"/>
    <w:rsid w:val="614E0FA6"/>
    <w:rsid w:val="614F499F"/>
    <w:rsid w:val="615D5386"/>
    <w:rsid w:val="615E4969"/>
    <w:rsid w:val="61936200"/>
    <w:rsid w:val="61955BE0"/>
    <w:rsid w:val="619D39D4"/>
    <w:rsid w:val="61AD3C17"/>
    <w:rsid w:val="61D9058B"/>
    <w:rsid w:val="61E15FB7"/>
    <w:rsid w:val="6239194F"/>
    <w:rsid w:val="625C563D"/>
    <w:rsid w:val="62773F76"/>
    <w:rsid w:val="628506F0"/>
    <w:rsid w:val="6294694F"/>
    <w:rsid w:val="62960B4F"/>
    <w:rsid w:val="62AE5E99"/>
    <w:rsid w:val="62BE3C02"/>
    <w:rsid w:val="62FD689C"/>
    <w:rsid w:val="62FD7D83"/>
    <w:rsid w:val="62FE04A2"/>
    <w:rsid w:val="63185A08"/>
    <w:rsid w:val="63212B0F"/>
    <w:rsid w:val="633F2678"/>
    <w:rsid w:val="63433F66"/>
    <w:rsid w:val="635D166D"/>
    <w:rsid w:val="63666773"/>
    <w:rsid w:val="63732C3E"/>
    <w:rsid w:val="63767BB2"/>
    <w:rsid w:val="639070D9"/>
    <w:rsid w:val="6393508F"/>
    <w:rsid w:val="63984453"/>
    <w:rsid w:val="63AB687C"/>
    <w:rsid w:val="63B96071"/>
    <w:rsid w:val="63D47B81"/>
    <w:rsid w:val="63D61AC1"/>
    <w:rsid w:val="64004CDA"/>
    <w:rsid w:val="64103BEB"/>
    <w:rsid w:val="64172E9A"/>
    <w:rsid w:val="642A59F3"/>
    <w:rsid w:val="643220B8"/>
    <w:rsid w:val="64517FD4"/>
    <w:rsid w:val="64B553C4"/>
    <w:rsid w:val="64FA7C33"/>
    <w:rsid w:val="65202952"/>
    <w:rsid w:val="6525440C"/>
    <w:rsid w:val="654C12C5"/>
    <w:rsid w:val="65521477"/>
    <w:rsid w:val="655B7E2E"/>
    <w:rsid w:val="656E5DB3"/>
    <w:rsid w:val="65865564"/>
    <w:rsid w:val="6593581A"/>
    <w:rsid w:val="65B433A9"/>
    <w:rsid w:val="65C867FA"/>
    <w:rsid w:val="65D11E9E"/>
    <w:rsid w:val="65D57BE0"/>
    <w:rsid w:val="65F810A8"/>
    <w:rsid w:val="660D2ED6"/>
    <w:rsid w:val="660D5121"/>
    <w:rsid w:val="66320B8F"/>
    <w:rsid w:val="66576847"/>
    <w:rsid w:val="6663343E"/>
    <w:rsid w:val="667408C9"/>
    <w:rsid w:val="667F142B"/>
    <w:rsid w:val="66807B4C"/>
    <w:rsid w:val="66880E42"/>
    <w:rsid w:val="668D4017"/>
    <w:rsid w:val="66964597"/>
    <w:rsid w:val="66990C0E"/>
    <w:rsid w:val="669B6734"/>
    <w:rsid w:val="66A650D9"/>
    <w:rsid w:val="66B17B57"/>
    <w:rsid w:val="66B71094"/>
    <w:rsid w:val="66C11F13"/>
    <w:rsid w:val="66CE0DEC"/>
    <w:rsid w:val="66ED4B5B"/>
    <w:rsid w:val="66F52E78"/>
    <w:rsid w:val="66F75934"/>
    <w:rsid w:val="670B7293"/>
    <w:rsid w:val="670C7632"/>
    <w:rsid w:val="672F41F6"/>
    <w:rsid w:val="675114E9"/>
    <w:rsid w:val="675F375B"/>
    <w:rsid w:val="675F565F"/>
    <w:rsid w:val="67642FCA"/>
    <w:rsid w:val="67674868"/>
    <w:rsid w:val="676F50D8"/>
    <w:rsid w:val="67891D43"/>
    <w:rsid w:val="6796339F"/>
    <w:rsid w:val="67A27F96"/>
    <w:rsid w:val="67CB129B"/>
    <w:rsid w:val="67EB7247"/>
    <w:rsid w:val="67FB6C50"/>
    <w:rsid w:val="68042FE2"/>
    <w:rsid w:val="680C4CB4"/>
    <w:rsid w:val="680E1188"/>
    <w:rsid w:val="681D7BF9"/>
    <w:rsid w:val="68222E13"/>
    <w:rsid w:val="6861124B"/>
    <w:rsid w:val="6878243D"/>
    <w:rsid w:val="68DB550E"/>
    <w:rsid w:val="68DB6789"/>
    <w:rsid w:val="68E74BEC"/>
    <w:rsid w:val="68F23B23"/>
    <w:rsid w:val="69076303"/>
    <w:rsid w:val="691B0000"/>
    <w:rsid w:val="69251653"/>
    <w:rsid w:val="692C5D69"/>
    <w:rsid w:val="69407D02"/>
    <w:rsid w:val="695F613F"/>
    <w:rsid w:val="696306A2"/>
    <w:rsid w:val="698E723A"/>
    <w:rsid w:val="69AF27B9"/>
    <w:rsid w:val="69B71F3E"/>
    <w:rsid w:val="69CA10DE"/>
    <w:rsid w:val="69E00902"/>
    <w:rsid w:val="69FB7CEA"/>
    <w:rsid w:val="69FD7706"/>
    <w:rsid w:val="6A026ACA"/>
    <w:rsid w:val="6A0E1913"/>
    <w:rsid w:val="6A20009F"/>
    <w:rsid w:val="6A274783"/>
    <w:rsid w:val="6A276531"/>
    <w:rsid w:val="6A791B04"/>
    <w:rsid w:val="6A7A0D56"/>
    <w:rsid w:val="6A8C4CAC"/>
    <w:rsid w:val="6A927E4E"/>
    <w:rsid w:val="6A96214E"/>
    <w:rsid w:val="6AA76E2F"/>
    <w:rsid w:val="6AC469C2"/>
    <w:rsid w:val="6ADE3093"/>
    <w:rsid w:val="6AE6019A"/>
    <w:rsid w:val="6AF723A7"/>
    <w:rsid w:val="6AFA59F3"/>
    <w:rsid w:val="6B0366B0"/>
    <w:rsid w:val="6B106FC5"/>
    <w:rsid w:val="6B264A3A"/>
    <w:rsid w:val="6B511AB7"/>
    <w:rsid w:val="6BB32772"/>
    <w:rsid w:val="6BDB0C93"/>
    <w:rsid w:val="6BE97F42"/>
    <w:rsid w:val="6BFA214F"/>
    <w:rsid w:val="6C180827"/>
    <w:rsid w:val="6C1D37A2"/>
    <w:rsid w:val="6C22683E"/>
    <w:rsid w:val="6C240F7A"/>
    <w:rsid w:val="6C5E6BA8"/>
    <w:rsid w:val="6C7D150D"/>
    <w:rsid w:val="6C90524C"/>
    <w:rsid w:val="6C945380"/>
    <w:rsid w:val="6C983716"/>
    <w:rsid w:val="6CA43E69"/>
    <w:rsid w:val="6CCB3AEB"/>
    <w:rsid w:val="6CDB1AE0"/>
    <w:rsid w:val="6CF03552"/>
    <w:rsid w:val="6CF90658"/>
    <w:rsid w:val="6D0E5786"/>
    <w:rsid w:val="6D1234C8"/>
    <w:rsid w:val="6D1C60F5"/>
    <w:rsid w:val="6D3E42BD"/>
    <w:rsid w:val="6D464F20"/>
    <w:rsid w:val="6D745F31"/>
    <w:rsid w:val="6D8E6FF3"/>
    <w:rsid w:val="6DB70DD5"/>
    <w:rsid w:val="6DB86E0B"/>
    <w:rsid w:val="6DCC18C9"/>
    <w:rsid w:val="6E0077C5"/>
    <w:rsid w:val="6E11552E"/>
    <w:rsid w:val="6E2735D2"/>
    <w:rsid w:val="6E2A26B9"/>
    <w:rsid w:val="6E3F209B"/>
    <w:rsid w:val="6E5024FA"/>
    <w:rsid w:val="6E5518BE"/>
    <w:rsid w:val="6E6C6C08"/>
    <w:rsid w:val="6E8145E0"/>
    <w:rsid w:val="6E8B48D5"/>
    <w:rsid w:val="6EA6211A"/>
    <w:rsid w:val="6EAE6B68"/>
    <w:rsid w:val="6EC30630"/>
    <w:rsid w:val="6EC46A44"/>
    <w:rsid w:val="6EDC3D8E"/>
    <w:rsid w:val="6F06530B"/>
    <w:rsid w:val="6F1C23DC"/>
    <w:rsid w:val="6F5A64A4"/>
    <w:rsid w:val="6F696BD0"/>
    <w:rsid w:val="6F6B6EC0"/>
    <w:rsid w:val="6F71097A"/>
    <w:rsid w:val="6F771D14"/>
    <w:rsid w:val="6F7C7C3D"/>
    <w:rsid w:val="6F9B1553"/>
    <w:rsid w:val="6FAC7C04"/>
    <w:rsid w:val="6FB72105"/>
    <w:rsid w:val="6FD430CB"/>
    <w:rsid w:val="6FD809F9"/>
    <w:rsid w:val="6FE55EDD"/>
    <w:rsid w:val="6FEA4497"/>
    <w:rsid w:val="6FEF7AF1"/>
    <w:rsid w:val="700A492A"/>
    <w:rsid w:val="703642F5"/>
    <w:rsid w:val="703874E4"/>
    <w:rsid w:val="703B6CD7"/>
    <w:rsid w:val="704240C4"/>
    <w:rsid w:val="70634ED0"/>
    <w:rsid w:val="7065300C"/>
    <w:rsid w:val="7089297C"/>
    <w:rsid w:val="709D579F"/>
    <w:rsid w:val="70ED4030"/>
    <w:rsid w:val="710B67EA"/>
    <w:rsid w:val="7114210E"/>
    <w:rsid w:val="71507281"/>
    <w:rsid w:val="71526589"/>
    <w:rsid w:val="71600CA6"/>
    <w:rsid w:val="71644F13"/>
    <w:rsid w:val="71687B5B"/>
    <w:rsid w:val="71735896"/>
    <w:rsid w:val="71A14E1B"/>
    <w:rsid w:val="71A768D5"/>
    <w:rsid w:val="71AD7C63"/>
    <w:rsid w:val="71CF3736"/>
    <w:rsid w:val="71E73175"/>
    <w:rsid w:val="71F31FB3"/>
    <w:rsid w:val="71F86843"/>
    <w:rsid w:val="721101F2"/>
    <w:rsid w:val="72231CD3"/>
    <w:rsid w:val="722D66AE"/>
    <w:rsid w:val="723366C9"/>
    <w:rsid w:val="726C367A"/>
    <w:rsid w:val="727662A7"/>
    <w:rsid w:val="727E1D88"/>
    <w:rsid w:val="7285083D"/>
    <w:rsid w:val="729329B5"/>
    <w:rsid w:val="72962D83"/>
    <w:rsid w:val="72AC1CC9"/>
    <w:rsid w:val="72D82ABE"/>
    <w:rsid w:val="72DD1E82"/>
    <w:rsid w:val="72E50822"/>
    <w:rsid w:val="72FD0776"/>
    <w:rsid w:val="73297C92"/>
    <w:rsid w:val="7337161B"/>
    <w:rsid w:val="735201D5"/>
    <w:rsid w:val="735843A0"/>
    <w:rsid w:val="73667774"/>
    <w:rsid w:val="7375030D"/>
    <w:rsid w:val="738844E4"/>
    <w:rsid w:val="738B5D82"/>
    <w:rsid w:val="739C7F8F"/>
    <w:rsid w:val="73E32D82"/>
    <w:rsid w:val="73F76F74"/>
    <w:rsid w:val="740578E3"/>
    <w:rsid w:val="74471CA9"/>
    <w:rsid w:val="745D7266"/>
    <w:rsid w:val="74600FBD"/>
    <w:rsid w:val="747D0BD1"/>
    <w:rsid w:val="747D6BA8"/>
    <w:rsid w:val="74827185"/>
    <w:rsid w:val="748C0004"/>
    <w:rsid w:val="74AC7D5E"/>
    <w:rsid w:val="74AD4072"/>
    <w:rsid w:val="74C55B4B"/>
    <w:rsid w:val="74E05C5A"/>
    <w:rsid w:val="75004B37"/>
    <w:rsid w:val="75061AC9"/>
    <w:rsid w:val="75330480"/>
    <w:rsid w:val="75363ACC"/>
    <w:rsid w:val="756E14B8"/>
    <w:rsid w:val="75703448"/>
    <w:rsid w:val="757230C9"/>
    <w:rsid w:val="75731E4E"/>
    <w:rsid w:val="75771499"/>
    <w:rsid w:val="75774810"/>
    <w:rsid w:val="757A4300"/>
    <w:rsid w:val="75867A54"/>
    <w:rsid w:val="759A5E6F"/>
    <w:rsid w:val="759F78C3"/>
    <w:rsid w:val="75A02C3D"/>
    <w:rsid w:val="75AD1FE0"/>
    <w:rsid w:val="75E83CBD"/>
    <w:rsid w:val="75EB48B6"/>
    <w:rsid w:val="75EF43A6"/>
    <w:rsid w:val="75F667E3"/>
    <w:rsid w:val="76004806"/>
    <w:rsid w:val="76037E52"/>
    <w:rsid w:val="760A7432"/>
    <w:rsid w:val="76116A13"/>
    <w:rsid w:val="76157B85"/>
    <w:rsid w:val="76724FD8"/>
    <w:rsid w:val="76872831"/>
    <w:rsid w:val="76953D1D"/>
    <w:rsid w:val="76966110"/>
    <w:rsid w:val="769B452E"/>
    <w:rsid w:val="76AA1283"/>
    <w:rsid w:val="76B13D52"/>
    <w:rsid w:val="76C03F95"/>
    <w:rsid w:val="76D90BB3"/>
    <w:rsid w:val="771D13E7"/>
    <w:rsid w:val="77304C77"/>
    <w:rsid w:val="773777BE"/>
    <w:rsid w:val="77425E1D"/>
    <w:rsid w:val="77660698"/>
    <w:rsid w:val="77664B3C"/>
    <w:rsid w:val="77862878"/>
    <w:rsid w:val="77ED2B68"/>
    <w:rsid w:val="77F056E2"/>
    <w:rsid w:val="780806BC"/>
    <w:rsid w:val="780D398B"/>
    <w:rsid w:val="78210798"/>
    <w:rsid w:val="78252301"/>
    <w:rsid w:val="784C1F84"/>
    <w:rsid w:val="78574485"/>
    <w:rsid w:val="789631FF"/>
    <w:rsid w:val="78A05E2C"/>
    <w:rsid w:val="78B6564F"/>
    <w:rsid w:val="78CA10FB"/>
    <w:rsid w:val="78CC4E73"/>
    <w:rsid w:val="78D33B67"/>
    <w:rsid w:val="7904460D"/>
    <w:rsid w:val="790E2D96"/>
    <w:rsid w:val="79680D4E"/>
    <w:rsid w:val="796C3F60"/>
    <w:rsid w:val="799004E1"/>
    <w:rsid w:val="79AF7ABE"/>
    <w:rsid w:val="79B53B59"/>
    <w:rsid w:val="79B7167F"/>
    <w:rsid w:val="79BE1EEF"/>
    <w:rsid w:val="79E3533A"/>
    <w:rsid w:val="79EE2BC7"/>
    <w:rsid w:val="7A0A5C53"/>
    <w:rsid w:val="7A0D129F"/>
    <w:rsid w:val="7A1D6184"/>
    <w:rsid w:val="7A1E525A"/>
    <w:rsid w:val="7A2D0B77"/>
    <w:rsid w:val="7A363DBC"/>
    <w:rsid w:val="7A4153ED"/>
    <w:rsid w:val="7A633CB5"/>
    <w:rsid w:val="7A726D40"/>
    <w:rsid w:val="7A85177D"/>
    <w:rsid w:val="7AA02113"/>
    <w:rsid w:val="7AA05616"/>
    <w:rsid w:val="7AAC4F5C"/>
    <w:rsid w:val="7AFA67B4"/>
    <w:rsid w:val="7B0546E5"/>
    <w:rsid w:val="7B13722D"/>
    <w:rsid w:val="7B276391"/>
    <w:rsid w:val="7B354F51"/>
    <w:rsid w:val="7B3A4316"/>
    <w:rsid w:val="7B3B6213"/>
    <w:rsid w:val="7B3F5941"/>
    <w:rsid w:val="7B570143"/>
    <w:rsid w:val="7B605C8A"/>
    <w:rsid w:val="7B6E2211"/>
    <w:rsid w:val="7B9E5BFA"/>
    <w:rsid w:val="7BB840B1"/>
    <w:rsid w:val="7BC57958"/>
    <w:rsid w:val="7BF3783E"/>
    <w:rsid w:val="7BFD3595"/>
    <w:rsid w:val="7BFF2E69"/>
    <w:rsid w:val="7C042B76"/>
    <w:rsid w:val="7C127041"/>
    <w:rsid w:val="7C267DE9"/>
    <w:rsid w:val="7C2B2BD4"/>
    <w:rsid w:val="7C4D0079"/>
    <w:rsid w:val="7C555285"/>
    <w:rsid w:val="7C5C02BC"/>
    <w:rsid w:val="7C6929D9"/>
    <w:rsid w:val="7C8F1096"/>
    <w:rsid w:val="7CB9134D"/>
    <w:rsid w:val="7CCC0EEB"/>
    <w:rsid w:val="7CD662C0"/>
    <w:rsid w:val="7CD6759C"/>
    <w:rsid w:val="7D0821F2"/>
    <w:rsid w:val="7D1868D9"/>
    <w:rsid w:val="7D465F71"/>
    <w:rsid w:val="7D52089B"/>
    <w:rsid w:val="7D5F4B62"/>
    <w:rsid w:val="7D805BC0"/>
    <w:rsid w:val="7D852387"/>
    <w:rsid w:val="7DA10183"/>
    <w:rsid w:val="7DA23E7C"/>
    <w:rsid w:val="7DC205F3"/>
    <w:rsid w:val="7DCF4ABD"/>
    <w:rsid w:val="7DE40569"/>
    <w:rsid w:val="7DE44A0D"/>
    <w:rsid w:val="7DEF6617"/>
    <w:rsid w:val="7E152E18"/>
    <w:rsid w:val="7E394D59"/>
    <w:rsid w:val="7E46008C"/>
    <w:rsid w:val="7E865AC4"/>
    <w:rsid w:val="7E87153C"/>
    <w:rsid w:val="7E9A47B6"/>
    <w:rsid w:val="7EA45F4A"/>
    <w:rsid w:val="7EB663A9"/>
    <w:rsid w:val="7ED05EF3"/>
    <w:rsid w:val="7EDE76AE"/>
    <w:rsid w:val="7F052E8D"/>
    <w:rsid w:val="7F144E7E"/>
    <w:rsid w:val="7F550F96"/>
    <w:rsid w:val="7F6C4D94"/>
    <w:rsid w:val="7F795C29"/>
    <w:rsid w:val="7F9F1504"/>
    <w:rsid w:val="7FBD5515"/>
    <w:rsid w:val="7FE01204"/>
    <w:rsid w:val="BF7700CA"/>
    <w:rsid w:val="FAF93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仿宋_GB2312" w:eastAsia="方正仿宋_GB2312" w:hAnsiTheme="minorHAnsi" w:cstheme="minorBidi"/>
      <w:kern w:val="2"/>
      <w:sz w:val="32"/>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Times New Roman"/>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方正楷体_GB2312" w:hAnsi="方正楷体_GB2312" w:eastAsia="方正楷体_GB2312" w:cs="Times New Roman"/>
      <w:sz w:val="32"/>
      <w:szCs w:val="32"/>
    </w:rPr>
  </w:style>
  <w:style w:type="paragraph" w:styleId="4">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方正仿宋_GB2312" w:hAnsi="方正仿宋_GB2312" w:eastAsia="方正仿宋_GB2312" w:cs="Times New Roman"/>
      <w:sz w:val="32"/>
      <w:szCs w:val="32"/>
    </w:rPr>
  </w:style>
  <w:style w:type="paragraph" w:styleId="5">
    <w:name w:val="heading 4"/>
    <w:next w:val="1"/>
    <w:unhideWhenUsed/>
    <w:qFormat/>
    <w:uiPriority w:val="0"/>
    <w:pPr>
      <w:keepNext/>
      <w:keepLines/>
      <w:spacing w:beforeLines="0" w:beforeAutospacing="0" w:afterLines="0" w:afterAutospacing="0" w:line="560" w:lineRule="exact"/>
      <w:ind w:firstLine="894" w:firstLineChars="200"/>
      <w:outlineLvl w:val="3"/>
    </w:pPr>
    <w:rPr>
      <w:rFonts w:ascii="方正仿宋_GB2312" w:hAnsi="方正仿宋_GB2312" w:eastAsia="方正仿宋_GB2312" w:cs="Times New Roman"/>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qFormat/>
    <w:uiPriority w:val="0"/>
    <w:pPr>
      <w:spacing w:line="560" w:lineRule="exact"/>
      <w:ind w:firstLine="630" w:firstLineChars="200"/>
      <w:jc w:val="both"/>
    </w:pPr>
    <w:rPr>
      <w:rFonts w:ascii="方正仿宋_GB2312" w:hAnsi="方正仿宋_GB2312" w:eastAsia="方正仿宋_GB2312" w:cs="Times New Roman"/>
      <w:spacing w:val="-6"/>
      <w:sz w:val="32"/>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1">
    <w:name w:val="toc 1"/>
    <w:basedOn w:val="1"/>
    <w:next w:val="1"/>
    <w:qFormat/>
    <w:uiPriority w:val="0"/>
  </w:style>
  <w:style w:type="paragraph" w:styleId="12">
    <w:name w:val="Subtitle"/>
    <w:qFormat/>
    <w:uiPriority w:val="0"/>
    <w:pPr>
      <w:spacing w:beforeLines="0" w:beforeAutospacing="0" w:afterLines="0" w:afterAutospacing="0" w:line="560" w:lineRule="exact"/>
      <w:jc w:val="center"/>
      <w:outlineLvl w:val="1"/>
    </w:pPr>
    <w:rPr>
      <w:rFonts w:ascii="方正楷体_GB2312" w:hAnsi="方正楷体_GB2312" w:eastAsia="方正楷体_GB2312" w:cs="Times New Roman"/>
      <w:kern w:val="28"/>
      <w:sz w:val="32"/>
      <w:szCs w:val="32"/>
    </w:rPr>
  </w:style>
  <w:style w:type="paragraph" w:styleId="13">
    <w:name w:val="toc 2"/>
    <w:basedOn w:val="1"/>
    <w:next w:val="1"/>
    <w:qFormat/>
    <w:uiPriority w:val="0"/>
    <w:pPr>
      <w:ind w:left="420" w:leftChars="200"/>
    </w:pPr>
  </w:style>
  <w:style w:type="paragraph" w:styleId="14">
    <w:name w:val="Title"/>
    <w:qFormat/>
    <w:uiPriority w:val="0"/>
    <w:pPr>
      <w:spacing w:line="720" w:lineRule="exact"/>
      <w:jc w:val="center"/>
      <w:outlineLvl w:val="0"/>
    </w:pPr>
    <w:rPr>
      <w:rFonts w:ascii="方正小标宋简体" w:hAnsi="方正小标宋简体" w:eastAsia="方正小标宋简体" w:cs="Times New Roman"/>
      <w:sz w:val="44"/>
      <w:szCs w:val="44"/>
    </w:rPr>
  </w:style>
  <w:style w:type="table" w:styleId="16">
    <w:name w:val="Table Grid"/>
    <w:basedOn w:val="15"/>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rPr>
      <w:rFonts w:ascii="Times New Roman" w:hAnsi="Times New Roman" w:eastAsia="宋体" w:cs="Times New Roman"/>
    </w:rPr>
  </w:style>
  <w:style w:type="paragraph" w:customStyle="1" w:styleId="19">
    <w:name w:val="一级条标题"/>
    <w:basedOn w:val="20"/>
    <w:next w:val="21"/>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0">
    <w:name w:val="章标题"/>
    <w:next w:val="21"/>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2">
    <w:name w:val="二级无"/>
    <w:basedOn w:val="23"/>
    <w:qFormat/>
    <w:uiPriority w:val="0"/>
    <w:pPr>
      <w:spacing w:before="0" w:beforeLines="0" w:after="0" w:afterLines="0"/>
    </w:pPr>
    <w:rPr>
      <w:rFonts w:ascii="宋体" w:eastAsia="宋体"/>
    </w:rPr>
  </w:style>
  <w:style w:type="paragraph" w:customStyle="1" w:styleId="23">
    <w:name w:val="二级条标题"/>
    <w:basedOn w:val="19"/>
    <w:next w:val="21"/>
    <w:qFormat/>
    <w:uiPriority w:val="0"/>
    <w:pPr>
      <w:numPr>
        <w:ilvl w:val="2"/>
        <w:numId w:val="1"/>
      </w:numPr>
      <w:spacing w:before="50" w:after="50"/>
      <w:outlineLvl w:val="3"/>
    </w:pPr>
  </w:style>
  <w:style w:type="paragraph" w:customStyle="1" w:styleId="24">
    <w:name w:val="三级无"/>
    <w:basedOn w:val="25"/>
    <w:qFormat/>
    <w:uiPriority w:val="0"/>
    <w:pPr>
      <w:spacing w:before="0" w:beforeLines="0" w:after="0" w:afterLines="0"/>
    </w:pPr>
    <w:rPr>
      <w:rFonts w:ascii="宋体" w:eastAsia="宋体"/>
    </w:rPr>
  </w:style>
  <w:style w:type="paragraph" w:customStyle="1" w:styleId="25">
    <w:name w:val="三级条标题"/>
    <w:basedOn w:val="23"/>
    <w:next w:val="21"/>
    <w:qFormat/>
    <w:uiPriority w:val="0"/>
    <w:pPr>
      <w:numPr>
        <w:ilvl w:val="3"/>
        <w:numId w:val="1"/>
      </w:numPr>
      <w:outlineLvl w:val="4"/>
    </w:pPr>
  </w:style>
  <w:style w:type="paragraph" w:customStyle="1" w:styleId="26">
    <w:name w:val="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27">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28">
    <w:name w:val="reader-word-layer"/>
    <w:basedOn w:val="1"/>
    <w:qFormat/>
    <w:uiPriority w:val="0"/>
    <w:pPr>
      <w:widowControl/>
      <w:overflowPunct/>
      <w:topLinePunct w:val="0"/>
      <w:spacing w:before="100" w:beforeAutospacing="1" w:after="100" w:afterAutospacing="1"/>
      <w:jc w:val="left"/>
    </w:pPr>
    <w:rPr>
      <w:rFonts w:ascii="宋体" w:hAnsi="宋体" w:eastAsia="宋体" w:cs="宋体"/>
      <w:kern w:val="0"/>
      <w:sz w:val="24"/>
      <w:szCs w:val="24"/>
    </w:rPr>
  </w:style>
  <w:style w:type="paragraph" w:customStyle="1" w:styleId="29">
    <w:name w:val="正文表标题"/>
    <w:next w:val="21"/>
    <w:qFormat/>
    <w:uiPriority w:val="0"/>
    <w:pPr>
      <w:numPr>
        <w:ilvl w:val="0"/>
        <w:numId w:val="4"/>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30">
    <w:name w:val="表格标题"/>
    <w:next w:val="1"/>
    <w:qFormat/>
    <w:uiPriority w:val="0"/>
    <w:pPr>
      <w:overflowPunct w:val="0"/>
      <w:topLinePunct/>
      <w:spacing w:line="240" w:lineRule="auto"/>
      <w:jc w:val="center"/>
      <w:outlineLvl w:val="9"/>
    </w:pPr>
    <w:rPr>
      <w:rFonts w:ascii="方正仿宋_GB2312" w:hAnsi="方正仿宋_GB2312" w:eastAsia="方正仿宋_GB2312" w:cs="Times New Roman"/>
      <w:spacing w:val="-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7044</Words>
  <Characters>7882</Characters>
  <Lines>0</Lines>
  <Paragraphs>0</Paragraphs>
  <TotalTime>3</TotalTime>
  <ScaleCrop>false</ScaleCrop>
  <LinksUpToDate>false</LinksUpToDate>
  <CharactersWithSpaces>8048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2026-07-11T12:22:00Z</dcterms:created>
  <dc:creator>审评中心</dc:creator>
  <cp:lastModifiedBy>scjdglj</cp:lastModifiedBy>
  <cp:lastPrinted>2026-08-07T17:36:00Z</cp:lastPrinted>
  <dcterms:modified xsi:type="dcterms:W3CDTF">2026-08-21T18:55:17Z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eyJoZGlkIjoiOTE2NmY2MzY5MzgwMDEwYTg3Mjk0ZjBlMTRlNDFlZWMiLCJ1c2VySWQiOiIxNDYyNzg3Nzk0In0=</vt:lpwstr>
  </property>
  <property fmtid="{D5CDD505-2E9C-101B-9397-08002B2CF9AE}" pid="4" name="ICV">
    <vt:lpwstr>C7E8DBEEC9DB9A555542616A05DFA28E_43</vt:lpwstr>
  </property>
</Properties>
</file>