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698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06F7E6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《新疆维吾尔自治区气瓶检验机构监督管理办法》（征求意见稿）</w:t>
      </w:r>
    </w:p>
    <w:p w14:paraId="09C2AC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征求意见及采纳情况汇总表</w:t>
      </w:r>
    </w:p>
    <w:p w14:paraId="2351CE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86"/>
        <w:gridCol w:w="1446"/>
        <w:gridCol w:w="2086"/>
      </w:tblGrid>
      <w:tr w14:paraId="2C2D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4347F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1"/>
                <w:szCs w:val="21"/>
                <w:vertAlign w:val="baseline"/>
                <w:lang w:val="en-US" w:eastAsia="zh-CN"/>
              </w:rPr>
            </w:pPr>
            <w:r>
              <w:rPr>
                <w:rFonts w:hint="default" w:ascii="Times New Roman" w:hAnsi="Times New Roman" w:eastAsia="仿宋_GB2312" w:cs="Times New Roman"/>
                <w:b/>
                <w:bCs/>
                <w:sz w:val="21"/>
                <w:szCs w:val="21"/>
                <w:vertAlign w:val="baseline"/>
                <w:lang w:val="en-US" w:eastAsia="zh-CN"/>
              </w:rPr>
              <w:t>序号</w:t>
            </w:r>
          </w:p>
        </w:tc>
        <w:tc>
          <w:tcPr>
            <w:tcW w:w="6545" w:type="dxa"/>
            <w:noWrap w:val="0"/>
            <w:vAlign w:val="top"/>
          </w:tcPr>
          <w:p w14:paraId="03E98A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1"/>
                <w:szCs w:val="21"/>
                <w:vertAlign w:val="baseline"/>
                <w:lang w:val="en-US" w:eastAsia="zh-CN"/>
              </w:rPr>
            </w:pPr>
            <w:r>
              <w:rPr>
                <w:rFonts w:hint="default" w:ascii="Times New Roman" w:hAnsi="Times New Roman" w:eastAsia="仿宋_GB2312" w:cs="Times New Roman"/>
                <w:b/>
                <w:bCs/>
                <w:sz w:val="21"/>
                <w:szCs w:val="21"/>
                <w:vertAlign w:val="baseline"/>
                <w:lang w:val="en-US" w:eastAsia="zh-CN"/>
              </w:rPr>
              <w:t>反馈意见</w:t>
            </w:r>
          </w:p>
        </w:tc>
        <w:tc>
          <w:tcPr>
            <w:tcW w:w="2259" w:type="dxa"/>
            <w:noWrap w:val="0"/>
            <w:vAlign w:val="top"/>
          </w:tcPr>
          <w:p w14:paraId="55C16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1"/>
                <w:szCs w:val="21"/>
                <w:vertAlign w:val="baseline"/>
                <w:lang w:val="en-US" w:eastAsia="zh-CN"/>
              </w:rPr>
            </w:pPr>
            <w:r>
              <w:rPr>
                <w:rFonts w:hint="default" w:ascii="Times New Roman" w:hAnsi="Times New Roman" w:eastAsia="仿宋_GB2312" w:cs="Times New Roman"/>
                <w:b/>
                <w:bCs/>
                <w:sz w:val="21"/>
                <w:szCs w:val="21"/>
                <w:vertAlign w:val="baseline"/>
                <w:lang w:val="en-US" w:eastAsia="zh-CN"/>
              </w:rPr>
              <w:t>采纳情况</w:t>
            </w:r>
          </w:p>
        </w:tc>
        <w:tc>
          <w:tcPr>
            <w:tcW w:w="3243" w:type="dxa"/>
            <w:noWrap w:val="0"/>
            <w:vAlign w:val="top"/>
          </w:tcPr>
          <w:p w14:paraId="78B17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1"/>
                <w:szCs w:val="21"/>
                <w:vertAlign w:val="baseline"/>
                <w:lang w:val="en-US" w:eastAsia="zh-CN"/>
              </w:rPr>
            </w:pPr>
            <w:r>
              <w:rPr>
                <w:rFonts w:hint="default" w:ascii="Times New Roman" w:hAnsi="Times New Roman" w:eastAsia="仿宋_GB2312" w:cs="Times New Roman"/>
                <w:b/>
                <w:bCs/>
                <w:sz w:val="21"/>
                <w:szCs w:val="21"/>
                <w:vertAlign w:val="baseline"/>
                <w:lang w:val="en-US" w:eastAsia="zh-CN"/>
              </w:rPr>
              <w:t>不予采纳原因</w:t>
            </w:r>
          </w:p>
        </w:tc>
      </w:tr>
      <w:tr w14:paraId="06A2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639E2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p>
        </w:tc>
        <w:tc>
          <w:tcPr>
            <w:tcW w:w="6545" w:type="dxa"/>
            <w:noWrap w:val="0"/>
            <w:vAlign w:val="top"/>
          </w:tcPr>
          <w:p w14:paraId="3E96BB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将第22条修改为“气瓶检验机构在检验过程中，发现存在明显缺陷，严重事故隐患，达到设计使用年限等达到报废条件的气瓶，应当予以报废，出具气瓶报废的检验报告，实施破坏性处理。对气瓶使用单位或个人送交气瓶检验机构进行报废处理的气瓶，气瓶检验机构应当予以破坏性处理，并向气瓶使用单位或个人提供气瓶报废证明。气瓶检验机构应当及时将气瓶报废情况上传新疆特种设备智慧监管系统，并且每年向属地市场监管部门报告气瓶报废情况。”</w:t>
            </w:r>
          </w:p>
        </w:tc>
        <w:tc>
          <w:tcPr>
            <w:tcW w:w="2259" w:type="dxa"/>
            <w:noWrap w:val="0"/>
            <w:vAlign w:val="center"/>
          </w:tcPr>
          <w:p w14:paraId="14603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采纳</w:t>
            </w:r>
          </w:p>
        </w:tc>
        <w:tc>
          <w:tcPr>
            <w:tcW w:w="3243" w:type="dxa"/>
            <w:noWrap w:val="0"/>
            <w:vAlign w:val="center"/>
          </w:tcPr>
          <w:p w14:paraId="075FD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p>
        </w:tc>
      </w:tr>
      <w:tr w14:paraId="7979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20F87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w:t>
            </w:r>
          </w:p>
        </w:tc>
        <w:tc>
          <w:tcPr>
            <w:tcW w:w="6545" w:type="dxa"/>
            <w:noWrap w:val="0"/>
            <w:vAlign w:val="top"/>
          </w:tcPr>
          <w:p w14:paraId="0518C9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建议在“第十四条 气瓶检验机构应当保存检验委托单、检验原始记录、检验报告等资料，保存期限保存期限不少于6年”明确委托单保存方式，如将委托单拍照上传至系统或者直接从系统中生成。</w:t>
            </w:r>
          </w:p>
        </w:tc>
        <w:tc>
          <w:tcPr>
            <w:tcW w:w="2259" w:type="dxa"/>
            <w:noWrap w:val="0"/>
            <w:vAlign w:val="center"/>
          </w:tcPr>
          <w:p w14:paraId="7FEC5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采纳</w:t>
            </w:r>
          </w:p>
        </w:tc>
        <w:tc>
          <w:tcPr>
            <w:tcW w:w="3243" w:type="dxa"/>
            <w:noWrap w:val="0"/>
            <w:vAlign w:val="center"/>
          </w:tcPr>
          <w:p w14:paraId="70E16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p>
        </w:tc>
      </w:tr>
      <w:tr w14:paraId="208C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37A71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w:t>
            </w:r>
          </w:p>
        </w:tc>
        <w:tc>
          <w:tcPr>
            <w:tcW w:w="6545" w:type="dxa"/>
            <w:noWrap w:val="0"/>
            <w:vAlign w:val="top"/>
          </w:tcPr>
          <w:p w14:paraId="55793A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建立在“第十五条 气瓶检验机构的检验场所，应当配备固定的影像记录设备，确保检验过程实现清晰可追溯的影像记录，影像资料保存期限不少于2年。气瓶检验信息化系统至少设置3处监控摄像点位，对外观检测、水压试验、无损检测、气密性试验、静态蒸发率检测等重点检验活动进行影像记录，影像记录保存时限不得少于90天”中，明确影像资料的保存责任单位，建议由气瓶检验机构和平台建设单位共同保存。</w:t>
            </w:r>
          </w:p>
        </w:tc>
        <w:tc>
          <w:tcPr>
            <w:tcW w:w="2259" w:type="dxa"/>
            <w:noWrap w:val="0"/>
            <w:vAlign w:val="center"/>
          </w:tcPr>
          <w:p w14:paraId="000E3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采纳</w:t>
            </w:r>
          </w:p>
        </w:tc>
        <w:tc>
          <w:tcPr>
            <w:tcW w:w="3243" w:type="dxa"/>
            <w:noWrap w:val="0"/>
            <w:vAlign w:val="center"/>
          </w:tcPr>
          <w:p w14:paraId="349F7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p>
        </w:tc>
      </w:tr>
      <w:tr w14:paraId="66F1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08EB9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w:t>
            </w:r>
          </w:p>
        </w:tc>
        <w:tc>
          <w:tcPr>
            <w:tcW w:w="6545" w:type="dxa"/>
            <w:noWrap w:val="0"/>
            <w:vAlign w:val="top"/>
          </w:tcPr>
          <w:p w14:paraId="3707CB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《特种设备检验机构核准规则》建议补充：（含第1号修改单）。</w:t>
            </w:r>
          </w:p>
        </w:tc>
        <w:tc>
          <w:tcPr>
            <w:tcW w:w="2259" w:type="dxa"/>
            <w:noWrap w:val="0"/>
            <w:vAlign w:val="center"/>
          </w:tcPr>
          <w:p w14:paraId="74EA52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746F3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文字表述不准确。</w:t>
            </w:r>
          </w:p>
        </w:tc>
      </w:tr>
      <w:tr w14:paraId="28FC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1720AF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5</w:t>
            </w:r>
          </w:p>
        </w:tc>
        <w:tc>
          <w:tcPr>
            <w:tcW w:w="6545" w:type="dxa"/>
            <w:noWrap w:val="0"/>
            <w:vAlign w:val="top"/>
          </w:tcPr>
          <w:p w14:paraId="2E1A18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建议删除书名号，改为“”，书名号主要用于标示书籍、文章、法规、规章、办法等具有完整篇章结构的规范性文件的名称。而 “中华人民共和国特种设备检验检测机构核准证” 是气瓶检验机构依法取得的资质证书名称，属于证件类标识，并非独立的规范性文件。</w:t>
            </w:r>
          </w:p>
        </w:tc>
        <w:tc>
          <w:tcPr>
            <w:tcW w:w="2259" w:type="dxa"/>
            <w:noWrap w:val="0"/>
            <w:vAlign w:val="center"/>
          </w:tcPr>
          <w:p w14:paraId="0B8DAF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03393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文字表述不准确。</w:t>
            </w:r>
          </w:p>
        </w:tc>
      </w:tr>
      <w:tr w14:paraId="1FC6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5C3CA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6</w:t>
            </w:r>
          </w:p>
        </w:tc>
        <w:tc>
          <w:tcPr>
            <w:tcW w:w="6545" w:type="dxa"/>
            <w:noWrap w:val="0"/>
            <w:vAlign w:val="top"/>
          </w:tcPr>
          <w:p w14:paraId="4091D1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建议不区分行政法规、部门规章，改为：法律法规、规章；建议将第四条、第五条调整至第二章基本要求的第九条之后，和第十条统一为人员的基本要求。</w:t>
            </w:r>
          </w:p>
        </w:tc>
        <w:tc>
          <w:tcPr>
            <w:tcW w:w="2259" w:type="dxa"/>
            <w:noWrap w:val="0"/>
            <w:vAlign w:val="center"/>
          </w:tcPr>
          <w:p w14:paraId="63631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18EDC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文字表述不准确。</w:t>
            </w:r>
          </w:p>
        </w:tc>
      </w:tr>
      <w:tr w14:paraId="2448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03CC5A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7</w:t>
            </w:r>
          </w:p>
        </w:tc>
        <w:tc>
          <w:tcPr>
            <w:tcW w:w="6545" w:type="dxa"/>
            <w:noWrap w:val="0"/>
            <w:vAlign w:val="top"/>
          </w:tcPr>
          <w:p w14:paraId="4DF9E2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新疆维吾尔自治区气瓶定期检验机构建设技术规范》（XJ24-411）尚未发布，在此作为依据是否妥当？建议将“不符合核准条件要求时”改为“不符合核准条件要求的”；建议明确告知的内容，如：机构核准信息、检验场所地址、开展检验的气瓶种类等。</w:t>
            </w:r>
          </w:p>
        </w:tc>
        <w:tc>
          <w:tcPr>
            <w:tcW w:w="2259" w:type="dxa"/>
            <w:noWrap w:val="0"/>
            <w:vAlign w:val="center"/>
          </w:tcPr>
          <w:p w14:paraId="3993A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采纳</w:t>
            </w:r>
          </w:p>
        </w:tc>
        <w:tc>
          <w:tcPr>
            <w:tcW w:w="3243" w:type="dxa"/>
            <w:noWrap w:val="0"/>
            <w:vAlign w:val="center"/>
          </w:tcPr>
          <w:p w14:paraId="7F92E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p>
        </w:tc>
      </w:tr>
      <w:tr w14:paraId="3B52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089E0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8</w:t>
            </w:r>
          </w:p>
        </w:tc>
        <w:tc>
          <w:tcPr>
            <w:tcW w:w="6545" w:type="dxa"/>
            <w:noWrap w:val="0"/>
            <w:vAlign w:val="top"/>
          </w:tcPr>
          <w:p w14:paraId="3EFBA3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方可从事检验检测工作”建议删除；“质量负责人、技术负责人、责任师应当取得气瓶检验员资格不少于4年”建议按照核准规则修改为：质量负责人、技术负责人、责任师应当取得气瓶检验员资格不少于4年或者相应检验师资格；“或” 的使用可能导致职责不明确（如是否允许多人同时承担审核职责），建议改为 “质量负责人、技术负责人、责任师中至少 1 人负责原始记录的审核”，明确最低要求；建议按照核准规则修改为：检验报告（证书）由机构负责人或者其授权的人员批准。</w:t>
            </w:r>
          </w:p>
        </w:tc>
        <w:tc>
          <w:tcPr>
            <w:tcW w:w="2259" w:type="dxa"/>
            <w:noWrap w:val="0"/>
            <w:vAlign w:val="center"/>
          </w:tcPr>
          <w:p w14:paraId="58BFE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采纳</w:t>
            </w:r>
          </w:p>
        </w:tc>
        <w:tc>
          <w:tcPr>
            <w:tcW w:w="3243" w:type="dxa"/>
            <w:noWrap w:val="0"/>
            <w:vAlign w:val="center"/>
          </w:tcPr>
          <w:p w14:paraId="4EACD8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p>
        </w:tc>
      </w:tr>
      <w:tr w14:paraId="7BA4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3DF86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9</w:t>
            </w:r>
          </w:p>
        </w:tc>
        <w:tc>
          <w:tcPr>
            <w:tcW w:w="6545" w:type="dxa"/>
            <w:noWrap w:val="0"/>
            <w:vAlign w:val="top"/>
          </w:tcPr>
          <w:p w14:paraId="3FF9A3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建议将“执业道德”修改为“职业道德”；建议将“鉴定结论”删除，本管理办法与鉴定工作无关。</w:t>
            </w:r>
          </w:p>
        </w:tc>
        <w:tc>
          <w:tcPr>
            <w:tcW w:w="2259" w:type="dxa"/>
            <w:noWrap w:val="0"/>
            <w:vAlign w:val="center"/>
          </w:tcPr>
          <w:p w14:paraId="55972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1F8DF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文字表述不准确。</w:t>
            </w:r>
          </w:p>
        </w:tc>
      </w:tr>
      <w:tr w14:paraId="1180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13FB0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10</w:t>
            </w:r>
          </w:p>
        </w:tc>
        <w:tc>
          <w:tcPr>
            <w:tcW w:w="6545" w:type="dxa"/>
            <w:noWrap w:val="0"/>
            <w:vAlign w:val="top"/>
          </w:tcPr>
          <w:p w14:paraId="050748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按照核准规则1号修改单，建议将“场所”修改为场地；“气瓶检验信息化系统至少设置三处监控摄像点位”建议补充（多种气瓶检验多条检验线监控摄像点位应累加）；“影像记录保存时限不得少于90天”与前文“保存期限不少于2年”矛盾，应按照1号修改单要求执行。</w:t>
            </w:r>
          </w:p>
        </w:tc>
        <w:tc>
          <w:tcPr>
            <w:tcW w:w="2259" w:type="dxa"/>
            <w:noWrap w:val="0"/>
            <w:vAlign w:val="center"/>
          </w:tcPr>
          <w:p w14:paraId="69BE5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3F8BB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文字表述不准确。</w:t>
            </w:r>
          </w:p>
        </w:tc>
      </w:tr>
      <w:tr w14:paraId="1614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47A73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11</w:t>
            </w:r>
          </w:p>
        </w:tc>
        <w:tc>
          <w:tcPr>
            <w:tcW w:w="6545" w:type="dxa"/>
            <w:noWrap w:val="0"/>
            <w:vAlign w:val="top"/>
          </w:tcPr>
          <w:p w14:paraId="04528C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建议将“数据、结果”删除，二者均为记录的一部分；建议将“完整”修改为“有效”。</w:t>
            </w:r>
          </w:p>
        </w:tc>
        <w:tc>
          <w:tcPr>
            <w:tcW w:w="2259" w:type="dxa"/>
            <w:noWrap w:val="0"/>
            <w:vAlign w:val="center"/>
          </w:tcPr>
          <w:p w14:paraId="1D154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639ECD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文字表述不准确。</w:t>
            </w:r>
          </w:p>
        </w:tc>
      </w:tr>
      <w:tr w14:paraId="119E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010F4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12</w:t>
            </w:r>
          </w:p>
        </w:tc>
        <w:tc>
          <w:tcPr>
            <w:tcW w:w="6545" w:type="dxa"/>
            <w:noWrap w:val="0"/>
            <w:vAlign w:val="top"/>
          </w:tcPr>
          <w:p w14:paraId="0CD17B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建议第（三）款修改为：出具的定期检验报告和原始记录无溯源性的；建议将第（四）款迁移至第二十条；兜底条款未对不实报告进行界定，兜底作用不明显，建议删除。</w:t>
            </w:r>
          </w:p>
        </w:tc>
        <w:tc>
          <w:tcPr>
            <w:tcW w:w="2259" w:type="dxa"/>
            <w:noWrap w:val="0"/>
            <w:vAlign w:val="center"/>
          </w:tcPr>
          <w:p w14:paraId="5C27A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413F7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缺少上位法律法规依据或与相关法律法规表述不一致。</w:t>
            </w:r>
          </w:p>
        </w:tc>
      </w:tr>
      <w:tr w14:paraId="5A31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296A6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13</w:t>
            </w:r>
          </w:p>
        </w:tc>
        <w:tc>
          <w:tcPr>
            <w:tcW w:w="6545" w:type="dxa"/>
            <w:noWrap w:val="0"/>
            <w:vAlign w:val="top"/>
          </w:tcPr>
          <w:p w14:paraId="036008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建议删除“和鉴定结论”，与鉴定结论无关；建议增加第十九条第（四）款；兜底条款未对虚假报告进行界定，兜底作用不明显，建议删除。</w:t>
            </w:r>
          </w:p>
        </w:tc>
        <w:tc>
          <w:tcPr>
            <w:tcW w:w="2259" w:type="dxa"/>
            <w:noWrap w:val="0"/>
            <w:vAlign w:val="center"/>
          </w:tcPr>
          <w:p w14:paraId="23BC8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采纳</w:t>
            </w:r>
          </w:p>
        </w:tc>
        <w:tc>
          <w:tcPr>
            <w:tcW w:w="3243" w:type="dxa"/>
            <w:noWrap w:val="0"/>
            <w:vAlign w:val="center"/>
          </w:tcPr>
          <w:p w14:paraId="293B3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p>
        </w:tc>
      </w:tr>
      <w:tr w14:paraId="0D1F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268A0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14</w:t>
            </w:r>
          </w:p>
        </w:tc>
        <w:tc>
          <w:tcPr>
            <w:tcW w:w="6545" w:type="dxa"/>
            <w:noWrap w:val="0"/>
            <w:vAlign w:val="top"/>
          </w:tcPr>
          <w:p w14:paraId="674414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加粗部分逻辑维度不一致，建议修改为：检验检测人员的持证资质、人员劳动合同、社保缴纳信息、任命岗位、检验报告签字信息应当保持一致。</w:t>
            </w:r>
          </w:p>
        </w:tc>
        <w:tc>
          <w:tcPr>
            <w:tcW w:w="2259" w:type="dxa"/>
            <w:noWrap w:val="0"/>
            <w:vAlign w:val="center"/>
          </w:tcPr>
          <w:p w14:paraId="3F6A7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0E033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缺少上位法律法规依据或与相关法律法规表述不一致。</w:t>
            </w:r>
          </w:p>
        </w:tc>
      </w:tr>
      <w:tr w14:paraId="643F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1A04C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15</w:t>
            </w:r>
          </w:p>
        </w:tc>
        <w:tc>
          <w:tcPr>
            <w:tcW w:w="6545" w:type="dxa"/>
            <w:noWrap w:val="0"/>
            <w:vAlign w:val="top"/>
          </w:tcPr>
          <w:p w14:paraId="04E61B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消除隐患”部分的逻辑关系不清楚，建议删除；建议将“未落实质量管理体系”修改为“未落实质量管理体系要求”；建议在“制定气瓶定期检验作业指导书”后补充：针对检验气瓶种类、不同要求（有油、有毒、易燃等），未制定科学合理的事故风险安全防范措施、应急预案和救援措施，并未实施演练和记录的；第（四）款中内容的逻辑维度不一致，建议修改为：检验检测人员的持证资质、人员劳动合同、社保缴纳信息、任命岗位、检验报告签字信息应当保持一致；建议将“有关规定的其他情形”修改为“规定的其他情形”。</w:t>
            </w:r>
          </w:p>
        </w:tc>
        <w:tc>
          <w:tcPr>
            <w:tcW w:w="2259" w:type="dxa"/>
            <w:noWrap w:val="0"/>
            <w:vAlign w:val="center"/>
          </w:tcPr>
          <w:p w14:paraId="350C0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635BE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缺少上位法律法规依据或与相关法律法规表述不一致。</w:t>
            </w:r>
          </w:p>
        </w:tc>
      </w:tr>
      <w:tr w14:paraId="5E1A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634BE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16</w:t>
            </w:r>
          </w:p>
        </w:tc>
        <w:tc>
          <w:tcPr>
            <w:tcW w:w="6545" w:type="dxa"/>
            <w:noWrap w:val="0"/>
            <w:vAlign w:val="top"/>
          </w:tcPr>
          <w:p w14:paraId="7ECC68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建议删除“鉴定结论”；建议将“许可证书”修改为“核准证书”。</w:t>
            </w:r>
          </w:p>
        </w:tc>
        <w:tc>
          <w:tcPr>
            <w:tcW w:w="2259" w:type="dxa"/>
            <w:noWrap w:val="0"/>
            <w:vAlign w:val="center"/>
          </w:tcPr>
          <w:p w14:paraId="75303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采纳</w:t>
            </w:r>
          </w:p>
        </w:tc>
        <w:tc>
          <w:tcPr>
            <w:tcW w:w="3243" w:type="dxa"/>
            <w:noWrap w:val="0"/>
            <w:vAlign w:val="center"/>
          </w:tcPr>
          <w:p w14:paraId="16CAE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p>
        </w:tc>
      </w:tr>
      <w:tr w14:paraId="6D74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30117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17</w:t>
            </w:r>
          </w:p>
        </w:tc>
        <w:tc>
          <w:tcPr>
            <w:tcW w:w="6545" w:type="dxa"/>
            <w:noWrap w:val="0"/>
            <w:vAlign w:val="top"/>
          </w:tcPr>
          <w:p w14:paraId="00AF50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与第二十七条性质重复，重大违法行为也是违反法律法规、规章的一种；同时第二十八条第（一）（二）（三）款内容与二十七条内容重复，建议删除第二十八条，或者对重大违法行为做出明确定义，再列出相应情形。</w:t>
            </w:r>
          </w:p>
        </w:tc>
        <w:tc>
          <w:tcPr>
            <w:tcW w:w="2259" w:type="dxa"/>
            <w:noWrap w:val="0"/>
            <w:vAlign w:val="center"/>
          </w:tcPr>
          <w:p w14:paraId="51240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采纳</w:t>
            </w:r>
          </w:p>
        </w:tc>
        <w:tc>
          <w:tcPr>
            <w:tcW w:w="3243" w:type="dxa"/>
            <w:noWrap w:val="0"/>
            <w:vAlign w:val="center"/>
          </w:tcPr>
          <w:p w14:paraId="0A684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p>
        </w:tc>
      </w:tr>
      <w:tr w14:paraId="3BBA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7EC1F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18</w:t>
            </w:r>
          </w:p>
        </w:tc>
        <w:tc>
          <w:tcPr>
            <w:tcW w:w="6545" w:type="dxa"/>
            <w:noWrap w:val="0"/>
            <w:vAlign w:val="top"/>
          </w:tcPr>
          <w:p w14:paraId="057078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建议将“注销”改为“吊销”，混淆了《行政许可法》中吊销和注销的概念。</w:t>
            </w:r>
          </w:p>
        </w:tc>
        <w:tc>
          <w:tcPr>
            <w:tcW w:w="2259" w:type="dxa"/>
            <w:noWrap w:val="0"/>
            <w:vAlign w:val="center"/>
          </w:tcPr>
          <w:p w14:paraId="4E4A9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未采纳</w:t>
            </w:r>
          </w:p>
        </w:tc>
        <w:tc>
          <w:tcPr>
            <w:tcW w:w="3243" w:type="dxa"/>
            <w:noWrap w:val="0"/>
            <w:vAlign w:val="center"/>
          </w:tcPr>
          <w:p w14:paraId="3A7CF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文字表述不准确。</w:t>
            </w:r>
          </w:p>
        </w:tc>
      </w:tr>
    </w:tbl>
    <w:p w14:paraId="02CDB5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67035"/>
    <w:rsid w:val="7576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2026-01-27T09:51:00Z</dcterms:created>
  <dc:creator>KeIly</dc:creator>
  <cp:lastModifiedBy>KeIly</cp:lastModifiedBy>
  <dcterms:modified xsi:type="dcterms:W3CDTF">2026-01-27T09:52:03Z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55E85A1701854B72A6BE824897CEA6CC_11</vt:lpwstr>
  </property>
  <property fmtid="{D5CDD505-2E9C-101B-9397-08002B2CF9AE}" pid="4" name="KSOTemplateDocerSaveRecord">
    <vt:lpwstr>eyJoZGlkIjoiMjJjNWU0NWIyZThjMTZmNjk0ZDZmNDNkOGZlZThhMWYiLCJ1c2VySWQiOiIyMzM0MDYwNTYifQ==</vt:lpwstr>
  </property>
</Properties>
</file>