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简体" w:cs="Times New Roman"/>
          <w:b/>
          <w:sz w:val="30"/>
          <w:szCs w:val="30"/>
          <w:highlight w:val="none"/>
        </w:rPr>
      </w:pPr>
      <w:r>
        <w:rPr>
          <w:rFonts w:hint="default" w:ascii="Times New Roman" w:hAnsi="Times New Roman" w:eastAsia="黑体" w:cs="Times New Roman"/>
          <w:color w:val="auto"/>
          <w:sz w:val="32"/>
          <w:szCs w:val="32"/>
          <w:highlight w:val="none"/>
          <w:lang w:val="en-US" w:eastAsia="zh-CN"/>
        </w:rPr>
        <w:t>附件2</w:t>
      </w:r>
    </w:p>
    <w:p>
      <w:pPr>
        <w:pStyle w:val="21"/>
        <w:spacing w:before="0" w:beforeAutospacing="0" w:after="0" w:afterAutospacing="0"/>
        <w:jc w:val="right"/>
        <w:rPr>
          <w:rFonts w:hint="default" w:ascii="Times New Roman" w:hAnsi="Times New Roman" w:eastAsia="仿宋_GB2312" w:cs="Times New Roman"/>
          <w:spacing w:val="-6"/>
          <w:highlight w:val="none"/>
        </w:rPr>
      </w:pPr>
    </w:p>
    <w:p>
      <w:pPr>
        <w:jc w:val="center"/>
        <w:rPr>
          <w:rFonts w:hint="default" w:ascii="Times New Roman" w:hAnsi="Times New Roman" w:eastAsia="方正小标宋简体" w:cs="Times New Roman"/>
          <w:bCs/>
          <w:sz w:val="72"/>
          <w:szCs w:val="72"/>
          <w:highlight w:val="none"/>
        </w:rPr>
      </w:pPr>
    </w:p>
    <w:p>
      <w:pPr>
        <w:jc w:val="center"/>
        <w:rPr>
          <w:rFonts w:hint="default" w:ascii="Times New Roman" w:hAnsi="Times New Roman" w:eastAsia="方正小标宋简体" w:cs="Times New Roman"/>
          <w:bCs/>
          <w:spacing w:val="-20"/>
          <w:sz w:val="52"/>
          <w:szCs w:val="52"/>
          <w:highlight w:val="none"/>
        </w:rPr>
      </w:pPr>
      <w:r>
        <w:rPr>
          <w:rFonts w:hint="default" w:ascii="Times New Roman" w:hAnsi="Times New Roman" w:eastAsia="方正小标宋简体" w:cs="Times New Roman"/>
          <w:bCs/>
          <w:spacing w:val="-20"/>
          <w:sz w:val="52"/>
          <w:szCs w:val="52"/>
          <w:highlight w:val="none"/>
        </w:rPr>
        <w:t>第七届新疆质量奖申报表</w:t>
      </w:r>
    </w:p>
    <w:p>
      <w:pPr>
        <w:jc w:val="center"/>
        <w:rPr>
          <w:rFonts w:hint="default" w:ascii="Times New Roman" w:hAnsi="Times New Roman" w:eastAsia="方正小标宋简体" w:cs="Times New Roman"/>
          <w:bCs/>
          <w:spacing w:val="-20"/>
          <w:sz w:val="52"/>
          <w:szCs w:val="52"/>
          <w:highlight w:val="none"/>
        </w:rPr>
      </w:pPr>
      <w:r>
        <w:rPr>
          <w:rFonts w:hint="default" w:ascii="Times New Roman" w:hAnsi="Times New Roman" w:eastAsia="方正小标宋简体" w:cs="Times New Roman"/>
          <w:bCs/>
          <w:spacing w:val="-20"/>
          <w:sz w:val="52"/>
          <w:szCs w:val="52"/>
          <w:highlight w:val="none"/>
        </w:rPr>
        <w:t>（教育机构组织）</w:t>
      </w:r>
    </w:p>
    <w:p>
      <w:pPr>
        <w:rPr>
          <w:rFonts w:hint="default" w:ascii="Times New Roman" w:hAnsi="Times New Roman" w:cs="Times New Roman"/>
          <w:b/>
          <w:bCs/>
          <w:sz w:val="48"/>
          <w:szCs w:val="48"/>
          <w:highlight w:val="none"/>
        </w:rPr>
      </w:pPr>
    </w:p>
    <w:p>
      <w:pPr>
        <w:jc w:val="center"/>
        <w:rPr>
          <w:rFonts w:hint="default" w:ascii="Times New Roman" w:hAnsi="Times New Roman" w:cs="Times New Roman"/>
          <w:b/>
          <w:bCs/>
          <w:sz w:val="48"/>
          <w:szCs w:val="48"/>
          <w:highlight w:val="none"/>
        </w:rPr>
      </w:pPr>
    </w:p>
    <w:p>
      <w:pPr>
        <w:rPr>
          <w:rFonts w:hint="default" w:ascii="Times New Roman" w:hAnsi="Times New Roman" w:cs="Times New Roman"/>
          <w:b/>
          <w:bCs/>
          <w:sz w:val="48"/>
          <w:szCs w:val="48"/>
          <w:highlight w:val="none"/>
        </w:rPr>
      </w:pPr>
    </w:p>
    <w:p>
      <w:pPr>
        <w:rPr>
          <w:rFonts w:hint="default" w:ascii="Times New Roman" w:hAnsi="Times New Roman" w:cs="Times New Roman"/>
          <w:b/>
          <w:bCs/>
          <w:sz w:val="32"/>
          <w:szCs w:val="32"/>
          <w:highlight w:val="none"/>
        </w:rPr>
      </w:pPr>
    </w:p>
    <w:p>
      <w:pPr>
        <w:tabs>
          <w:tab w:val="left" w:pos="7020"/>
        </w:tabs>
        <w:jc w:val="center"/>
        <w:rPr>
          <w:rFonts w:hint="default" w:ascii="Times New Roman" w:hAnsi="Times New Roman" w:eastAsia="楷体_GB2312" w:cs="Times New Roman"/>
          <w:bCs/>
          <w:sz w:val="32"/>
          <w:szCs w:val="32"/>
          <w:highlight w:val="none"/>
        </w:rPr>
      </w:pPr>
      <w:r>
        <w:rPr>
          <w:rFonts w:hint="default" w:ascii="Times New Roman" w:hAnsi="Times New Roman" w:eastAsia="楷体" w:cs="Times New Roman"/>
          <w:b/>
          <w:bCs/>
          <w:sz w:val="36"/>
          <w:szCs w:val="36"/>
          <w:highlight w:val="none"/>
        </w:rPr>
        <w:t xml:space="preserve">       </w:t>
      </w:r>
      <w:r>
        <w:rPr>
          <w:rFonts w:hint="default" w:ascii="Times New Roman" w:hAnsi="Times New Roman" w:eastAsia="楷体_GB2312" w:cs="Times New Roman"/>
          <w:b/>
          <w:bCs/>
          <w:sz w:val="32"/>
          <w:szCs w:val="32"/>
          <w:highlight w:val="none"/>
        </w:rPr>
        <w:t>申报组织</w:t>
      </w:r>
      <w:r>
        <w:rPr>
          <w:rFonts w:hint="default" w:ascii="Times New Roman" w:hAnsi="Times New Roman" w:eastAsia="楷体_GB2312" w:cs="Times New Roman"/>
          <w:bCs/>
          <w:sz w:val="32"/>
          <w:szCs w:val="32"/>
          <w:highlight w:val="none"/>
        </w:rPr>
        <w:t>：</w:t>
      </w:r>
      <w:r>
        <w:rPr>
          <w:rFonts w:hint="default" w:ascii="Times New Roman" w:hAnsi="Times New Roman" w:eastAsia="楷体_GB2312" w:cs="Times New Roman"/>
          <w:bCs/>
          <w:sz w:val="32"/>
          <w:szCs w:val="32"/>
          <w:highlight w:val="none"/>
          <w:u w:val="single"/>
        </w:rPr>
        <w:t xml:space="preserve">                   </w:t>
      </w:r>
      <w:r>
        <w:rPr>
          <w:rFonts w:hint="default" w:ascii="Times New Roman" w:hAnsi="Times New Roman" w:eastAsia="楷体_GB2312" w:cs="Times New Roman"/>
          <w:bCs/>
          <w:sz w:val="32"/>
          <w:szCs w:val="32"/>
          <w:highlight w:val="none"/>
        </w:rPr>
        <w:t>（公章）</w:t>
      </w:r>
    </w:p>
    <w:p>
      <w:pPr>
        <w:tabs>
          <w:tab w:val="left" w:pos="7020"/>
        </w:tabs>
        <w:jc w:val="center"/>
        <w:rPr>
          <w:rFonts w:hint="default" w:ascii="Times New Roman" w:hAnsi="Times New Roman" w:eastAsia="楷体_GB2312" w:cs="Times New Roman"/>
          <w:bCs/>
          <w:sz w:val="32"/>
          <w:szCs w:val="32"/>
          <w:highlight w:val="none"/>
        </w:rPr>
      </w:pPr>
    </w:p>
    <w:p>
      <w:pPr>
        <w:tabs>
          <w:tab w:val="left" w:pos="7020"/>
        </w:tabs>
        <w:ind w:firstLine="2198" w:firstLineChars="700"/>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
          <w:bCs/>
          <w:sz w:val="32"/>
          <w:szCs w:val="32"/>
          <w:highlight w:val="none"/>
          <w:lang w:eastAsia="zh-CN"/>
        </w:rPr>
        <w:t>组织类别</w:t>
      </w: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Cs/>
          <w:sz w:val="32"/>
          <w:szCs w:val="32"/>
          <w:highlight w:val="none"/>
          <w:u w:val="single"/>
        </w:rPr>
        <w:t xml:space="preserve">                   </w:t>
      </w:r>
    </w:p>
    <w:p>
      <w:pPr>
        <w:tabs>
          <w:tab w:val="left" w:pos="7020"/>
        </w:tabs>
        <w:jc w:val="center"/>
        <w:rPr>
          <w:rFonts w:hint="default" w:ascii="Times New Roman" w:hAnsi="Times New Roman" w:eastAsia="楷体_GB2312" w:cs="Times New Roman"/>
          <w:bCs/>
          <w:sz w:val="32"/>
          <w:szCs w:val="32"/>
          <w:highlight w:val="none"/>
        </w:rPr>
      </w:pPr>
    </w:p>
    <w:p>
      <w:pPr>
        <w:tabs>
          <w:tab w:val="left" w:pos="7020"/>
        </w:tabs>
        <w:jc w:val="center"/>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
          <w:bCs/>
          <w:sz w:val="32"/>
          <w:szCs w:val="32"/>
          <w:highlight w:val="none"/>
        </w:rPr>
        <w:t xml:space="preserve">        推荐单位：</w:t>
      </w:r>
      <w:r>
        <w:rPr>
          <w:rFonts w:hint="default" w:ascii="Times New Roman" w:hAnsi="Times New Roman" w:eastAsia="楷体_GB2312" w:cs="Times New Roman"/>
          <w:bCs/>
          <w:sz w:val="32"/>
          <w:szCs w:val="32"/>
          <w:highlight w:val="none"/>
          <w:u w:val="single"/>
        </w:rPr>
        <w:t xml:space="preserve">                   </w:t>
      </w:r>
      <w:r>
        <w:rPr>
          <w:rFonts w:hint="default" w:ascii="Times New Roman" w:hAnsi="Times New Roman" w:eastAsia="楷体_GB2312" w:cs="Times New Roman"/>
          <w:bCs/>
          <w:sz w:val="32"/>
          <w:szCs w:val="32"/>
          <w:highlight w:val="none"/>
        </w:rPr>
        <w:t>（公章）</w:t>
      </w:r>
    </w:p>
    <w:p>
      <w:pPr>
        <w:tabs>
          <w:tab w:val="left" w:pos="7020"/>
        </w:tabs>
        <w:jc w:val="center"/>
        <w:rPr>
          <w:rFonts w:hint="default" w:ascii="Times New Roman" w:hAnsi="Times New Roman" w:eastAsia="楷体_GB2312" w:cs="Times New Roman"/>
          <w:bCs/>
          <w:sz w:val="32"/>
          <w:szCs w:val="32"/>
          <w:highlight w:val="none"/>
        </w:rPr>
      </w:pPr>
    </w:p>
    <w:p>
      <w:pPr>
        <w:tabs>
          <w:tab w:val="left" w:pos="7020"/>
        </w:tabs>
        <w:jc w:val="center"/>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申报日期：</w:t>
      </w:r>
      <w:r>
        <w:rPr>
          <w:rFonts w:hint="default" w:ascii="Times New Roman" w:hAnsi="Times New Roman" w:eastAsia="楷体_GB2312" w:cs="Times New Roman"/>
          <w:b w:val="0"/>
          <w:bCs w:val="0"/>
          <w:sz w:val="32"/>
          <w:szCs w:val="32"/>
          <w:highlight w:val="none"/>
          <w:u w:val="single"/>
        </w:rPr>
        <w:t xml:space="preserve">     </w:t>
      </w:r>
      <w:r>
        <w:rPr>
          <w:rFonts w:hint="default" w:ascii="Times New Roman" w:hAnsi="Times New Roman" w:eastAsia="楷体_GB2312" w:cs="Times New Roman"/>
          <w:bCs/>
          <w:sz w:val="32"/>
          <w:szCs w:val="32"/>
          <w:highlight w:val="none"/>
        </w:rPr>
        <w:t>年</w:t>
      </w:r>
      <w:r>
        <w:rPr>
          <w:rFonts w:hint="default" w:ascii="Times New Roman" w:hAnsi="Times New Roman" w:eastAsia="楷体_GB2312" w:cs="Times New Roman"/>
          <w:bCs/>
          <w:sz w:val="32"/>
          <w:szCs w:val="32"/>
          <w:highlight w:val="none"/>
          <w:u w:val="single"/>
        </w:rPr>
        <w:t xml:space="preserve">     </w:t>
      </w:r>
      <w:r>
        <w:rPr>
          <w:rFonts w:hint="default" w:ascii="Times New Roman" w:hAnsi="Times New Roman" w:eastAsia="楷体_GB2312" w:cs="Times New Roman"/>
          <w:bCs/>
          <w:sz w:val="32"/>
          <w:szCs w:val="32"/>
          <w:highlight w:val="none"/>
        </w:rPr>
        <w:t>月</w:t>
      </w:r>
      <w:r>
        <w:rPr>
          <w:rFonts w:hint="default" w:ascii="Times New Roman" w:hAnsi="Times New Roman" w:eastAsia="楷体_GB2312" w:cs="Times New Roman"/>
          <w:bCs/>
          <w:sz w:val="32"/>
          <w:szCs w:val="32"/>
          <w:highlight w:val="none"/>
          <w:u w:val="single"/>
        </w:rPr>
        <w:t xml:space="preserve">    </w:t>
      </w:r>
      <w:r>
        <w:rPr>
          <w:rFonts w:hint="default" w:ascii="Times New Roman" w:hAnsi="Times New Roman" w:eastAsia="楷体_GB2312" w:cs="Times New Roman"/>
          <w:bCs/>
          <w:sz w:val="32"/>
          <w:szCs w:val="32"/>
          <w:highlight w:val="none"/>
        </w:rPr>
        <w:t>日</w:t>
      </w:r>
    </w:p>
    <w:p>
      <w:pPr>
        <w:ind w:firstLine="986" w:firstLineChars="314"/>
        <w:rPr>
          <w:rFonts w:hint="default" w:ascii="Times New Roman" w:hAnsi="Times New Roman" w:eastAsia="方正楷体_GBK" w:cs="Times New Roman"/>
          <w:sz w:val="32"/>
          <w:highlight w:val="none"/>
        </w:rPr>
      </w:pPr>
    </w:p>
    <w:p>
      <w:pPr>
        <w:ind w:firstLine="986" w:firstLineChars="314"/>
        <w:rPr>
          <w:rFonts w:hint="default" w:ascii="Times New Roman" w:hAnsi="Times New Roman" w:eastAsia="方正楷体_GBK" w:cs="Times New Roman"/>
          <w:sz w:val="32"/>
          <w:highlight w:val="none"/>
        </w:rPr>
      </w:pPr>
    </w:p>
    <w:p>
      <w:pPr>
        <w:ind w:firstLine="986" w:firstLineChars="314"/>
        <w:rPr>
          <w:rFonts w:hint="default" w:ascii="Times New Roman" w:hAnsi="Times New Roman" w:eastAsia="方正楷体_GBK" w:cs="Times New Roman"/>
          <w:sz w:val="32"/>
          <w:highlight w:val="none"/>
        </w:rPr>
      </w:pPr>
    </w:p>
    <w:p>
      <w:pPr>
        <w:jc w:val="center"/>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自治区质量</w:t>
      </w:r>
      <w:r>
        <w:rPr>
          <w:rFonts w:hint="default" w:ascii="Times New Roman" w:hAnsi="Times New Roman" w:eastAsia="仿宋_GB2312" w:cs="Times New Roman"/>
          <w:b/>
          <w:bCs/>
          <w:sz w:val="32"/>
          <w:highlight w:val="none"/>
          <w:lang w:val="en-US" w:eastAsia="zh-CN"/>
        </w:rPr>
        <w:t>和知识产权</w:t>
      </w:r>
      <w:r>
        <w:rPr>
          <w:rFonts w:hint="default" w:ascii="Times New Roman" w:hAnsi="Times New Roman" w:eastAsia="仿宋_GB2312" w:cs="Times New Roman"/>
          <w:b/>
          <w:bCs/>
          <w:sz w:val="32"/>
          <w:highlight w:val="none"/>
        </w:rPr>
        <w:t>强区工作领导小组办公室印制</w:t>
      </w:r>
    </w:p>
    <w:p>
      <w:pPr>
        <w:rPr>
          <w:rFonts w:hint="default" w:ascii="Times New Roman" w:hAnsi="Times New Roman" w:eastAsia="方正小标宋简体" w:cs="Times New Roman"/>
          <w:sz w:val="44"/>
          <w:szCs w:val="44"/>
          <w:highlight w:val="none"/>
        </w:rPr>
      </w:pPr>
    </w:p>
    <w:p>
      <w:pPr>
        <w:spacing w:line="500" w:lineRule="exact"/>
        <w:jc w:val="center"/>
        <w:rPr>
          <w:rFonts w:hint="default" w:ascii="Times New Roman" w:hAnsi="Times New Roman" w:eastAsia="方正小标宋简体" w:cs="Times New Roman"/>
          <w:sz w:val="44"/>
          <w:szCs w:val="44"/>
          <w:highlight w:val="none"/>
        </w:rPr>
        <w:sectPr>
          <w:headerReference r:id="rId3" w:type="default"/>
          <w:headerReference r:id="rId4" w:type="even"/>
          <w:pgSz w:w="11906" w:h="16838"/>
          <w:pgMar w:top="2098" w:right="1531" w:bottom="1984" w:left="1531" w:header="851" w:footer="1191" w:gutter="0"/>
          <w:pgNumType w:fmt="decimal"/>
          <w:cols w:space="720" w:num="1"/>
          <w:titlePg/>
          <w:rtlGutter w:val="0"/>
          <w:docGrid w:type="linesAndChars" w:linePitch="287" w:charSpace="-1313"/>
        </w:sectPr>
      </w:pPr>
    </w:p>
    <w:p>
      <w:pPr>
        <w:spacing w:line="640" w:lineRule="exact"/>
        <w:jc w:val="center"/>
        <w:rPr>
          <w:rFonts w:hint="default" w:ascii="Times New Roman" w:hAnsi="Times New Roman" w:eastAsia="方正仿宋简体" w:cs="Times New Roman"/>
          <w:sz w:val="24"/>
          <w:highlight w:val="none"/>
        </w:rPr>
      </w:pPr>
      <w:r>
        <w:rPr>
          <w:rFonts w:hint="default" w:ascii="Times New Roman" w:hAnsi="Times New Roman" w:eastAsia="方正小标宋简体" w:cs="Times New Roman"/>
          <w:sz w:val="44"/>
          <w:szCs w:val="44"/>
          <w:highlight w:val="none"/>
        </w:rPr>
        <w:t>填 报 说 明</w:t>
      </w:r>
    </w:p>
    <w:p>
      <w:pPr>
        <w:keepNext w:val="0"/>
        <w:keepLines w:val="0"/>
        <w:pageBreakBefore w:val="0"/>
        <w:widowControl w:val="0"/>
        <w:kinsoku/>
        <w:wordWrap/>
        <w:overflowPunct/>
        <w:topLinePunct w:val="0"/>
        <w:autoSpaceDE/>
        <w:autoSpaceDN/>
        <w:bidi w:val="0"/>
        <w:adjustRightInd/>
        <w:snapToGrid w:val="0"/>
        <w:spacing w:line="440" w:lineRule="exact"/>
        <w:ind w:firstLine="444" w:firstLineChars="200"/>
        <w:jc w:val="left"/>
        <w:textAlignment w:val="auto"/>
        <w:rPr>
          <w:rFonts w:hint="default" w:ascii="Times New Roman" w:hAnsi="Times New Roman" w:eastAsia="仿宋_GB2312" w:cs="Times New Roman"/>
          <w:spacing w:val="-6"/>
          <w:sz w:val="24"/>
          <w:highlight w:val="none"/>
        </w:rPr>
      </w:pPr>
      <w:r>
        <w:rPr>
          <w:rFonts w:hint="default" w:ascii="Times New Roman" w:hAnsi="Times New Roman" w:eastAsia="仿宋_GB2312" w:cs="Times New Roman"/>
          <w:spacing w:val="-6"/>
          <w:sz w:val="24"/>
          <w:highlight w:val="none"/>
        </w:rPr>
        <w:t>1.新疆质量奖（教育机构组织）</w:t>
      </w:r>
      <w:r>
        <w:rPr>
          <w:rFonts w:hint="default" w:ascii="Times New Roman" w:hAnsi="Times New Roman" w:eastAsia="仿宋_GB2312" w:cs="Times New Roman"/>
          <w:sz w:val="24"/>
          <w:highlight w:val="none"/>
        </w:rPr>
        <w:t>申报材料包括申报表、证实性材料两部分组成</w:t>
      </w:r>
      <w:r>
        <w:rPr>
          <w:rFonts w:hint="default" w:ascii="Times New Roman" w:hAnsi="Times New Roman" w:eastAsia="仿宋_GB2312" w:cs="Times New Roman"/>
          <w:spacing w:val="-6"/>
          <w:sz w:val="24"/>
          <w:highlight w:val="none"/>
        </w:rPr>
        <w:t>，所填数据及提供资料必须真实、准确，不得涉及国家安全、国家秘密。涉及商业秘密的，应当予以注明，数字及各类符号应填写正确、清楚、完整。</w:t>
      </w:r>
    </w:p>
    <w:p>
      <w:pPr>
        <w:keepNext w:val="0"/>
        <w:keepLines w:val="0"/>
        <w:pageBreakBefore w:val="0"/>
        <w:widowControl w:val="0"/>
        <w:kinsoku/>
        <w:wordWrap/>
        <w:overflowPunct/>
        <w:topLinePunct w:val="0"/>
        <w:autoSpaceDE/>
        <w:autoSpaceDN/>
        <w:bidi w:val="0"/>
        <w:adjustRightInd/>
        <w:snapToGrid/>
        <w:spacing w:line="440" w:lineRule="exact"/>
        <w:ind w:firstLine="444" w:firstLineChars="200"/>
        <w:jc w:val="both"/>
        <w:textAlignment w:val="auto"/>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pacing w:val="-6"/>
          <w:sz w:val="24"/>
          <w:highlight w:val="none"/>
        </w:rPr>
        <w:t>2.申报表封页填写要求：</w:t>
      </w:r>
      <w:r>
        <w:rPr>
          <w:rFonts w:hint="default" w:ascii="Times New Roman" w:hAnsi="Times New Roman" w:eastAsia="仿宋_GB2312" w:cs="Times New Roman"/>
          <w:spacing w:val="-6"/>
          <w:sz w:val="24"/>
          <w:highlight w:val="none"/>
          <w:lang w:eastAsia="zh-CN"/>
        </w:rPr>
        <w:t>申报</w:t>
      </w:r>
      <w:r>
        <w:rPr>
          <w:rFonts w:hint="default" w:ascii="Times New Roman" w:hAnsi="Times New Roman" w:eastAsia="仿宋_GB2312" w:cs="Times New Roman"/>
          <w:spacing w:val="-6"/>
          <w:sz w:val="24"/>
          <w:highlight w:val="none"/>
        </w:rPr>
        <w:t>组织名称要求填写参评的教育机构名称，如××小学、××中学</w:t>
      </w:r>
      <w:r>
        <w:rPr>
          <w:rFonts w:hint="default" w:ascii="Times New Roman" w:hAnsi="Times New Roman" w:eastAsia="仿宋_GB2312" w:cs="Times New Roman"/>
          <w:spacing w:val="-6"/>
          <w:sz w:val="24"/>
          <w:highlight w:val="none"/>
          <w:lang w:eastAsia="zh-CN"/>
        </w:rPr>
        <w:t>、</w:t>
      </w:r>
      <w:r>
        <w:rPr>
          <w:rFonts w:hint="default" w:ascii="Times New Roman" w:hAnsi="Times New Roman" w:eastAsia="仿宋_GB2312" w:cs="Times New Roman"/>
          <w:spacing w:val="-6"/>
          <w:sz w:val="24"/>
          <w:highlight w:val="none"/>
        </w:rPr>
        <w:t>××职业技术学校或××技工院校；推荐单位填写</w:t>
      </w:r>
      <w:r>
        <w:rPr>
          <w:rFonts w:hint="default" w:ascii="Times New Roman" w:hAnsi="Times New Roman" w:eastAsia="仿宋_GB2312" w:cs="Times New Roman"/>
          <w:sz w:val="24"/>
          <w:highlight w:val="none"/>
        </w:rPr>
        <w:t>自治区行业行政主管部门或者所在州、市</w:t>
      </w:r>
      <w:r>
        <w:rPr>
          <w:rFonts w:hint="default" w:ascii="Times New Roman" w:hAnsi="Times New Roman" w:eastAsia="仿宋_GB2312" w:cs="Times New Roman"/>
          <w:sz w:val="24"/>
          <w:highlight w:val="none"/>
          <w:lang w:eastAsia="zh-CN"/>
        </w:rPr>
        <w:t>（地）</w:t>
      </w:r>
      <w:r>
        <w:rPr>
          <w:rFonts w:hint="default" w:ascii="Times New Roman" w:hAnsi="Times New Roman" w:eastAsia="仿宋_GB2312" w:cs="Times New Roman"/>
          <w:sz w:val="24"/>
          <w:highlight w:val="none"/>
        </w:rPr>
        <w:t>人民政府</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行政公署</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eastAsia="zh-CN"/>
        </w:rPr>
        <w:t>组织类别填写小学、初中、</w:t>
      </w:r>
      <w:r>
        <w:rPr>
          <w:rFonts w:hint="default" w:ascii="Times New Roman" w:hAnsi="Times New Roman" w:eastAsia="仿宋_GB2312" w:cs="Times New Roman"/>
          <w:sz w:val="24"/>
          <w:highlight w:val="none"/>
          <w:lang w:val="en-US" w:eastAsia="zh-CN"/>
        </w:rPr>
        <w:t>职业技术学校或技工院校。</w:t>
      </w:r>
    </w:p>
    <w:p>
      <w:pPr>
        <w:keepNext w:val="0"/>
        <w:keepLines w:val="0"/>
        <w:pageBreakBefore w:val="0"/>
        <w:widowControl w:val="0"/>
        <w:kinsoku/>
        <w:wordWrap/>
        <w:overflowPunct/>
        <w:topLinePunct w:val="0"/>
        <w:autoSpaceDE/>
        <w:autoSpaceDN/>
        <w:bidi w:val="0"/>
        <w:adjustRightInd/>
        <w:snapToGrid/>
        <w:spacing w:line="440" w:lineRule="exact"/>
        <w:ind w:firstLine="444" w:firstLineChars="200"/>
        <w:jc w:val="both"/>
        <w:textAlignment w:val="auto"/>
        <w:rPr>
          <w:rFonts w:hint="default" w:ascii="Times New Roman" w:hAnsi="Times New Roman" w:eastAsia="仿宋_GB2312" w:cs="Times New Roman"/>
          <w:spacing w:val="-6"/>
          <w:sz w:val="24"/>
          <w:highlight w:val="none"/>
        </w:rPr>
      </w:pPr>
      <w:r>
        <w:rPr>
          <w:rFonts w:hint="default" w:ascii="Times New Roman" w:hAnsi="Times New Roman" w:eastAsia="仿宋_GB2312" w:cs="Times New Roman"/>
          <w:spacing w:val="-6"/>
          <w:sz w:val="24"/>
          <w:highlight w:val="none"/>
        </w:rPr>
        <w:t>3.申报表“组织基本情况”填写要求：所属行业填写初级教育或职业教育；务必将联系人的姓名、手机、电话、传真和E-mail等信息填写齐全准确。</w:t>
      </w:r>
    </w:p>
    <w:p>
      <w:pPr>
        <w:keepNext w:val="0"/>
        <w:keepLines w:val="0"/>
        <w:pageBreakBefore w:val="0"/>
        <w:widowControl w:val="0"/>
        <w:kinsoku/>
        <w:wordWrap/>
        <w:overflowPunct/>
        <w:topLinePunct w:val="0"/>
        <w:autoSpaceDE/>
        <w:autoSpaceDN/>
        <w:bidi w:val="0"/>
        <w:adjustRightInd/>
        <w:spacing w:line="440" w:lineRule="exact"/>
        <w:ind w:firstLine="468" w:firstLineChars="200"/>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4.证实性材料包括营业执照、社会信用代码证复印件</w:t>
      </w:r>
      <w:r>
        <w:rPr>
          <w:rFonts w:hint="default" w:ascii="Times New Roman" w:hAnsi="Times New Roman" w:eastAsia="仿宋_GB2312" w:cs="Times New Roman"/>
          <w:sz w:val="24"/>
          <w:highlight w:val="none"/>
          <w:lang w:eastAsia="zh-CN"/>
        </w:rPr>
        <w:t>、组织机构图等。</w:t>
      </w:r>
      <w:r>
        <w:rPr>
          <w:rFonts w:hint="default" w:ascii="Times New Roman" w:hAnsi="Times New Roman" w:eastAsia="仿宋_GB2312" w:cs="Times New Roman"/>
          <w:sz w:val="24"/>
          <w:highlight w:val="none"/>
        </w:rPr>
        <w:t>近3年获得</w:t>
      </w:r>
      <w:r>
        <w:rPr>
          <w:rFonts w:hint="default" w:ascii="Times New Roman" w:hAnsi="Times New Roman" w:eastAsia="仿宋_GB2312" w:cs="Times New Roman"/>
          <w:sz w:val="24"/>
          <w:highlight w:val="none"/>
          <w:lang w:eastAsia="zh-CN"/>
        </w:rPr>
        <w:t>的国家、</w:t>
      </w:r>
      <w:r>
        <w:rPr>
          <w:rFonts w:hint="eastAsia" w:eastAsia="仿宋_GB2312" w:cs="Times New Roman"/>
          <w:sz w:val="24"/>
          <w:highlight w:val="none"/>
          <w:lang w:eastAsia="zh-CN"/>
        </w:rPr>
        <w:t>自治区（</w:t>
      </w:r>
      <w:r>
        <w:rPr>
          <w:rFonts w:hint="default" w:ascii="Times New Roman" w:hAnsi="Times New Roman" w:eastAsia="仿宋_GB2312" w:cs="Times New Roman"/>
          <w:sz w:val="24"/>
          <w:highlight w:val="none"/>
          <w:lang w:eastAsia="zh-CN"/>
        </w:rPr>
        <w:t>省部</w:t>
      </w:r>
      <w:r>
        <w:rPr>
          <w:rFonts w:hint="eastAsia" w:eastAsia="仿宋_GB2312" w:cs="Times New Roman"/>
          <w:sz w:val="24"/>
          <w:highlight w:val="none"/>
          <w:lang w:eastAsia="zh-CN"/>
        </w:rPr>
        <w:t>）</w:t>
      </w:r>
      <w:r>
        <w:rPr>
          <w:rFonts w:hint="default" w:ascii="Times New Roman" w:hAnsi="Times New Roman" w:eastAsia="仿宋_GB2312" w:cs="Times New Roman"/>
          <w:sz w:val="24"/>
          <w:highlight w:val="none"/>
          <w:lang w:eastAsia="zh-CN"/>
        </w:rPr>
        <w:t>级</w:t>
      </w:r>
      <w:r>
        <w:rPr>
          <w:rFonts w:hint="default" w:ascii="Times New Roman" w:hAnsi="Times New Roman" w:eastAsia="仿宋_GB2312" w:cs="Times New Roman"/>
          <w:sz w:val="24"/>
          <w:highlight w:val="none"/>
        </w:rPr>
        <w:t>质量、科技等荣誉证书复印件以及各类认定证书、认证证书复印件。证实性材料需附材料清单目录。</w:t>
      </w:r>
    </w:p>
    <w:p>
      <w:pPr>
        <w:keepNext w:val="0"/>
        <w:keepLines w:val="0"/>
        <w:pageBreakBefore w:val="0"/>
        <w:widowControl w:val="0"/>
        <w:kinsoku/>
        <w:wordWrap/>
        <w:overflowPunct/>
        <w:topLinePunct w:val="0"/>
        <w:autoSpaceDE/>
        <w:autoSpaceDN/>
        <w:bidi w:val="0"/>
        <w:adjustRightInd/>
        <w:spacing w:line="440" w:lineRule="exact"/>
        <w:ind w:firstLine="468" w:firstLineChars="200"/>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5.申报表、证实性材料需提供一式三份的纸质材料，内页不使用</w:t>
      </w:r>
      <w:r>
        <w:rPr>
          <w:rFonts w:hint="eastAsia" w:eastAsia="仿宋_GB2312" w:cs="Times New Roman"/>
          <w:sz w:val="24"/>
          <w:highlight w:val="none"/>
          <w:lang w:eastAsia="zh-CN"/>
        </w:rPr>
        <w:t>铜版纸</w:t>
      </w:r>
      <w:r>
        <w:rPr>
          <w:rFonts w:hint="default" w:ascii="Times New Roman" w:hAnsi="Times New Roman" w:eastAsia="仿宋_GB2312" w:cs="Times New Roman"/>
          <w:sz w:val="24"/>
          <w:highlight w:val="none"/>
        </w:rPr>
        <w:t>。申报表用A4规格的纸张正反面打印装订成册，书脊注明“申报组织名称”及“第七届</w:t>
      </w:r>
      <w:r>
        <w:rPr>
          <w:rFonts w:hint="eastAsia" w:eastAsia="仿宋_GB2312" w:cs="Times New Roman"/>
          <w:sz w:val="24"/>
          <w:highlight w:val="none"/>
          <w:lang w:eastAsia="zh-CN"/>
        </w:rPr>
        <w:t>新疆</w:t>
      </w:r>
      <w:r>
        <w:rPr>
          <w:rFonts w:hint="default" w:ascii="Times New Roman" w:hAnsi="Times New Roman" w:eastAsia="仿宋_GB2312" w:cs="Times New Roman"/>
          <w:sz w:val="24"/>
          <w:highlight w:val="none"/>
        </w:rPr>
        <w:t>质量奖申报材料”；证实性材料用A4规格的纸张正反面打印装订成册，书脊注明“申报组织名称”。申报组织还应提供申报材料电子版，包括申报表Word版和PDF版各一份、证实性材料PDF版一份。</w:t>
      </w:r>
    </w:p>
    <w:p>
      <w:pPr>
        <w:keepNext w:val="0"/>
        <w:keepLines w:val="0"/>
        <w:pageBreakBefore w:val="0"/>
        <w:widowControl w:val="0"/>
        <w:kinsoku/>
        <w:wordWrap/>
        <w:overflowPunct/>
        <w:topLinePunct w:val="0"/>
        <w:autoSpaceDE/>
        <w:autoSpaceDN/>
        <w:bidi w:val="0"/>
        <w:adjustRightInd/>
        <w:spacing w:line="440" w:lineRule="exact"/>
        <w:ind w:firstLine="468" w:firstLineChars="200"/>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6.申报表中（四）领导至（十）结果的内容，对照《卓越绩效评价准则》</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GB/T</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19580</w:t>
      </w:r>
      <w:r>
        <w:rPr>
          <w:rFonts w:hint="default" w:ascii="Times New Roman" w:hAnsi="Times New Roman" w:eastAsia="仿宋_GB2312" w:cs="Times New Roman"/>
          <w:sz w:val="24"/>
          <w:highlight w:val="none"/>
          <w:lang w:val="en-US" w:eastAsia="zh-CN"/>
        </w:rPr>
        <w:t>-</w:t>
      </w:r>
      <w:r>
        <w:rPr>
          <w:rFonts w:hint="default" w:ascii="Times New Roman" w:hAnsi="Times New Roman" w:eastAsia="仿宋_GB2312" w:cs="Times New Roman"/>
          <w:sz w:val="24"/>
          <w:highlight w:val="none"/>
        </w:rPr>
        <w:t>2012</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《卓越绩效评价准则实施指南》</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GB/T</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19579</w:t>
      </w:r>
      <w:r>
        <w:rPr>
          <w:rFonts w:hint="default" w:ascii="Times New Roman" w:hAnsi="Times New Roman" w:eastAsia="仿宋_GB2312" w:cs="Times New Roman"/>
          <w:sz w:val="24"/>
          <w:highlight w:val="none"/>
          <w:lang w:val="en-US" w:eastAsia="zh-CN"/>
        </w:rPr>
        <w:t>-</w:t>
      </w:r>
      <w:r>
        <w:rPr>
          <w:rFonts w:hint="default" w:ascii="Times New Roman" w:hAnsi="Times New Roman" w:eastAsia="仿宋_GB2312" w:cs="Times New Roman"/>
          <w:sz w:val="24"/>
          <w:highlight w:val="none"/>
        </w:rPr>
        <w:t>2012</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的要求，结合教育行业要求和评价内容指标，按照过程条款（4.1</w:t>
      </w:r>
      <w:r>
        <w:rPr>
          <w:rFonts w:hint="default" w:ascii="Times New Roman" w:hAnsi="Times New Roman" w:eastAsia="仿宋_GB2312" w:cs="Times New Roman"/>
          <w:sz w:val="24"/>
          <w:highlight w:val="none"/>
          <w:lang w:val="en-US" w:eastAsia="zh-CN"/>
        </w:rPr>
        <w:t>—</w:t>
      </w:r>
      <w:r>
        <w:rPr>
          <w:rFonts w:hint="default" w:ascii="Times New Roman" w:hAnsi="Times New Roman" w:eastAsia="仿宋_GB2312" w:cs="Times New Roman"/>
          <w:sz w:val="24"/>
          <w:highlight w:val="none"/>
        </w:rPr>
        <w:t>4.6）的方法</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展开</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学习</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整合（A</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D</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L</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I）四个要素和结果（4.7）条款的水平-趋势-对比-整合（Le</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T</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C</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I）四个要素逐条展示组织运营管理的成熟度。</w:t>
      </w:r>
    </w:p>
    <w:p>
      <w:pPr>
        <w:keepNext w:val="0"/>
        <w:keepLines w:val="0"/>
        <w:pageBreakBefore w:val="0"/>
        <w:widowControl w:val="0"/>
        <w:kinsoku/>
        <w:wordWrap/>
        <w:overflowPunct/>
        <w:topLinePunct w:val="0"/>
        <w:autoSpaceDE/>
        <w:autoSpaceDN/>
        <w:bidi w:val="0"/>
        <w:adjustRightInd/>
        <w:spacing w:line="440" w:lineRule="exact"/>
        <w:ind w:firstLine="468" w:firstLineChars="200"/>
        <w:textAlignment w:val="auto"/>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7.申报表可以根据填写的内容需要，调整表格的行高和列宽，但</w:t>
      </w:r>
      <w:r>
        <w:rPr>
          <w:rFonts w:hint="eastAsia" w:eastAsia="仿宋_GB2312" w:cs="Times New Roman"/>
          <w:sz w:val="24"/>
          <w:highlight w:val="none"/>
          <w:lang w:val="en-US" w:eastAsia="zh-CN"/>
        </w:rPr>
        <w:t>不得</w:t>
      </w:r>
      <w:r>
        <w:rPr>
          <w:rFonts w:hint="default" w:ascii="Times New Roman" w:hAnsi="Times New Roman" w:eastAsia="仿宋_GB2312" w:cs="Times New Roman"/>
          <w:sz w:val="24"/>
          <w:highlight w:val="none"/>
          <w:lang w:val="en-US" w:eastAsia="zh-CN"/>
        </w:rPr>
        <w:t>自行增加或减少表格行和列。</w:t>
      </w:r>
    </w:p>
    <w:p>
      <w:pPr>
        <w:keepNext w:val="0"/>
        <w:keepLines w:val="0"/>
        <w:pageBreakBefore w:val="0"/>
        <w:widowControl w:val="0"/>
        <w:kinsoku/>
        <w:wordWrap/>
        <w:overflowPunct/>
        <w:topLinePunct w:val="0"/>
        <w:autoSpaceDE/>
        <w:autoSpaceDN/>
        <w:bidi w:val="0"/>
        <w:adjustRightInd/>
        <w:spacing w:line="440" w:lineRule="exact"/>
        <w:ind w:firstLine="468" w:firstLineChars="200"/>
        <w:textAlignment w:val="auto"/>
        <w:rPr>
          <w:rFonts w:hint="default" w:ascii="Times New Roman" w:hAnsi="Times New Roman" w:eastAsia="方正小标宋简体" w:cs="Times New Roman"/>
          <w:bCs/>
          <w:spacing w:val="-4"/>
          <w:sz w:val="44"/>
          <w:szCs w:val="44"/>
          <w:highlight w:val="none"/>
        </w:rPr>
      </w:pPr>
      <w:r>
        <w:rPr>
          <w:rFonts w:hint="default" w:ascii="Times New Roman" w:hAnsi="Times New Roman" w:eastAsia="仿宋_GB2312" w:cs="Times New Roman"/>
          <w:sz w:val="24"/>
          <w:highlight w:val="none"/>
          <w:lang w:val="en-US" w:eastAsia="zh-CN"/>
        </w:rPr>
        <w:t>8.</w:t>
      </w:r>
      <w:r>
        <w:rPr>
          <w:rFonts w:hint="default" w:ascii="Times New Roman" w:hAnsi="Times New Roman" w:eastAsia="仿宋_GB2312" w:cs="Times New Roman"/>
          <w:sz w:val="24"/>
          <w:highlight w:val="none"/>
        </w:rPr>
        <w:t>本申报表电子版可从</w:t>
      </w:r>
      <w:r>
        <w:rPr>
          <w:rFonts w:hint="default" w:ascii="Times New Roman" w:hAnsi="Times New Roman" w:eastAsia="仿宋_GB2312" w:cs="Times New Roman"/>
          <w:sz w:val="24"/>
          <w:highlight w:val="none"/>
          <w:lang w:eastAsia="zh-CN"/>
        </w:rPr>
        <w:t>新疆维吾尔</w:t>
      </w:r>
      <w:r>
        <w:rPr>
          <w:rFonts w:hint="default" w:ascii="Times New Roman" w:hAnsi="Times New Roman" w:eastAsia="仿宋_GB2312" w:cs="Times New Roman"/>
          <w:sz w:val="24"/>
          <w:highlight w:val="none"/>
        </w:rPr>
        <w:t>自治区市场</w:t>
      </w:r>
      <w:r>
        <w:rPr>
          <w:rFonts w:hint="default" w:ascii="Times New Roman" w:hAnsi="Times New Roman" w:eastAsia="仿宋_GB2312" w:cs="Times New Roman"/>
          <w:sz w:val="24"/>
          <w:highlight w:val="none"/>
          <w:lang w:eastAsia="zh-CN"/>
        </w:rPr>
        <w:t>监督管理</w:t>
      </w:r>
      <w:r>
        <w:rPr>
          <w:rFonts w:hint="default" w:ascii="Times New Roman" w:hAnsi="Times New Roman" w:eastAsia="仿宋_GB2312" w:cs="Times New Roman"/>
          <w:sz w:val="24"/>
          <w:highlight w:val="none"/>
        </w:rPr>
        <w:t>局</w:t>
      </w:r>
      <w:r>
        <w:rPr>
          <w:rFonts w:hint="default" w:ascii="Times New Roman" w:hAnsi="Times New Roman" w:eastAsia="仿宋_GB2312" w:cs="Times New Roman"/>
          <w:sz w:val="24"/>
          <w:highlight w:val="none"/>
          <w:lang w:eastAsia="zh-CN"/>
        </w:rPr>
        <w:t>（知识产权局）</w:t>
      </w:r>
      <w:r>
        <w:rPr>
          <w:rFonts w:hint="default" w:ascii="Times New Roman" w:hAnsi="Times New Roman" w:eastAsia="仿宋_GB2312" w:cs="Times New Roman"/>
          <w:sz w:val="24"/>
          <w:highlight w:val="none"/>
        </w:rPr>
        <w:t>网站（http://</w:t>
      </w:r>
      <w:r>
        <w:rPr>
          <w:rFonts w:hint="default" w:ascii="Times New Roman" w:hAnsi="Times New Roman" w:eastAsia="仿宋_GB2312" w:cs="Times New Roman"/>
          <w:sz w:val="24"/>
          <w:highlight w:val="none"/>
          <w:lang w:val="en-US" w:eastAsia="zh-CN"/>
        </w:rPr>
        <w:t>scjgj.xinjiang</w:t>
      </w:r>
      <w:r>
        <w:rPr>
          <w:rFonts w:hint="default" w:ascii="Times New Roman" w:hAnsi="Times New Roman" w:eastAsia="仿宋_GB2312" w:cs="Times New Roman"/>
          <w:sz w:val="24"/>
          <w:highlight w:val="none"/>
        </w:rPr>
        <w:t>.gov.cn）下载。</w:t>
      </w:r>
      <w:r>
        <w:rPr>
          <w:rFonts w:hint="default" w:ascii="Times New Roman" w:hAnsi="Times New Roman" w:eastAsia="仿宋_GB2312" w:cs="Times New Roman"/>
          <w:sz w:val="24"/>
          <w:highlight w:val="none"/>
        </w:rPr>
        <w:br w:type="page"/>
      </w:r>
    </w:p>
    <w:p>
      <w:pPr>
        <w:spacing w:line="560" w:lineRule="exact"/>
        <w:jc w:val="center"/>
        <w:rPr>
          <w:rFonts w:hint="default" w:ascii="Times New Roman" w:hAnsi="Times New Roman" w:eastAsia="黑体" w:cs="Times New Roman"/>
          <w:spacing w:val="-4"/>
          <w:sz w:val="32"/>
          <w:szCs w:val="32"/>
          <w:highlight w:val="none"/>
        </w:rPr>
      </w:pPr>
      <w:r>
        <w:rPr>
          <w:rFonts w:hint="default" w:ascii="Times New Roman" w:hAnsi="Times New Roman" w:eastAsia="方正小标宋简体" w:cs="Times New Roman"/>
          <w:bCs/>
          <w:spacing w:val="-4"/>
          <w:sz w:val="44"/>
          <w:szCs w:val="44"/>
          <w:highlight w:val="none"/>
        </w:rPr>
        <w:t>承 诺 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pacing w:val="-4"/>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黑体" w:cs="Times New Roman"/>
          <w:spacing w:val="-4"/>
          <w:sz w:val="32"/>
          <w:szCs w:val="32"/>
          <w:highlight w:val="none"/>
        </w:rPr>
      </w:pPr>
      <w:r>
        <w:rPr>
          <w:rFonts w:hint="default" w:ascii="Times New Roman" w:hAnsi="Times New Roman" w:eastAsia="黑体" w:cs="Times New Roman"/>
          <w:spacing w:val="-4"/>
          <w:sz w:val="32"/>
          <w:szCs w:val="32"/>
          <w:highlight w:val="none"/>
        </w:rPr>
        <w:t>本组织郑重承诺:</w:t>
      </w:r>
    </w:p>
    <w:p>
      <w:pPr>
        <w:keepNext w:val="0"/>
        <w:keepLines w:val="0"/>
        <w:pageBreakBefore w:val="0"/>
        <w:widowControl w:val="0"/>
        <w:kinsoku/>
        <w:wordWrap/>
        <w:overflowPunct/>
        <w:topLinePunct w:val="0"/>
        <w:autoSpaceDE/>
        <w:autoSpaceDN/>
        <w:bidi w:val="0"/>
        <w:adjustRightInd/>
        <w:snapToGrid/>
        <w:spacing w:line="540" w:lineRule="exact"/>
        <w:ind w:firstLine="532" w:firstLineChars="200"/>
        <w:textAlignment w:val="auto"/>
        <w:rPr>
          <w:rFonts w:hint="default" w:ascii="Times New Roman" w:hAnsi="Times New Roman" w:eastAsia="仿宋_GB2312" w:cs="Times New Roman"/>
          <w:spacing w:val="-4"/>
          <w:sz w:val="28"/>
          <w:szCs w:val="28"/>
          <w:highlight w:val="none"/>
        </w:rPr>
      </w:pPr>
      <w:r>
        <w:rPr>
          <w:rFonts w:hint="default" w:ascii="Times New Roman" w:hAnsi="Times New Roman" w:eastAsia="仿宋_GB2312" w:cs="Times New Roman"/>
          <w:spacing w:val="-4"/>
          <w:sz w:val="28"/>
          <w:szCs w:val="28"/>
          <w:highlight w:val="none"/>
        </w:rPr>
        <w:t>一、近3年内无重大质量、安全、环保等事故，无相关违法、违规、违纪</w:t>
      </w:r>
      <w:r>
        <w:rPr>
          <w:rFonts w:hint="default" w:ascii="Times New Roman" w:hAnsi="Times New Roman" w:eastAsia="仿宋_GB2312" w:cs="Times New Roman"/>
          <w:spacing w:val="-4"/>
          <w:sz w:val="28"/>
          <w:szCs w:val="28"/>
          <w:highlight w:val="none"/>
          <w:lang w:eastAsia="zh-CN"/>
        </w:rPr>
        <w:t>和失信记录</w:t>
      </w:r>
      <w:r>
        <w:rPr>
          <w:rFonts w:hint="default" w:ascii="Times New Roman" w:hAnsi="Times New Roman" w:eastAsia="仿宋_GB2312" w:cs="Times New Roman"/>
          <w:spacing w:val="-4"/>
          <w:sz w:val="28"/>
          <w:szCs w:val="28"/>
          <w:highlight w:val="none"/>
        </w:rPr>
        <w:t>，</w:t>
      </w:r>
      <w:r>
        <w:rPr>
          <w:rFonts w:hint="default" w:ascii="Times New Roman" w:hAnsi="Times New Roman" w:eastAsia="仿宋_GB2312" w:cs="Times New Roman"/>
          <w:spacing w:val="-4"/>
          <w:sz w:val="28"/>
          <w:szCs w:val="28"/>
          <w:highlight w:val="none"/>
          <w:lang w:eastAsia="zh-CN"/>
        </w:rPr>
        <w:t>无重大投诉事件，</w:t>
      </w:r>
      <w:r>
        <w:rPr>
          <w:rFonts w:hint="default" w:ascii="Times New Roman" w:hAnsi="Times New Roman" w:eastAsia="仿宋_GB2312" w:cs="Times New Roman"/>
          <w:spacing w:val="-4"/>
          <w:sz w:val="28"/>
          <w:szCs w:val="28"/>
          <w:highlight w:val="none"/>
        </w:rPr>
        <w:t>未引起重大群体性事件，积极带头履行社会责任，满足新疆质量奖申报条件。</w:t>
      </w:r>
    </w:p>
    <w:p>
      <w:pPr>
        <w:keepNext w:val="0"/>
        <w:keepLines w:val="0"/>
        <w:pageBreakBefore w:val="0"/>
        <w:widowControl w:val="0"/>
        <w:kinsoku/>
        <w:wordWrap/>
        <w:overflowPunct/>
        <w:topLinePunct w:val="0"/>
        <w:autoSpaceDE/>
        <w:autoSpaceDN/>
        <w:bidi w:val="0"/>
        <w:adjustRightInd/>
        <w:snapToGrid/>
        <w:spacing w:line="540" w:lineRule="exact"/>
        <w:ind w:firstLine="532" w:firstLineChars="200"/>
        <w:textAlignment w:val="auto"/>
        <w:rPr>
          <w:rFonts w:hint="default" w:ascii="Times New Roman" w:hAnsi="Times New Roman" w:eastAsia="仿宋_GB2312" w:cs="Times New Roman"/>
          <w:spacing w:val="-4"/>
          <w:sz w:val="28"/>
          <w:szCs w:val="28"/>
          <w:highlight w:val="none"/>
        </w:rPr>
      </w:pPr>
      <w:r>
        <w:rPr>
          <w:rFonts w:hint="default" w:ascii="Times New Roman" w:hAnsi="Times New Roman" w:eastAsia="仿宋_GB2312" w:cs="Times New Roman"/>
          <w:spacing w:val="-4"/>
          <w:sz w:val="28"/>
          <w:szCs w:val="28"/>
          <w:highlight w:val="none"/>
        </w:rPr>
        <w:t>二、已充分了解新疆质量奖相关管理制度、评选程序、规范要求，并严格遵守。不从事可能影响评选公平、公正的活动，自觉维护新疆质量奖的严肃性、权威性和独立性。</w:t>
      </w:r>
    </w:p>
    <w:p>
      <w:pPr>
        <w:keepNext w:val="0"/>
        <w:keepLines w:val="0"/>
        <w:pageBreakBefore w:val="0"/>
        <w:widowControl w:val="0"/>
        <w:kinsoku/>
        <w:wordWrap/>
        <w:overflowPunct/>
        <w:topLinePunct w:val="0"/>
        <w:autoSpaceDE/>
        <w:autoSpaceDN/>
        <w:bidi w:val="0"/>
        <w:adjustRightInd/>
        <w:snapToGrid/>
        <w:spacing w:line="540" w:lineRule="exact"/>
        <w:ind w:firstLine="532" w:firstLineChars="200"/>
        <w:textAlignment w:val="auto"/>
        <w:rPr>
          <w:rFonts w:hint="default" w:ascii="Times New Roman" w:hAnsi="Times New Roman" w:eastAsia="仿宋_GB2312" w:cs="Times New Roman"/>
          <w:spacing w:val="-4"/>
          <w:sz w:val="28"/>
          <w:szCs w:val="28"/>
          <w:highlight w:val="none"/>
        </w:rPr>
      </w:pPr>
      <w:r>
        <w:rPr>
          <w:rFonts w:hint="default" w:ascii="Times New Roman" w:hAnsi="Times New Roman" w:eastAsia="仿宋_GB2312" w:cs="Times New Roman"/>
          <w:spacing w:val="-4"/>
          <w:sz w:val="28"/>
          <w:szCs w:val="28"/>
          <w:highlight w:val="none"/>
        </w:rPr>
        <w:t>三、遵守《新疆维吾尔自治区人民政府质量奖管理办法》等相关制度和规范，保证所提交申报材料均由组织本身制作填写，内容真实、准确、有效，并愿意承担相应责任。</w:t>
      </w:r>
    </w:p>
    <w:p>
      <w:pPr>
        <w:keepNext w:val="0"/>
        <w:keepLines w:val="0"/>
        <w:pageBreakBefore w:val="0"/>
        <w:widowControl w:val="0"/>
        <w:kinsoku/>
        <w:wordWrap/>
        <w:overflowPunct/>
        <w:topLinePunct w:val="0"/>
        <w:autoSpaceDE/>
        <w:autoSpaceDN/>
        <w:bidi w:val="0"/>
        <w:adjustRightInd/>
        <w:snapToGrid/>
        <w:spacing w:line="540" w:lineRule="exact"/>
        <w:ind w:firstLine="516" w:firstLineChars="200"/>
        <w:textAlignment w:val="auto"/>
        <w:rPr>
          <w:rFonts w:hint="default" w:ascii="Times New Roman" w:hAnsi="Times New Roman" w:eastAsia="仿宋_GB2312" w:cs="Times New Roman"/>
          <w:spacing w:val="-8"/>
          <w:sz w:val="28"/>
          <w:szCs w:val="28"/>
          <w:highlight w:val="none"/>
        </w:rPr>
      </w:pPr>
      <w:r>
        <w:rPr>
          <w:rFonts w:hint="default" w:ascii="Times New Roman" w:hAnsi="Times New Roman" w:eastAsia="仿宋_GB2312" w:cs="Times New Roman"/>
          <w:spacing w:val="-8"/>
          <w:sz w:val="28"/>
          <w:szCs w:val="28"/>
          <w:highlight w:val="none"/>
        </w:rPr>
        <w:t>四、获得新疆质量奖</w:t>
      </w:r>
      <w:r>
        <w:rPr>
          <w:rFonts w:hint="eastAsia" w:eastAsia="仿宋_GB2312" w:cs="Times New Roman"/>
          <w:spacing w:val="-8"/>
          <w:sz w:val="28"/>
          <w:szCs w:val="28"/>
          <w:highlight w:val="none"/>
          <w:lang w:eastAsia="zh-CN"/>
        </w:rPr>
        <w:t>或质量奖</w:t>
      </w:r>
      <w:r>
        <w:rPr>
          <w:rFonts w:hint="default" w:ascii="Times New Roman" w:hAnsi="Times New Roman" w:eastAsia="仿宋_GB2312" w:cs="Times New Roman"/>
          <w:spacing w:val="-8"/>
          <w:sz w:val="28"/>
          <w:szCs w:val="28"/>
          <w:highlight w:val="none"/>
        </w:rPr>
        <w:t>提名奖后，将从本组织实际出发，制定质量领域新目标，应用质量管理的新理论、新方法，进一步加强质量管理，提升质量水平。</w:t>
      </w:r>
    </w:p>
    <w:p>
      <w:pPr>
        <w:keepNext w:val="0"/>
        <w:keepLines w:val="0"/>
        <w:pageBreakBefore w:val="0"/>
        <w:widowControl w:val="0"/>
        <w:kinsoku/>
        <w:wordWrap/>
        <w:overflowPunct/>
        <w:topLinePunct w:val="0"/>
        <w:autoSpaceDE/>
        <w:autoSpaceDN/>
        <w:bidi w:val="0"/>
        <w:adjustRightInd/>
        <w:snapToGrid/>
        <w:spacing w:line="540" w:lineRule="exact"/>
        <w:ind w:firstLine="532" w:firstLineChars="200"/>
        <w:textAlignment w:val="auto"/>
        <w:rPr>
          <w:rFonts w:hint="default" w:ascii="Times New Roman" w:hAnsi="Times New Roman" w:eastAsia="仿宋_GB2312" w:cs="Times New Roman"/>
          <w:spacing w:val="-4"/>
          <w:sz w:val="28"/>
          <w:szCs w:val="28"/>
          <w:highlight w:val="none"/>
        </w:rPr>
      </w:pPr>
      <w:r>
        <w:rPr>
          <w:rFonts w:hint="default" w:ascii="Times New Roman" w:hAnsi="Times New Roman" w:eastAsia="仿宋_GB2312" w:cs="Times New Roman"/>
          <w:spacing w:val="-4"/>
          <w:sz w:val="28"/>
          <w:szCs w:val="28"/>
          <w:highlight w:val="none"/>
        </w:rPr>
        <w:t>五、获得新疆质量奖或</w:t>
      </w:r>
      <w:r>
        <w:rPr>
          <w:rFonts w:hint="eastAsia" w:eastAsia="仿宋_GB2312" w:cs="Times New Roman"/>
          <w:spacing w:val="-8"/>
          <w:sz w:val="28"/>
          <w:szCs w:val="28"/>
          <w:highlight w:val="none"/>
          <w:lang w:eastAsia="zh-CN"/>
        </w:rPr>
        <w:t>质量奖</w:t>
      </w:r>
      <w:r>
        <w:rPr>
          <w:rFonts w:hint="default" w:ascii="Times New Roman" w:hAnsi="Times New Roman" w:eastAsia="仿宋_GB2312" w:cs="Times New Roman"/>
          <w:spacing w:val="-4"/>
          <w:sz w:val="28"/>
          <w:szCs w:val="28"/>
          <w:highlight w:val="none"/>
        </w:rPr>
        <w:t>提名奖后，将向所在行业和全社会积极宣传推广本组织质量管理制度、模式、方法。发挥对产业链上下游的示范引领作用，带动全产业链质量协同提升。</w:t>
      </w:r>
    </w:p>
    <w:p>
      <w:pPr>
        <w:keepNext w:val="0"/>
        <w:keepLines w:val="0"/>
        <w:pageBreakBefore w:val="0"/>
        <w:widowControl w:val="0"/>
        <w:kinsoku/>
        <w:wordWrap/>
        <w:overflowPunct/>
        <w:topLinePunct w:val="0"/>
        <w:autoSpaceDE/>
        <w:autoSpaceDN/>
        <w:bidi w:val="0"/>
        <w:adjustRightInd/>
        <w:snapToGrid/>
        <w:spacing w:line="540" w:lineRule="exact"/>
        <w:ind w:firstLine="532" w:firstLineChars="200"/>
        <w:textAlignment w:val="auto"/>
        <w:rPr>
          <w:rFonts w:hint="default" w:ascii="Times New Roman" w:hAnsi="Times New Roman" w:eastAsia="仿宋_GB2312" w:cs="Times New Roman"/>
          <w:spacing w:val="-4"/>
          <w:sz w:val="28"/>
          <w:szCs w:val="28"/>
          <w:highlight w:val="none"/>
        </w:rPr>
      </w:pPr>
      <w:r>
        <w:rPr>
          <w:rFonts w:hint="default" w:ascii="Times New Roman" w:hAnsi="Times New Roman" w:eastAsia="仿宋_GB2312" w:cs="Times New Roman"/>
          <w:spacing w:val="-4"/>
          <w:sz w:val="28"/>
          <w:szCs w:val="28"/>
          <w:highlight w:val="none"/>
        </w:rPr>
        <w:t>六、获得新疆质量奖或</w:t>
      </w:r>
      <w:r>
        <w:rPr>
          <w:rFonts w:hint="eastAsia" w:eastAsia="仿宋_GB2312" w:cs="Times New Roman"/>
          <w:spacing w:val="-8"/>
          <w:sz w:val="28"/>
          <w:szCs w:val="28"/>
          <w:highlight w:val="none"/>
          <w:lang w:eastAsia="zh-CN"/>
        </w:rPr>
        <w:t>质量奖</w:t>
      </w:r>
      <w:r>
        <w:rPr>
          <w:rFonts w:hint="default" w:ascii="Times New Roman" w:hAnsi="Times New Roman" w:eastAsia="仿宋_GB2312" w:cs="Times New Roman"/>
          <w:spacing w:val="-4"/>
          <w:sz w:val="28"/>
          <w:szCs w:val="28"/>
          <w:highlight w:val="none"/>
        </w:rPr>
        <w:t>提名奖后，严格按规定宣传和使用所获得荣誉、奖牌和标识。</w:t>
      </w:r>
    </w:p>
    <w:p>
      <w:pPr>
        <w:keepNext w:val="0"/>
        <w:keepLines w:val="0"/>
        <w:pageBreakBefore w:val="0"/>
        <w:widowControl w:val="0"/>
        <w:kinsoku/>
        <w:wordWrap/>
        <w:overflowPunct/>
        <w:topLinePunct w:val="0"/>
        <w:autoSpaceDE/>
        <w:autoSpaceDN/>
        <w:bidi w:val="0"/>
        <w:adjustRightInd/>
        <w:snapToGrid/>
        <w:spacing w:line="540" w:lineRule="exact"/>
        <w:ind w:firstLine="3937" w:firstLineChars="1480"/>
        <w:jc w:val="left"/>
        <w:textAlignment w:val="auto"/>
        <w:rPr>
          <w:rFonts w:hint="default" w:ascii="Times New Roman" w:hAnsi="Times New Roman" w:eastAsia="仿宋_GB2312" w:cs="Times New Roman"/>
          <w:spacing w:val="-4"/>
          <w:sz w:val="28"/>
          <w:szCs w:val="28"/>
          <w:highlight w:val="none"/>
        </w:rPr>
      </w:pPr>
      <w:r>
        <w:rPr>
          <w:rFonts w:hint="default" w:ascii="Times New Roman" w:hAnsi="Times New Roman" w:eastAsia="仿宋_GB2312" w:cs="Times New Roman"/>
          <w:spacing w:val="-4"/>
          <w:sz w:val="28"/>
          <w:szCs w:val="28"/>
          <w:highlight w:val="none"/>
        </w:rPr>
        <w:t>法人代表（签字）：</w:t>
      </w:r>
    </w:p>
    <w:p>
      <w:pPr>
        <w:keepNext w:val="0"/>
        <w:keepLines w:val="0"/>
        <w:pageBreakBefore w:val="0"/>
        <w:widowControl w:val="0"/>
        <w:kinsoku/>
        <w:wordWrap/>
        <w:overflowPunct/>
        <w:topLinePunct w:val="0"/>
        <w:autoSpaceDE/>
        <w:autoSpaceDN/>
        <w:bidi w:val="0"/>
        <w:adjustRightInd/>
        <w:snapToGrid/>
        <w:spacing w:line="540" w:lineRule="exact"/>
        <w:ind w:firstLine="3937" w:firstLineChars="1480"/>
        <w:jc w:val="left"/>
        <w:textAlignment w:val="auto"/>
        <w:rPr>
          <w:rFonts w:hint="default" w:ascii="Times New Roman" w:hAnsi="Times New Roman" w:eastAsia="仿宋_GB2312" w:cs="Times New Roman"/>
          <w:spacing w:val="-4"/>
          <w:sz w:val="28"/>
          <w:szCs w:val="28"/>
          <w:highlight w:val="none"/>
        </w:rPr>
      </w:pPr>
      <w:r>
        <w:rPr>
          <w:rFonts w:hint="default" w:ascii="Times New Roman" w:hAnsi="Times New Roman" w:eastAsia="仿宋_GB2312" w:cs="Times New Roman"/>
          <w:spacing w:val="-4"/>
          <w:sz w:val="28"/>
          <w:szCs w:val="28"/>
          <w:highlight w:val="none"/>
        </w:rPr>
        <w:t>组    织（公章）：</w:t>
      </w:r>
    </w:p>
    <w:p>
      <w:pPr>
        <w:keepNext w:val="0"/>
        <w:keepLines w:val="0"/>
        <w:pageBreakBefore w:val="0"/>
        <w:widowControl w:val="0"/>
        <w:kinsoku/>
        <w:wordWrap/>
        <w:overflowPunct/>
        <w:topLinePunct w:val="0"/>
        <w:autoSpaceDE/>
        <w:autoSpaceDN/>
        <w:bidi w:val="0"/>
        <w:adjustRightInd/>
        <w:snapToGrid/>
        <w:spacing w:line="540" w:lineRule="exact"/>
        <w:ind w:firstLine="3937" w:firstLineChars="1480"/>
        <w:jc w:val="left"/>
        <w:textAlignment w:val="auto"/>
        <w:rPr>
          <w:rFonts w:hint="default" w:ascii="Times New Roman" w:hAnsi="Times New Roman" w:eastAsia="楷体_GB2312" w:cs="Times New Roman"/>
          <w:spacing w:val="-4"/>
          <w:sz w:val="28"/>
          <w:szCs w:val="28"/>
          <w:highlight w:val="none"/>
        </w:rPr>
      </w:pPr>
      <w:r>
        <w:rPr>
          <w:rFonts w:hint="default" w:ascii="Times New Roman" w:hAnsi="Times New Roman" w:eastAsia="仿宋_GB2312" w:cs="Times New Roman"/>
          <w:spacing w:val="-4"/>
          <w:sz w:val="28"/>
          <w:szCs w:val="28"/>
          <w:highlight w:val="none"/>
        </w:rPr>
        <w:t>日    期：</w:t>
      </w:r>
    </w:p>
    <w:p>
      <w:pPr>
        <w:spacing w:line="560" w:lineRule="exact"/>
        <w:rPr>
          <w:rFonts w:hint="default" w:ascii="Times New Roman" w:hAnsi="Times New Roman" w:eastAsia="黑体" w:cs="Times New Roman"/>
          <w:sz w:val="32"/>
          <w:szCs w:val="32"/>
          <w:highlight w:val="none"/>
        </w:rPr>
      </w:pPr>
      <w:r>
        <w:rPr>
          <w:rFonts w:hint="default" w:ascii="Times New Roman" w:hAnsi="Times New Roman" w:eastAsia="方正黑体简体" w:cs="Times New Roman"/>
          <w:sz w:val="32"/>
          <w:szCs w:val="32"/>
          <w:highlight w:val="none"/>
        </w:rPr>
        <w:t>一、参评组织基本情况</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00"/>
        <w:gridCol w:w="1714"/>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申报组织名称</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所属行业</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组织负责人</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成立日期</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通讯地址</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邮政编码</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人员数量</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电    话</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申报工作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联系部门</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申报工作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联系人</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联系人手机</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固定电话</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E-mail</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传    真</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请用一句话概括组织管理理念或制度、模式或方法（不超过25个字）并提供示意图</w:t>
            </w:r>
          </w:p>
        </w:tc>
        <w:tc>
          <w:tcPr>
            <w:tcW w:w="752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Cs w:val="21"/>
                <w:highlight w:val="none"/>
              </w:rPr>
            </w:pPr>
            <w:r>
              <w:rPr>
                <w:rFonts w:hint="default" w:ascii="Times New Roman" w:hAnsi="Times New Roman" w:eastAsia="仿宋_GB2312" w:cs="Times New Roman"/>
                <w:sz w:val="24"/>
                <w:highlight w:val="none"/>
              </w:rPr>
              <w:t>（请使用精准、生动的语言进行总结凝练，体现组织管理制度、模式或方法的特色和创新之处，例如：......管理制度、以…为核心的…管理模式、基于…的…管理方法、以...为导向的...管理模式、.......相结合的管理模式，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322" w:type="dxa"/>
            <w:gridSpan w:val="4"/>
            <w:vAlign w:val="center"/>
          </w:tcPr>
          <w:p>
            <w:pPr>
              <w:spacing w:line="40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组织概述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6" w:hRule="atLeast"/>
          <w:jc w:val="center"/>
        </w:trPr>
        <w:tc>
          <w:tcPr>
            <w:tcW w:w="9322" w:type="dxa"/>
            <w:gridSpan w:val="4"/>
            <w:vAlign w:val="top"/>
          </w:tcPr>
          <w:p>
            <w:pPr>
              <w:keepNext w:val="0"/>
              <w:keepLines w:val="0"/>
              <w:pageBreakBefore w:val="0"/>
              <w:widowControl w:val="0"/>
              <w:kinsoku/>
              <w:wordWrap/>
              <w:overflowPunct/>
              <w:topLinePunct w:val="0"/>
              <w:autoSpaceDE/>
              <w:autoSpaceDN/>
              <w:bidi w:val="0"/>
              <w:adjustRightInd/>
              <w:snapToGrid/>
              <w:spacing w:line="400" w:lineRule="exact"/>
              <w:ind w:firstLine="468" w:firstLineChars="200"/>
              <w:jc w:val="both"/>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参照《卓越绩效评价准则实施指南》</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GB/T</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19579</w:t>
            </w:r>
            <w:r>
              <w:rPr>
                <w:rFonts w:hint="default" w:ascii="Times New Roman" w:hAnsi="Times New Roman" w:eastAsia="仿宋_GB2312" w:cs="Times New Roman"/>
                <w:sz w:val="24"/>
                <w:highlight w:val="none"/>
                <w:lang w:val="en-US" w:eastAsia="zh-CN"/>
              </w:rPr>
              <w:t>-</w:t>
            </w:r>
            <w:r>
              <w:rPr>
                <w:rFonts w:hint="default" w:ascii="Times New Roman" w:hAnsi="Times New Roman" w:eastAsia="仿宋_GB2312" w:cs="Times New Roman"/>
                <w:sz w:val="24"/>
                <w:highlight w:val="none"/>
              </w:rPr>
              <w:t>2012</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附录B内容</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显示组织运营的关键因素和背景状况（组织描述和组织面临的挑战）。</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限3000字以内</w:t>
            </w:r>
            <w:r>
              <w:rPr>
                <w:rFonts w:hint="default" w:ascii="Times New Roman" w:hAnsi="Times New Roman" w:eastAsia="仿宋_GB2312" w:cs="Times New Roman"/>
                <w:sz w:val="24"/>
                <w:highlight w:val="none"/>
                <w:lang w:eastAsia="zh-CN"/>
              </w:rPr>
              <w:t>）</w:t>
            </w:r>
          </w:p>
          <w:p>
            <w:pPr>
              <w:spacing w:line="440" w:lineRule="exact"/>
              <w:ind w:firstLine="466" w:firstLineChars="199"/>
              <w:jc w:val="both"/>
              <w:rPr>
                <w:rFonts w:hint="default" w:ascii="Times New Roman" w:hAnsi="Times New Roman" w:eastAsia="仿宋_GB2312" w:cs="Times New Roman"/>
                <w:sz w:val="24"/>
                <w:highlight w:val="none"/>
              </w:rPr>
            </w:pPr>
          </w:p>
          <w:p>
            <w:pPr>
              <w:pStyle w:val="2"/>
              <w:jc w:val="both"/>
              <w:rPr>
                <w:rFonts w:hint="default" w:ascii="Times New Roman" w:hAnsi="Times New Roman" w:cs="Times New Roman"/>
                <w:sz w:val="28"/>
                <w:szCs w:val="28"/>
                <w:highlight w:val="none"/>
              </w:rPr>
            </w:pPr>
          </w:p>
          <w:p>
            <w:pPr>
              <w:pStyle w:val="2"/>
              <w:jc w:val="both"/>
              <w:rPr>
                <w:rFonts w:hint="default" w:ascii="Times New Roman" w:hAnsi="Times New Roman" w:cs="Times New Roman"/>
                <w:sz w:val="28"/>
                <w:szCs w:val="28"/>
                <w:highlight w:val="none"/>
              </w:rPr>
            </w:pPr>
          </w:p>
          <w:p>
            <w:pPr>
              <w:pStyle w:val="2"/>
              <w:jc w:val="both"/>
              <w:rPr>
                <w:rFonts w:hint="default" w:ascii="Times New Roman" w:hAnsi="Times New Roman" w:cs="Times New Roman"/>
                <w:sz w:val="28"/>
                <w:szCs w:val="28"/>
                <w:highlight w:val="none"/>
              </w:rPr>
            </w:pPr>
          </w:p>
          <w:p>
            <w:pPr>
              <w:pStyle w:val="2"/>
              <w:jc w:val="both"/>
              <w:rPr>
                <w:rFonts w:hint="default" w:ascii="Times New Roman" w:hAnsi="Times New Roman" w:cs="Times New Roman"/>
                <w:sz w:val="28"/>
                <w:szCs w:val="28"/>
                <w:highlight w:val="none"/>
              </w:rPr>
            </w:pPr>
          </w:p>
          <w:p>
            <w:pPr>
              <w:spacing w:line="400" w:lineRule="exact"/>
              <w:jc w:val="both"/>
              <w:rPr>
                <w:rFonts w:hint="default" w:ascii="Times New Roman" w:hAnsi="Times New Roman" w:cs="Times New Roman"/>
                <w:sz w:val="28"/>
                <w:szCs w:val="28"/>
                <w:highlight w:val="none"/>
              </w:rPr>
            </w:pPr>
          </w:p>
          <w:p>
            <w:pPr>
              <w:spacing w:line="400" w:lineRule="exact"/>
              <w:jc w:val="both"/>
              <w:rPr>
                <w:rFonts w:hint="default" w:ascii="Times New Roman" w:hAnsi="Times New Roman" w:cs="Times New Roman"/>
                <w:sz w:val="28"/>
                <w:szCs w:val="28"/>
                <w:highlight w:val="none"/>
              </w:rPr>
            </w:pPr>
          </w:p>
          <w:p>
            <w:pPr>
              <w:spacing w:line="400" w:lineRule="exact"/>
              <w:jc w:val="both"/>
              <w:rPr>
                <w:rFonts w:hint="default" w:ascii="Times New Roman" w:hAnsi="Times New Roman" w:cs="Times New Roman"/>
                <w:sz w:val="28"/>
                <w:szCs w:val="28"/>
                <w:highlight w:val="none"/>
              </w:rPr>
            </w:pPr>
          </w:p>
        </w:tc>
      </w:tr>
    </w:tbl>
    <w:p>
      <w:pPr>
        <w:spacing w:line="594" w:lineRule="exact"/>
        <w:jc w:val="center"/>
        <w:rPr>
          <w:rFonts w:hint="default" w:ascii="Times New Roman" w:hAnsi="Times New Roman" w:eastAsia="黑体" w:cs="Times New Roman"/>
          <w:spacing w:val="-4"/>
          <w:sz w:val="32"/>
          <w:szCs w:val="32"/>
          <w:highlight w:val="none"/>
        </w:rPr>
        <w:sectPr>
          <w:footerReference r:id="rId7" w:type="first"/>
          <w:footerReference r:id="rId5" w:type="default"/>
          <w:footerReference r:id="rId6" w:type="even"/>
          <w:pgSz w:w="11906" w:h="16838"/>
          <w:pgMar w:top="2098" w:right="1531" w:bottom="1984" w:left="1531" w:header="851" w:footer="1191" w:gutter="0"/>
          <w:pgNumType w:fmt="decimal"/>
          <w:cols w:space="720" w:num="1"/>
          <w:rtlGutter w:val="0"/>
          <w:docGrid w:type="linesAndChars" w:linePitch="287" w:charSpace="-1313"/>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二、参评组织重要指标</w:t>
      </w:r>
    </w:p>
    <w:tbl>
      <w:tblPr>
        <w:tblStyle w:val="24"/>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277"/>
        <w:gridCol w:w="1480"/>
        <w:gridCol w:w="1401"/>
        <w:gridCol w:w="4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
                <w:sz w:val="24"/>
                <w:highlight w:val="none"/>
              </w:rPr>
            </w:pPr>
            <w:r>
              <w:rPr>
                <w:rFonts w:hint="default" w:ascii="Times New Roman" w:hAnsi="Times New Roman" w:cs="Times New Roman" w:eastAsiaTheme="majorEastAsia"/>
                <w:b/>
                <w:sz w:val="24"/>
                <w:highlight w:val="none"/>
              </w:rPr>
              <w:t>序号</w:t>
            </w:r>
          </w:p>
        </w:tc>
        <w:tc>
          <w:tcPr>
            <w:tcW w:w="1277"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
                <w:bCs/>
                <w:sz w:val="24"/>
                <w:highlight w:val="none"/>
              </w:rPr>
            </w:pPr>
            <w:r>
              <w:rPr>
                <w:rFonts w:hint="default" w:ascii="Times New Roman" w:hAnsi="Times New Roman" w:cs="Times New Roman" w:eastAsiaTheme="majorEastAsia"/>
                <w:b/>
                <w:sz w:val="24"/>
                <w:highlight w:val="none"/>
              </w:rPr>
              <w:t>指标类别</w:t>
            </w:r>
          </w:p>
        </w:tc>
        <w:tc>
          <w:tcPr>
            <w:tcW w:w="1480"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
                <w:bCs/>
                <w:sz w:val="24"/>
                <w:highlight w:val="none"/>
              </w:rPr>
            </w:pPr>
            <w:r>
              <w:rPr>
                <w:rFonts w:hint="default" w:ascii="Times New Roman" w:hAnsi="Times New Roman" w:cs="Times New Roman" w:eastAsiaTheme="majorEastAsia"/>
                <w:b/>
                <w:bCs/>
                <w:sz w:val="24"/>
                <w:highlight w:val="none"/>
              </w:rPr>
              <w:t>指标表述</w:t>
            </w:r>
          </w:p>
        </w:tc>
        <w:tc>
          <w:tcPr>
            <w:tcW w:w="5672" w:type="dxa"/>
            <w:gridSpan w:val="2"/>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
                <w:bCs/>
                <w:sz w:val="24"/>
                <w:highlight w:val="none"/>
              </w:rPr>
            </w:pPr>
            <w:r>
              <w:rPr>
                <w:rFonts w:hint="default" w:ascii="Times New Roman" w:hAnsi="Times New Roman" w:cs="Times New Roman" w:eastAsiaTheme="majorEastAsia"/>
                <w:b/>
                <w:bCs/>
                <w:sz w:val="24"/>
                <w:highlight w:val="none"/>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38" w:type="dxa"/>
            <w:gridSpan w:val="5"/>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b/>
                <w:bCs/>
                <w:sz w:val="24"/>
                <w:highlight w:val="none"/>
              </w:rPr>
            </w:pPr>
            <w:r>
              <w:rPr>
                <w:rFonts w:hint="default" w:ascii="Times New Roman" w:hAnsi="Times New Roman" w:cs="Times New Roman" w:eastAsiaTheme="majorEastAsia"/>
                <w:b/>
                <w:sz w:val="24"/>
                <w:highlight w:val="none"/>
              </w:rPr>
              <w:t>一、质量提升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1</w:t>
            </w:r>
          </w:p>
        </w:tc>
        <w:tc>
          <w:tcPr>
            <w:tcW w:w="127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教学质量</w:t>
            </w: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课程建设</w:t>
            </w: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社会认可的在线精品课程数量：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小学、初中</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优势课程数量：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p>
        </w:tc>
        <w:tc>
          <w:tcPr>
            <w:tcW w:w="4271" w:type="dxa"/>
            <w:vAlign w:val="top"/>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开设德育课、文化课、艺术课等公共课程的情况：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职业技术学校</w:t>
            </w:r>
            <w:r>
              <w:rPr>
                <w:rFonts w:hint="default" w:ascii="Times New Roman" w:hAnsi="Times New Roman" w:cs="Times New Roman" w:eastAsiaTheme="majorEastAsia"/>
                <w:sz w:val="24"/>
                <w:highlight w:val="none"/>
                <w:lang w:eastAsia="zh-CN"/>
              </w:rPr>
              <w:t>（含技工院校）</w:t>
            </w:r>
          </w:p>
        </w:tc>
        <w:tc>
          <w:tcPr>
            <w:tcW w:w="4271" w:type="dxa"/>
            <w:vAlign w:val="top"/>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专业课程与区域产业、市场需求、国家战略的匹配情况：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校企合作开发课程数与教材数：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中高职衔接（适用于高职学校）招收中职生源比例：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是否建立以学习者为中心的专业与课程质量持续改进与内外部评价反馈制度：□是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2</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师资队伍</w:t>
            </w: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小学、初中</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师生比：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中高级以上职称教师占比：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教师培养培训计划：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课程开发能力：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职业技术学校</w:t>
            </w:r>
            <w:r>
              <w:rPr>
                <w:rFonts w:hint="default" w:ascii="Times New Roman" w:hAnsi="Times New Roman" w:cs="Times New Roman" w:eastAsiaTheme="majorEastAsia"/>
                <w:sz w:val="24"/>
                <w:highlight w:val="none"/>
                <w:lang w:eastAsia="zh-CN"/>
              </w:rPr>
              <w:t>（含技工院校）</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是否从企业中聘请劳动模范、技术能手、大国工匠、道德楷模担任兼职导师：</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p>
        </w:tc>
        <w:tc>
          <w:tcPr>
            <w:tcW w:w="4271" w:type="dxa"/>
            <w:vAlign w:val="top"/>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校企共建“双师型”教师占比（持证教师数占专业课教师总数的百分比）：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p>
        </w:tc>
        <w:tc>
          <w:tcPr>
            <w:tcW w:w="4271" w:type="dxa"/>
            <w:vAlign w:val="top"/>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特聘现代产业导师队伍占比（首席技师、国家及自治区级技术能手等高层次技术技能人才聘用数占教师总数的百分比）：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p>
        </w:tc>
        <w:tc>
          <w:tcPr>
            <w:tcW w:w="4271" w:type="dxa"/>
            <w:vAlign w:val="top"/>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教师培养培训计划：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p>
        </w:tc>
        <w:tc>
          <w:tcPr>
            <w:tcW w:w="4271" w:type="dxa"/>
            <w:vAlign w:val="top"/>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专业研发能力：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3</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教学评价</w:t>
            </w:r>
          </w:p>
        </w:tc>
        <w:tc>
          <w:tcPr>
            <w:tcW w:w="5672" w:type="dxa"/>
            <w:gridSpan w:val="2"/>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是否在科学严谨的基础上，形成深入浅出、图文并茂、形式多样的活页式、工作手册式、融媒体教材：</w:t>
            </w:r>
          </w:p>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小学、初中</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形成符合中小学学生成长规律的教学方式有（可以多选）：</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□情景式</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□案例式</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□活动式</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参与社会实践情况：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职业技术学校</w:t>
            </w:r>
            <w:r>
              <w:rPr>
                <w:rFonts w:hint="default" w:ascii="Times New Roman" w:hAnsi="Times New Roman" w:cs="Times New Roman" w:eastAsiaTheme="majorEastAsia"/>
                <w:sz w:val="24"/>
                <w:highlight w:val="none"/>
                <w:lang w:eastAsia="zh-CN"/>
              </w:rPr>
              <w:t>（含技工院校）</w:t>
            </w:r>
          </w:p>
        </w:tc>
        <w:tc>
          <w:tcPr>
            <w:tcW w:w="4271" w:type="dxa"/>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实践性教学占比：</w:t>
            </w:r>
            <w:r>
              <w:rPr>
                <w:rFonts w:hint="default" w:ascii="Times New Roman" w:hAnsi="Times New Roman" w:cs="Times New Roman" w:eastAsiaTheme="majorEastAsia"/>
                <w:sz w:val="24"/>
                <w:highlight w:val="none"/>
                <w:u w:val="single"/>
              </w:rPr>
              <w:t xml:space="preserve">       </w:t>
            </w:r>
            <w:r>
              <w:rPr>
                <w:rFonts w:hint="default" w:ascii="Times New Roman" w:hAnsi="Times New Roman" w:cs="Times New Roman" w:eastAsiaTheme="maj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实践性教学方式（可以多选）：</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□认知实习 □跟岗实习 □顶岗实习</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□其他措施：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校企共建共享生产性实训基地工位数占在校生总数的百分比：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top"/>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其他特色教学方式：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4</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学生发展</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质量评价</w:t>
            </w: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小学、初中</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学生综合素质情况：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升学情况：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社会认可（学生获奖等）情况：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职业技术学校</w:t>
            </w:r>
            <w:r>
              <w:rPr>
                <w:rFonts w:hint="default" w:ascii="Times New Roman" w:hAnsi="Times New Roman" w:cs="Times New Roman" w:eastAsiaTheme="majorEastAsia"/>
                <w:sz w:val="24"/>
                <w:highlight w:val="none"/>
                <w:lang w:eastAsia="zh-CN"/>
              </w:rPr>
              <w:t>（含技工院校）</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职业道德评价措施：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职业素养（如证书获取比例）情况：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技术技能水平（如职业岗位技能测试分值占比）情况：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top"/>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上年度获得自治区、全国职业院校技能大赛奖励分值及较往年的增幅情况：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就业率：</w:t>
            </w:r>
          </w:p>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创业率：</w:t>
            </w:r>
          </w:p>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平均薪酬：</w:t>
            </w:r>
          </w:p>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用人单位对毕业生满意度：</w:t>
            </w:r>
          </w:p>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毕业生满意度：</w:t>
            </w:r>
          </w:p>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其他就业质量指标：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5</w:t>
            </w:r>
          </w:p>
        </w:tc>
        <w:tc>
          <w:tcPr>
            <w:tcW w:w="127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服务质量</w:t>
            </w:r>
          </w:p>
        </w:tc>
        <w:tc>
          <w:tcPr>
            <w:tcW w:w="14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基础条件</w:t>
            </w:r>
          </w:p>
        </w:tc>
        <w:tc>
          <w:tcPr>
            <w:tcW w:w="5672" w:type="dxa"/>
            <w:gridSpan w:val="2"/>
            <w:vAlign w:val="top"/>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教学场所、运动场地、公共绿地、教学设备、辅助设施、图书馆、学校食堂、校车等的情况：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6</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学生与家长的反馈与评价</w:t>
            </w:r>
          </w:p>
        </w:tc>
        <w:tc>
          <w:tcPr>
            <w:tcW w:w="5672" w:type="dxa"/>
            <w:gridSpan w:val="2"/>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围绕教学质量、教学过程、教师素质、校纪校风、教育管理、餐饮、医疗、校车等方面，学校是否建立与学生及家长沟通评价反馈机制：</w:t>
            </w:r>
          </w:p>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5672" w:type="dxa"/>
            <w:gridSpan w:val="2"/>
            <w:vAlign w:val="top"/>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如果是，沟通反馈与评价的应用成效：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7</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教学成绩</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评价</w:t>
            </w:r>
          </w:p>
        </w:tc>
        <w:tc>
          <w:tcPr>
            <w:tcW w:w="5672" w:type="dxa"/>
            <w:gridSpan w:val="2"/>
            <w:vAlign w:val="top"/>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主管部门或相关机构对学校的评价情况：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8</w:t>
            </w:r>
          </w:p>
        </w:tc>
        <w:tc>
          <w:tcPr>
            <w:tcW w:w="127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学生安全</w:t>
            </w:r>
          </w:p>
        </w:tc>
        <w:tc>
          <w:tcPr>
            <w:tcW w:w="14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安全制度</w:t>
            </w: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是否建立安全制度：□是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9</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安全责任</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落实</w:t>
            </w: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安全责任是否落实：□是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10</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安全教育</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培训</w:t>
            </w: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是否针对安全教育制定具体培训措施：</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11</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学校心理</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疏导</w:t>
            </w: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是否针对学生心理疏导制定具体措施：</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12</w:t>
            </w:r>
          </w:p>
        </w:tc>
        <w:tc>
          <w:tcPr>
            <w:tcW w:w="127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学校管理</w:t>
            </w: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教学管理</w:t>
            </w: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办学思想与战略目标：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教学业务计划、组织实施与质量监测措施：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学校德育、体育卫生、心理健康等工作计划、组织实施与质量监测措施：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13</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师资管理</w:t>
            </w: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教师评价</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学校是否建立破“唯分数、唯升学、唯文凭、唯论文、唯帽子”的评价措施：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教师是否具有丰富的经验（实际操作技能）：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教师激励</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高水平、高贡献人才平均收入与学校领导班子成员平均收入比较情况：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其他措施：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教师提升规划具体措施：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14</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行政管理</w:t>
            </w: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校园秩序措施与成效：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环境管理措施与成效：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文化建设</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立德树人与全员全过程全方位育人措施与成效： </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对文化建设的成效评估措施：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238" w:type="dxa"/>
            <w:gridSpan w:val="5"/>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b/>
                <w:sz w:val="24"/>
                <w:highlight w:val="none"/>
              </w:rPr>
            </w:pPr>
            <w:r>
              <w:rPr>
                <w:rFonts w:hint="default" w:ascii="Times New Roman" w:hAnsi="Times New Roman" w:cs="Times New Roman" w:eastAsiaTheme="majorEastAsia"/>
                <w:b/>
                <w:sz w:val="24"/>
                <w:highlight w:val="none"/>
              </w:rPr>
              <w:t>二、创新发展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15</w:t>
            </w:r>
          </w:p>
        </w:tc>
        <w:tc>
          <w:tcPr>
            <w:tcW w:w="1277"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管理创新</w:t>
            </w:r>
          </w:p>
        </w:tc>
        <w:tc>
          <w:tcPr>
            <w:tcW w:w="14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管理思路</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方法创新</w:t>
            </w: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创新的管理理念或制度、模式、方法：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16</w:t>
            </w:r>
          </w:p>
        </w:tc>
        <w:tc>
          <w:tcPr>
            <w:tcW w:w="1277"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创新平台</w:t>
            </w:r>
          </w:p>
        </w:tc>
        <w:tc>
          <w:tcPr>
            <w:tcW w:w="14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示范基地</w:t>
            </w: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示范基地级别</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□国家级  </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□自治区级    </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□本地市级  </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17</w:t>
            </w:r>
          </w:p>
        </w:tc>
        <w:tc>
          <w:tcPr>
            <w:tcW w:w="127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理念创新</w:t>
            </w: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发展理念</w:t>
            </w: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是否有发展理念创新：□是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如果是，具体发展理念及其内涵：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18</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育人理念</w:t>
            </w: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小学、初中</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是否坚持德智体美劳全面发展育人理念：□是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如果是，具体制度措施：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职业技术学校</w:t>
            </w:r>
            <w:r>
              <w:rPr>
                <w:rFonts w:hint="default" w:ascii="Times New Roman" w:hAnsi="Times New Roman" w:cs="Times New Roman" w:eastAsiaTheme="majorEastAsia"/>
                <w:sz w:val="24"/>
                <w:highlight w:val="none"/>
                <w:lang w:eastAsia="zh-CN"/>
              </w:rPr>
              <w:t>（含技工院校）</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是否坚持德技并修的育人理念：</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如果是，具体制度措施：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19</w:t>
            </w:r>
          </w:p>
        </w:tc>
        <w:tc>
          <w:tcPr>
            <w:tcW w:w="127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业务创新</w:t>
            </w: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素质教育</w:t>
            </w:r>
          </w:p>
        </w:tc>
        <w:tc>
          <w:tcPr>
            <w:tcW w:w="1401"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小学、初中</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是否形成以学生为中心的自由充分全面发展创新制度措施：</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职业技术学校</w:t>
            </w:r>
            <w:r>
              <w:rPr>
                <w:rFonts w:hint="default" w:ascii="Times New Roman" w:hAnsi="Times New Roman" w:cs="Times New Roman" w:eastAsiaTheme="majorEastAsia"/>
                <w:sz w:val="24"/>
                <w:highlight w:val="none"/>
                <w:lang w:eastAsia="zh-CN"/>
              </w:rPr>
              <w:t>（含技工院校）</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是否形成以学生综合职业素养培养为核心的创新制度措施：</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20</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特色教育</w:t>
            </w:r>
          </w:p>
        </w:tc>
        <w:tc>
          <w:tcPr>
            <w:tcW w:w="1401"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小学、初中</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综合品牌效应或特色领域情况（可以多选）：</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□升学率高</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□素质教育好</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□某项领域专长</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职业技术学校</w:t>
            </w:r>
            <w:r>
              <w:rPr>
                <w:rFonts w:hint="default" w:ascii="Times New Roman" w:hAnsi="Times New Roman" w:cs="Times New Roman" w:eastAsiaTheme="majorEastAsia"/>
                <w:sz w:val="24"/>
                <w:highlight w:val="none"/>
                <w:lang w:eastAsia="zh-CN"/>
              </w:rPr>
              <w:t>（含技工院校）</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品牌联想表现在哪方面（可以多选）：</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□特色专业</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□校企合作</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□产教融合</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□工学结合</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□实训培训（1+X证书制度）</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□服务全面终身学习</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□其他：</w:t>
            </w:r>
            <w:r>
              <w:rPr>
                <w:rFonts w:hint="default" w:ascii="Times New Roman" w:hAnsi="Times New Roman" w:cs="Times New Roman" w:eastAsiaTheme="majorEastAsia"/>
                <w:sz w:val="24"/>
                <w:highlight w:val="none"/>
                <w:u w:val="single"/>
              </w:rPr>
              <w:t xml:space="preserve"> </w:t>
            </w:r>
            <w:r>
              <w:rPr>
                <w:rFonts w:hint="eastAsia" w:cs="Times New Roman" w:eastAsiaTheme="majorEastAsia"/>
                <w:sz w:val="24"/>
                <w:highlight w:val="none"/>
                <w:u w:val="single"/>
                <w:lang w:val="en-US" w:eastAsia="zh-CN"/>
              </w:rPr>
              <w:t xml:space="preserve">                </w:t>
            </w:r>
            <w:r>
              <w:rPr>
                <w:rFonts w:hint="default" w:ascii="Times New Roman" w:hAnsi="Times New Roman" w:cs="Times New Roman" w:eastAsiaTheme="majorEastAsia"/>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产教与校企合作订单培养、学徒培养、合作企业（含事业单位等）接收实习学生数占在校生总数的百分比：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学校与国（境）外优秀职业教育机构联合开展学术研究、标准研制、师生交流等合作项目情况：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境外“鲁班工坊”数：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09"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tcBorders>
              <w:bottom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tcBorders>
              <w:bottom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tcBorders>
              <w:bottom w:val="single" w:color="auto" w:sz="4" w:space="0"/>
            </w:tcBorders>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tcBorders>
              <w:bottom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是否开展校企混合所有制办学：</w:t>
            </w:r>
          </w:p>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21</w:t>
            </w:r>
          </w:p>
        </w:tc>
        <w:tc>
          <w:tcPr>
            <w:tcW w:w="127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技术创新</w:t>
            </w:r>
          </w:p>
        </w:tc>
        <w:tc>
          <w:tcPr>
            <w:tcW w:w="14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教材课程</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创新</w:t>
            </w:r>
          </w:p>
        </w:tc>
        <w:tc>
          <w:tcPr>
            <w:tcW w:w="5672" w:type="dxa"/>
            <w:gridSpan w:val="2"/>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是否有教材课程改革创新：□是   □否</w:t>
            </w:r>
          </w:p>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如果是，支撑材料：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22</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教学方法</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创新</w:t>
            </w:r>
          </w:p>
        </w:tc>
        <w:tc>
          <w:tcPr>
            <w:tcW w:w="5672" w:type="dxa"/>
            <w:gridSpan w:val="2"/>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是否有教学方法改革创新：□是   □否</w:t>
            </w:r>
          </w:p>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如果是，支撑材料：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23</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教学设施</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改进</w:t>
            </w: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网络教学覆盖率（网络教学课程数占开设课程总数的百分比）：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24</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信息化管理与服务覆盖率：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25</w:t>
            </w:r>
          </w:p>
        </w:tc>
        <w:tc>
          <w:tcPr>
            <w:tcW w:w="127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创新价值</w:t>
            </w:r>
          </w:p>
        </w:tc>
        <w:tc>
          <w:tcPr>
            <w:tcW w:w="14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创新成果</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获奖</w:t>
            </w: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获得教学成果奖或教学能力大赛奖等（第一完成单位）：</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□国家</w:t>
            </w:r>
            <w:r>
              <w:rPr>
                <w:rFonts w:hint="eastAsia" w:cs="Times New Roman" w:eastAsiaTheme="majorEastAsia"/>
                <w:sz w:val="24"/>
                <w:highlight w:val="none"/>
                <w:lang w:eastAsia="zh-CN"/>
              </w:rPr>
              <w:t>级</w:t>
            </w:r>
            <w:r>
              <w:rPr>
                <w:rFonts w:hint="default" w:ascii="Times New Roman" w:hAnsi="Times New Roman" w:cs="Times New Roman" w:eastAsiaTheme="majorEastAsia"/>
                <w:sz w:val="24"/>
                <w:highlight w:val="none"/>
              </w:rPr>
              <w:t>特等奖 □国家</w:t>
            </w:r>
            <w:r>
              <w:rPr>
                <w:rFonts w:hint="eastAsia" w:cs="Times New Roman" w:eastAsiaTheme="majorEastAsia"/>
                <w:sz w:val="24"/>
                <w:highlight w:val="none"/>
                <w:lang w:eastAsia="zh-CN"/>
              </w:rPr>
              <w:t>级</w:t>
            </w:r>
            <w:r>
              <w:rPr>
                <w:rFonts w:hint="default" w:ascii="Times New Roman" w:hAnsi="Times New Roman" w:cs="Times New Roman" w:eastAsiaTheme="majorEastAsia"/>
                <w:sz w:val="24"/>
                <w:highlight w:val="none"/>
              </w:rPr>
              <w:t>一等奖 □国家</w:t>
            </w:r>
            <w:r>
              <w:rPr>
                <w:rFonts w:hint="eastAsia" w:cs="Times New Roman" w:eastAsiaTheme="majorEastAsia"/>
                <w:sz w:val="24"/>
                <w:highlight w:val="none"/>
                <w:lang w:eastAsia="zh-CN"/>
              </w:rPr>
              <w:t>级</w:t>
            </w:r>
            <w:r>
              <w:rPr>
                <w:rFonts w:hint="default" w:ascii="Times New Roman" w:hAnsi="Times New Roman" w:cs="Times New Roman" w:eastAsiaTheme="majorEastAsia"/>
                <w:sz w:val="24"/>
                <w:highlight w:val="none"/>
              </w:rPr>
              <w:t>二等奖</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□自治区级特等奖 □自治区级一等奖 □自治区级二等奖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26</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创新成果</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价值</w:t>
            </w: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是否具有先进性、独创性、可推广性经验：</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38" w:type="dxa"/>
            <w:gridSpan w:val="5"/>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b/>
                <w:sz w:val="24"/>
                <w:highlight w:val="none"/>
              </w:rPr>
            </w:pPr>
            <w:r>
              <w:rPr>
                <w:rFonts w:hint="default" w:ascii="Times New Roman" w:hAnsi="Times New Roman" w:cs="Times New Roman" w:eastAsiaTheme="majorEastAsia"/>
                <w:b/>
                <w:sz w:val="24"/>
                <w:highlight w:val="none"/>
              </w:rPr>
              <w:t>三、文化理念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27</w:t>
            </w:r>
          </w:p>
        </w:tc>
        <w:tc>
          <w:tcPr>
            <w:tcW w:w="127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学校价值取向与精神风貌</w:t>
            </w: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学校历史传承和校训</w:t>
            </w: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办学历史年限：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学校校训：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5672" w:type="dxa"/>
            <w:gridSpan w:val="2"/>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历史传承：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28</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教风、学风、校风</w:t>
            </w:r>
          </w:p>
        </w:tc>
        <w:tc>
          <w:tcPr>
            <w:tcW w:w="5672" w:type="dxa"/>
            <w:gridSpan w:val="2"/>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是否形成教风、学风、校风：□是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5672" w:type="dxa"/>
            <w:gridSpan w:val="2"/>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如果是，教风、学风、校风及其内涵：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29</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文化特色</w:t>
            </w: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小学、初中</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爱党、爱国、爱社会主义、爱人民、爱集体的道德情感教育制度文化：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体验式学习培养学生的价值认知措施：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职业技术学校</w:t>
            </w:r>
            <w:r>
              <w:rPr>
                <w:rFonts w:hint="default" w:ascii="Times New Roman" w:hAnsi="Times New Roman" w:cs="Times New Roman" w:eastAsiaTheme="majorEastAsia"/>
                <w:sz w:val="24"/>
                <w:highlight w:val="none"/>
                <w:lang w:eastAsia="zh-CN"/>
              </w:rPr>
              <w:t>（含技工院校）</w:t>
            </w: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职业教育活动周和世界青年技能日宣传活动具体措施：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开展“大国工匠进校园”“劳模进校园”“优秀职校生校园分享”等活动具体措施：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全民终身学习活动周与开展“百姓学习之星”和“终身学习品牌项目”的具体措施：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塑造学生世界观、人生观、价值观的具体措施：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5672" w:type="dxa"/>
            <w:gridSpan w:val="2"/>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文化德育培养特色案例：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30</w:t>
            </w:r>
          </w:p>
        </w:tc>
        <w:tc>
          <w:tcPr>
            <w:tcW w:w="127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学校文化体系建设</w:t>
            </w: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校徽、校歌等校园文化建设</w:t>
            </w:r>
          </w:p>
        </w:tc>
        <w:tc>
          <w:tcPr>
            <w:tcW w:w="5672" w:type="dxa"/>
            <w:gridSpan w:val="2"/>
          </w:tcPr>
          <w:p>
            <w:pPr>
              <w:keepNext w:val="0"/>
              <w:keepLines w:val="0"/>
              <w:pageBreakBefore w:val="0"/>
              <w:widowControl/>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是否设计形成校徽、校歌：□是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5672" w:type="dxa"/>
            <w:gridSpan w:val="2"/>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如果是，校徽、校歌内涵：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31</w:t>
            </w:r>
          </w:p>
        </w:tc>
        <w:tc>
          <w:tcPr>
            <w:tcW w:w="1277"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社会认可</w:t>
            </w:r>
          </w:p>
        </w:tc>
        <w:tc>
          <w:tcPr>
            <w:tcW w:w="14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学校文化社会影响</w:t>
            </w:r>
          </w:p>
        </w:tc>
        <w:tc>
          <w:tcPr>
            <w:tcW w:w="5672" w:type="dxa"/>
            <w:gridSpan w:val="2"/>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学校文化示范影响和社会评价情况：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38" w:type="dxa"/>
            <w:gridSpan w:val="5"/>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b/>
                <w:sz w:val="24"/>
                <w:highlight w:val="none"/>
              </w:rPr>
            </w:pPr>
            <w:r>
              <w:rPr>
                <w:rFonts w:hint="default" w:ascii="Times New Roman" w:hAnsi="Times New Roman" w:cs="Times New Roman" w:eastAsiaTheme="majorEastAsia"/>
                <w:b/>
                <w:sz w:val="24"/>
                <w:highlight w:val="none"/>
              </w:rPr>
              <w:t>四、组织效益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32</w:t>
            </w:r>
          </w:p>
        </w:tc>
        <w:tc>
          <w:tcPr>
            <w:tcW w:w="127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社会责任</w:t>
            </w:r>
          </w:p>
        </w:tc>
        <w:tc>
          <w:tcPr>
            <w:tcW w:w="14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提升学生综合素质情况</w:t>
            </w:r>
          </w:p>
        </w:tc>
        <w:tc>
          <w:tcPr>
            <w:tcW w:w="5672" w:type="dxa"/>
            <w:gridSpan w:val="2"/>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学生综合素质的影响力：</w:t>
            </w:r>
          </w:p>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□本地范围</w:t>
            </w:r>
          </w:p>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□自治区范围</w:t>
            </w:r>
          </w:p>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□国家范围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33</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推广先进的教育理念、方法和制度</w:t>
            </w:r>
          </w:p>
        </w:tc>
        <w:tc>
          <w:tcPr>
            <w:tcW w:w="5672" w:type="dxa"/>
            <w:gridSpan w:val="2"/>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传播推广先进的教育理念、方法和制度的途径与社会成效：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34</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参加社会</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公益</w:t>
            </w: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小学、初中</w:t>
            </w:r>
          </w:p>
        </w:tc>
        <w:tc>
          <w:tcPr>
            <w:tcW w:w="4271" w:type="dxa"/>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对口支援其他学校情况：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其他活动：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职业技术学校</w:t>
            </w:r>
            <w:r>
              <w:rPr>
                <w:rFonts w:hint="default" w:ascii="Times New Roman" w:hAnsi="Times New Roman" w:cs="Times New Roman" w:eastAsiaTheme="majorEastAsia"/>
                <w:sz w:val="24"/>
                <w:highlight w:val="none"/>
                <w:lang w:eastAsia="zh-CN"/>
              </w:rPr>
              <w:t>（含技工院校）</w:t>
            </w:r>
          </w:p>
        </w:tc>
        <w:tc>
          <w:tcPr>
            <w:tcW w:w="4271" w:type="dxa"/>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常态化开展职业学校校园开放、企业开放日、面向中小学生的职业体验、面向社会的便民服务、职教成果展示等宣传展示及服务活动：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其他活动：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35</w:t>
            </w:r>
          </w:p>
        </w:tc>
        <w:tc>
          <w:tcPr>
            <w:tcW w:w="127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社会效益</w:t>
            </w: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获得荣誉</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情况</w:t>
            </w:r>
          </w:p>
        </w:tc>
        <w:tc>
          <w:tcPr>
            <w:tcW w:w="5672" w:type="dxa"/>
            <w:gridSpan w:val="2"/>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学校全面工作获奖情况：</w:t>
            </w:r>
          </w:p>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□本地荣誉□自治区级荣誉</w:t>
            </w:r>
          </w:p>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□国家</w:t>
            </w:r>
            <w:r>
              <w:rPr>
                <w:rFonts w:hint="eastAsia" w:cs="Times New Roman" w:eastAsiaTheme="majorEastAsia"/>
                <w:sz w:val="24"/>
                <w:highlight w:val="none"/>
                <w:lang w:eastAsia="zh-CN"/>
              </w:rPr>
              <w:t>级</w:t>
            </w:r>
            <w:r>
              <w:rPr>
                <w:rFonts w:hint="default" w:ascii="Times New Roman" w:hAnsi="Times New Roman" w:cs="Times New Roman" w:eastAsiaTheme="majorEastAsia"/>
                <w:sz w:val="24"/>
                <w:highlight w:val="none"/>
              </w:rPr>
              <w:t>荣誉□国际</w:t>
            </w:r>
            <w:r>
              <w:rPr>
                <w:rFonts w:hint="eastAsia" w:cs="Times New Roman" w:eastAsiaTheme="majorEastAsia"/>
                <w:sz w:val="24"/>
                <w:highlight w:val="none"/>
                <w:lang w:eastAsia="zh-CN"/>
              </w:rPr>
              <w:t>级</w:t>
            </w:r>
            <w:r>
              <w:rPr>
                <w:rFonts w:hint="default" w:ascii="Times New Roman" w:hAnsi="Times New Roman" w:cs="Times New Roman" w:eastAsiaTheme="majorEastAsia"/>
                <w:sz w:val="24"/>
                <w:highlight w:val="none"/>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5672" w:type="dxa"/>
            <w:gridSpan w:val="2"/>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学校单项工作获奖情况：</w:t>
            </w:r>
          </w:p>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□本地荣誉□自治区级荣誉</w:t>
            </w:r>
          </w:p>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□国家</w:t>
            </w:r>
            <w:r>
              <w:rPr>
                <w:rFonts w:hint="eastAsia" w:cs="Times New Roman" w:eastAsiaTheme="majorEastAsia"/>
                <w:sz w:val="24"/>
                <w:highlight w:val="none"/>
                <w:lang w:eastAsia="zh-CN"/>
              </w:rPr>
              <w:t>级</w:t>
            </w:r>
            <w:r>
              <w:rPr>
                <w:rFonts w:hint="default" w:ascii="Times New Roman" w:hAnsi="Times New Roman" w:cs="Times New Roman" w:eastAsiaTheme="majorEastAsia"/>
                <w:sz w:val="24"/>
                <w:highlight w:val="none"/>
              </w:rPr>
              <w:t>荣誉□国际荣誉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09"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r>
              <w:rPr>
                <w:rFonts w:hint="default" w:ascii="Times New Roman" w:hAnsi="Times New Roman" w:cs="Times New Roman" w:eastAsiaTheme="majorEastAsia"/>
                <w:bCs/>
                <w:sz w:val="24"/>
                <w:highlight w:val="none"/>
              </w:rPr>
              <w:t>36</w:t>
            </w: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带动本地区教育水平提升与服务经济社会发展</w:t>
            </w:r>
          </w:p>
        </w:tc>
        <w:tc>
          <w:tcPr>
            <w:tcW w:w="1401"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小学、初中</w:t>
            </w:r>
          </w:p>
        </w:tc>
        <w:tc>
          <w:tcPr>
            <w:tcW w:w="4271" w:type="dxa"/>
            <w:vAlign w:val="top"/>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带动本地区整体教育水平提升措施与成效：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01"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职业技术学校</w:t>
            </w:r>
            <w:r>
              <w:rPr>
                <w:rFonts w:hint="default" w:ascii="Times New Roman" w:hAnsi="Times New Roman" w:cs="Times New Roman" w:eastAsiaTheme="majorEastAsia"/>
                <w:sz w:val="24"/>
                <w:highlight w:val="none"/>
                <w:lang w:eastAsia="zh-CN"/>
              </w:rPr>
              <w:t>（含技工院校）</w:t>
            </w:r>
          </w:p>
        </w:tc>
        <w:tc>
          <w:tcPr>
            <w:tcW w:w="4271" w:type="dxa"/>
            <w:vAlign w:val="top"/>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职业教育服务城市文明、城市创新、民生需求、产业发展成效：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eastAsiaTheme="majorEastAsia"/>
                <w:bCs/>
                <w:sz w:val="24"/>
                <w:highlight w:val="none"/>
              </w:rPr>
            </w:pPr>
          </w:p>
        </w:tc>
        <w:tc>
          <w:tcPr>
            <w:tcW w:w="127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80"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1401" w:type="dxa"/>
            <w:vMerge w:val="continue"/>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eastAsiaTheme="majorEastAsia"/>
                <w:sz w:val="24"/>
                <w:highlight w:val="none"/>
              </w:rPr>
            </w:pPr>
          </w:p>
        </w:tc>
        <w:tc>
          <w:tcPr>
            <w:tcW w:w="4271" w:type="dxa"/>
            <w:vAlign w:val="top"/>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 xml:space="preserve">促进义务教育“控辍保学”成效：         </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br w:type="page"/>
      </w:r>
    </w:p>
    <w:p>
      <w:pPr>
        <w:spacing w:line="560" w:lineRule="exact"/>
        <w:rPr>
          <w:rFonts w:hint="default" w:ascii="Times New Roman" w:hAnsi="Times New Roman" w:eastAsia="方正黑体简体" w:cs="Times New Roman"/>
          <w:sz w:val="32"/>
          <w:szCs w:val="32"/>
          <w:highlight w:val="none"/>
        </w:rPr>
      </w:pPr>
      <w:r>
        <w:rPr>
          <w:rFonts w:hint="default" w:ascii="Times New Roman" w:hAnsi="Times New Roman" w:eastAsia="黑体" w:cs="Times New Roman"/>
          <w:sz w:val="32"/>
          <w:szCs w:val="32"/>
          <w:highlight w:val="none"/>
        </w:rPr>
        <w:t>三、</w:t>
      </w:r>
      <w:r>
        <w:rPr>
          <w:rFonts w:hint="eastAsia" w:eastAsia="黑体" w:cs="Times New Roman"/>
          <w:sz w:val="32"/>
          <w:szCs w:val="32"/>
          <w:highlight w:val="none"/>
          <w:lang w:eastAsia="zh-CN"/>
        </w:rPr>
        <w:t>近</w:t>
      </w:r>
      <w:r>
        <w:rPr>
          <w:rFonts w:hint="default" w:ascii="Times New Roman" w:hAnsi="Times New Roman" w:eastAsia="黑体" w:cs="Times New Roman"/>
          <w:sz w:val="32"/>
          <w:szCs w:val="32"/>
          <w:highlight w:val="none"/>
        </w:rPr>
        <w:t>三年获得自治区级以上教育行业和社会等方面奖项情况</w:t>
      </w:r>
    </w:p>
    <w:tbl>
      <w:tblPr>
        <w:tblStyle w:val="24"/>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37"/>
        <w:gridCol w:w="2582"/>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35" w:type="dxa"/>
            <w:tcBorders>
              <w:top w:val="single" w:color="auto" w:sz="8" w:space="0"/>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获 奖 名 称</w:t>
            </w:r>
          </w:p>
        </w:tc>
        <w:tc>
          <w:tcPr>
            <w:tcW w:w="2237" w:type="dxa"/>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颁 奖 部 门</w:t>
            </w:r>
          </w:p>
        </w:tc>
        <w:tc>
          <w:tcPr>
            <w:tcW w:w="2582" w:type="dxa"/>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获 奖 时 间</w:t>
            </w:r>
          </w:p>
        </w:tc>
        <w:tc>
          <w:tcPr>
            <w:tcW w:w="2339" w:type="dxa"/>
            <w:tcBorders>
              <w:top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获 奖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vAlign w:val="center"/>
          </w:tcPr>
          <w:p>
            <w:pPr>
              <w:spacing w:line="580" w:lineRule="atLeast"/>
              <w:jc w:val="center"/>
              <w:rPr>
                <w:rFonts w:hint="default" w:ascii="Times New Roman" w:hAnsi="Times New Roman" w:cs="Times New Roman"/>
                <w:sz w:val="28"/>
                <w:highlight w:val="none"/>
              </w:rPr>
            </w:pPr>
          </w:p>
        </w:tc>
        <w:tc>
          <w:tcPr>
            <w:tcW w:w="2237" w:type="dxa"/>
            <w:vAlign w:val="center"/>
          </w:tcPr>
          <w:p>
            <w:pPr>
              <w:spacing w:line="580" w:lineRule="atLeast"/>
              <w:jc w:val="center"/>
              <w:rPr>
                <w:rFonts w:hint="default" w:ascii="Times New Roman" w:hAnsi="Times New Roman" w:cs="Times New Roman"/>
                <w:sz w:val="28"/>
                <w:highlight w:val="none"/>
              </w:rPr>
            </w:pPr>
          </w:p>
        </w:tc>
        <w:tc>
          <w:tcPr>
            <w:tcW w:w="2582" w:type="dxa"/>
            <w:vAlign w:val="center"/>
          </w:tcPr>
          <w:p>
            <w:pPr>
              <w:spacing w:line="580" w:lineRule="atLeast"/>
              <w:jc w:val="center"/>
              <w:rPr>
                <w:rFonts w:hint="default" w:ascii="Times New Roman" w:hAnsi="Times New Roman" w:cs="Times New Roman"/>
                <w:sz w:val="28"/>
                <w:highlight w:val="none"/>
              </w:rPr>
            </w:pPr>
          </w:p>
        </w:tc>
        <w:tc>
          <w:tcPr>
            <w:tcW w:w="2339" w:type="dxa"/>
            <w:tcBorders>
              <w:right w:val="single" w:color="auto" w:sz="8" w:space="0"/>
            </w:tcBorders>
            <w:vAlign w:val="center"/>
          </w:tcPr>
          <w:p>
            <w:pPr>
              <w:spacing w:line="580" w:lineRule="atLeast"/>
              <w:jc w:val="center"/>
              <w:rPr>
                <w:rFonts w:hint="default" w:ascii="Times New Roman" w:hAnsi="Times New Roman" w:cs="Times New Roman"/>
                <w:sz w:val="28"/>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楷体_GB2312" w:cs="Times New Roman"/>
          <w:kern w:val="0"/>
          <w:sz w:val="24"/>
          <w:highlight w:val="none"/>
        </w:rPr>
        <w:sectPr>
          <w:pgSz w:w="11906" w:h="16838"/>
          <w:pgMar w:top="2098" w:right="1531" w:bottom="1984" w:left="1531" w:header="851" w:footer="992" w:gutter="0"/>
          <w:pgNumType w:fmt="decimal"/>
          <w:cols w:space="720" w:num="1"/>
          <w:rtlGutter w:val="0"/>
          <w:docGrid w:linePitch="312" w:charSpace="0"/>
        </w:sectPr>
      </w:pPr>
      <w:r>
        <w:rPr>
          <w:rFonts w:hint="default" w:ascii="Times New Roman" w:hAnsi="Times New Roman" w:eastAsia="楷体_GB2312" w:cs="Times New Roman"/>
          <w:kern w:val="0"/>
          <w:sz w:val="24"/>
          <w:highlight w:val="none"/>
        </w:rPr>
        <w:t>注：填写获得</w:t>
      </w:r>
      <w:r>
        <w:rPr>
          <w:rFonts w:hint="eastAsia" w:eastAsia="楷体_GB2312" w:cs="Times New Roman"/>
          <w:kern w:val="0"/>
          <w:sz w:val="24"/>
          <w:highlight w:val="none"/>
          <w:lang w:eastAsia="zh-CN"/>
        </w:rPr>
        <w:t>自治区（</w:t>
      </w:r>
      <w:r>
        <w:rPr>
          <w:rFonts w:hint="default" w:ascii="Times New Roman" w:hAnsi="Times New Roman" w:eastAsia="楷体_GB2312" w:cs="Times New Roman"/>
          <w:kern w:val="0"/>
          <w:sz w:val="24"/>
          <w:highlight w:val="none"/>
        </w:rPr>
        <w:t>省、部</w:t>
      </w:r>
      <w:r>
        <w:rPr>
          <w:rFonts w:hint="eastAsia" w:eastAsia="楷体_GB2312" w:cs="Times New Roman"/>
          <w:kern w:val="0"/>
          <w:sz w:val="24"/>
          <w:highlight w:val="none"/>
          <w:lang w:eastAsia="zh-CN"/>
        </w:rPr>
        <w:t>）</w:t>
      </w:r>
      <w:r>
        <w:rPr>
          <w:rFonts w:hint="default" w:ascii="Times New Roman" w:hAnsi="Times New Roman" w:eastAsia="楷体_GB2312" w:cs="Times New Roman"/>
          <w:kern w:val="0"/>
          <w:sz w:val="24"/>
          <w:highlight w:val="none"/>
        </w:rPr>
        <w:t>级以上的主要奖项情况，并在证实性材料中提供证书。</w:t>
      </w:r>
    </w:p>
    <w:p>
      <w:pPr>
        <w:spacing w:line="560" w:lineRule="exact"/>
        <w:rPr>
          <w:rFonts w:hint="default" w:ascii="Times New Roman" w:hAnsi="Times New Roman" w:eastAsia="方正黑体简体" w:cs="Times New Roman"/>
          <w:sz w:val="32"/>
          <w:szCs w:val="32"/>
          <w:highlight w:val="none"/>
        </w:rPr>
      </w:pPr>
      <w:r>
        <w:rPr>
          <w:rFonts w:hint="default" w:ascii="Times New Roman" w:hAnsi="Times New Roman" w:eastAsia="方正黑体简体" w:cs="Times New Roman"/>
          <w:sz w:val="32"/>
          <w:szCs w:val="32"/>
          <w:highlight w:val="none"/>
        </w:rPr>
        <w:t>四、领导</w:t>
      </w:r>
    </w:p>
    <w:tbl>
      <w:tblPr>
        <w:tblStyle w:val="24"/>
        <w:tblW w:w="9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95" w:hRule="atLeast"/>
          <w:jc w:val="center"/>
        </w:trPr>
        <w:tc>
          <w:tcPr>
            <w:tcW w:w="9302" w:type="dxa"/>
          </w:tcPr>
          <w:p>
            <w:pPr>
              <w:keepNext w:val="0"/>
              <w:keepLines w:val="0"/>
              <w:pageBreakBefore w:val="0"/>
              <w:widowControl w:val="0"/>
              <w:kinsoku/>
              <w:wordWrap/>
              <w:overflowPunct/>
              <w:topLinePunct w:val="0"/>
              <w:autoSpaceDE/>
              <w:autoSpaceDN/>
              <w:bidi w:val="0"/>
              <w:adjustRightInd/>
              <w:snapToGrid/>
              <w:spacing w:line="400" w:lineRule="exact"/>
              <w:ind w:firstLine="468" w:firstLineChars="200"/>
              <w:jc w:val="both"/>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参照《卓越绩效评价准则》</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GB/T</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19580</w:t>
            </w:r>
            <w:r>
              <w:rPr>
                <w:rFonts w:hint="default" w:ascii="Times New Roman" w:hAnsi="Times New Roman" w:eastAsia="仿宋_GB2312" w:cs="Times New Roman"/>
                <w:sz w:val="24"/>
                <w:highlight w:val="none"/>
                <w:lang w:val="en-US" w:eastAsia="zh-CN"/>
              </w:rPr>
              <w:t>-</w:t>
            </w:r>
            <w:r>
              <w:rPr>
                <w:rFonts w:hint="default" w:ascii="Times New Roman" w:hAnsi="Times New Roman" w:eastAsia="仿宋_GB2312" w:cs="Times New Roman"/>
                <w:sz w:val="24"/>
                <w:highlight w:val="none"/>
              </w:rPr>
              <w:t>2012</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4.1内容，总结和阐述组织在高层领导的作用、组织治理及组织履行社会责任等方面的情况。</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限10000字以内</w:t>
            </w:r>
            <w:r>
              <w:rPr>
                <w:rFonts w:hint="default" w:ascii="Times New Roman" w:hAnsi="Times New Roman" w:eastAsia="仿宋_GB2312" w:cs="Times New Roman"/>
                <w:sz w:val="24"/>
                <w:highlight w:val="none"/>
                <w:lang w:eastAsia="zh-CN"/>
              </w:rPr>
              <w:t>）</w:t>
            </w:r>
          </w:p>
          <w:p>
            <w:pPr>
              <w:spacing w:line="400" w:lineRule="exact"/>
              <w:rPr>
                <w:rFonts w:hint="default" w:ascii="Times New Roman" w:hAnsi="Times New Roman" w:cs="Times New Roman"/>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tc>
      </w:tr>
    </w:tbl>
    <w:p>
      <w:pPr>
        <w:spacing w:line="560" w:lineRule="exact"/>
        <w:outlineLvl w:val="0"/>
        <w:rPr>
          <w:rFonts w:hint="default" w:ascii="Times New Roman" w:hAnsi="Times New Roman" w:eastAsia="方正黑体简体" w:cs="Times New Roman"/>
          <w:sz w:val="32"/>
          <w:szCs w:val="32"/>
          <w:highlight w:val="none"/>
        </w:rPr>
      </w:pPr>
      <w:r>
        <w:rPr>
          <w:rFonts w:hint="default" w:ascii="Times New Roman" w:hAnsi="Times New Roman" w:eastAsia="方正黑体简体" w:cs="Times New Roman"/>
          <w:sz w:val="32"/>
          <w:szCs w:val="32"/>
          <w:highlight w:val="none"/>
        </w:rPr>
        <w:t>五、战略</w:t>
      </w:r>
    </w:p>
    <w:tbl>
      <w:tblPr>
        <w:tblStyle w:val="24"/>
        <w:tblW w:w="94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0" w:hRule="atLeast"/>
          <w:jc w:val="center"/>
        </w:trPr>
        <w:tc>
          <w:tcPr>
            <w:tcW w:w="9409" w:type="dxa"/>
          </w:tcPr>
          <w:p>
            <w:pPr>
              <w:keepNext w:val="0"/>
              <w:keepLines w:val="0"/>
              <w:pageBreakBefore w:val="0"/>
              <w:widowControl w:val="0"/>
              <w:kinsoku/>
              <w:wordWrap/>
              <w:overflowPunct/>
              <w:topLinePunct w:val="0"/>
              <w:autoSpaceDE/>
              <w:autoSpaceDN/>
              <w:bidi w:val="0"/>
              <w:adjustRightInd/>
              <w:snapToGrid/>
              <w:spacing w:line="400" w:lineRule="exact"/>
              <w:ind w:firstLine="468" w:firstLineChars="200"/>
              <w:jc w:val="both"/>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参照《卓越绩效评价准则》</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GB/T</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19580</w:t>
            </w:r>
            <w:r>
              <w:rPr>
                <w:rFonts w:hint="default" w:ascii="Times New Roman" w:hAnsi="Times New Roman" w:eastAsia="仿宋_GB2312" w:cs="Times New Roman"/>
                <w:sz w:val="24"/>
                <w:highlight w:val="none"/>
                <w:lang w:val="en-US" w:eastAsia="zh-CN"/>
              </w:rPr>
              <w:t>-</w:t>
            </w:r>
            <w:r>
              <w:rPr>
                <w:rFonts w:hint="default" w:ascii="Times New Roman" w:hAnsi="Times New Roman" w:eastAsia="仿宋_GB2312" w:cs="Times New Roman"/>
                <w:sz w:val="24"/>
                <w:highlight w:val="none"/>
              </w:rPr>
              <w:t>2012</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4.2内容，总结和阐述组织的战略及其目标的制定、部署及进展等方面的情况。</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限10000字以内</w:t>
            </w:r>
            <w:r>
              <w:rPr>
                <w:rFonts w:hint="default" w:ascii="Times New Roman" w:hAnsi="Times New Roman" w:eastAsia="仿宋_GB2312" w:cs="Times New Roman"/>
                <w:sz w:val="24"/>
                <w:highlight w:val="none"/>
                <w:lang w:eastAsia="zh-CN"/>
              </w:rPr>
              <w:t>）</w:t>
            </w:r>
          </w:p>
          <w:p>
            <w:pPr>
              <w:spacing w:line="400" w:lineRule="exact"/>
              <w:ind w:firstLine="466" w:firstLineChars="199"/>
              <w:rPr>
                <w:rFonts w:hint="default" w:ascii="Times New Roman" w:hAnsi="Times New Roman" w:cs="Times New Roman"/>
                <w:sz w:val="24"/>
                <w:highlight w:val="none"/>
              </w:rPr>
            </w:pPr>
          </w:p>
          <w:p>
            <w:pPr>
              <w:spacing w:line="400" w:lineRule="exact"/>
              <w:ind w:firstLine="546" w:firstLineChars="199"/>
              <w:rPr>
                <w:rFonts w:hint="default" w:ascii="Times New Roman" w:hAnsi="Times New Roman" w:eastAsia="黑体" w:cs="Times New Roman"/>
                <w:sz w:val="28"/>
                <w:szCs w:val="28"/>
                <w:highlight w:val="none"/>
              </w:rPr>
            </w:pPr>
          </w:p>
        </w:tc>
      </w:tr>
    </w:tbl>
    <w:p>
      <w:pPr>
        <w:spacing w:line="560" w:lineRule="exact"/>
        <w:outlineLvl w:val="0"/>
        <w:rPr>
          <w:rFonts w:hint="default" w:ascii="Times New Roman" w:hAnsi="Times New Roman" w:eastAsia="方正黑体简体" w:cs="Times New Roman"/>
          <w:sz w:val="32"/>
          <w:szCs w:val="32"/>
          <w:highlight w:val="none"/>
        </w:rPr>
      </w:pPr>
      <w:r>
        <w:rPr>
          <w:rFonts w:hint="default" w:ascii="Times New Roman" w:hAnsi="Times New Roman" w:eastAsia="方正黑体简体" w:cs="Times New Roman"/>
          <w:sz w:val="32"/>
          <w:szCs w:val="32"/>
          <w:highlight w:val="none"/>
        </w:rPr>
        <w:t>六、关注学生及利益相关者</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5" w:hRule="atLeast"/>
          <w:jc w:val="center"/>
        </w:trPr>
        <w:tc>
          <w:tcPr>
            <w:tcW w:w="9398" w:type="dxa"/>
          </w:tcPr>
          <w:p>
            <w:pPr>
              <w:keepNext w:val="0"/>
              <w:keepLines w:val="0"/>
              <w:pageBreakBefore w:val="0"/>
              <w:widowControl w:val="0"/>
              <w:kinsoku/>
              <w:wordWrap/>
              <w:overflowPunct/>
              <w:topLinePunct w:val="0"/>
              <w:autoSpaceDE/>
              <w:autoSpaceDN/>
              <w:bidi w:val="0"/>
              <w:adjustRightInd/>
              <w:snapToGrid/>
              <w:spacing w:line="400" w:lineRule="exact"/>
              <w:ind w:firstLine="468" w:firstLineChars="200"/>
              <w:jc w:val="both"/>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参照《卓越绩效评价准则》</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GB/T</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19580</w:t>
            </w:r>
            <w:r>
              <w:rPr>
                <w:rFonts w:hint="default" w:ascii="Times New Roman" w:hAnsi="Times New Roman" w:eastAsia="仿宋_GB2312" w:cs="Times New Roman"/>
                <w:sz w:val="24"/>
                <w:highlight w:val="none"/>
                <w:lang w:val="en-US" w:eastAsia="zh-CN"/>
              </w:rPr>
              <w:t>-</w:t>
            </w:r>
            <w:r>
              <w:rPr>
                <w:rFonts w:hint="default" w:ascii="Times New Roman" w:hAnsi="Times New Roman" w:eastAsia="仿宋_GB2312" w:cs="Times New Roman"/>
                <w:sz w:val="24"/>
                <w:highlight w:val="none"/>
              </w:rPr>
              <w:t>2012</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4.3部分的内容，总结和阐述组织在教学质量、服务质量、学生安全，教职工工作环境、教育、培训和发展等方面，如何深度分析确定与学生、相关者的关系和需求、期望和满意度测量等方面的情况和总结</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限10000字以内</w:t>
            </w:r>
            <w:r>
              <w:rPr>
                <w:rFonts w:hint="default" w:ascii="Times New Roman" w:hAnsi="Times New Roman" w:eastAsia="仿宋_GB2312" w:cs="Times New Roman"/>
                <w:sz w:val="24"/>
                <w:highlight w:val="none"/>
                <w:lang w:eastAsia="zh-CN"/>
              </w:rPr>
              <w:t>）</w:t>
            </w: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546" w:firstLineChars="199"/>
              <w:rPr>
                <w:rFonts w:hint="default" w:ascii="Times New Roman" w:hAnsi="Times New Roman" w:cs="Times New Roman"/>
                <w:sz w:val="28"/>
                <w:szCs w:val="28"/>
                <w:highlight w:val="none"/>
              </w:rPr>
            </w:pPr>
          </w:p>
          <w:p>
            <w:pPr>
              <w:spacing w:line="400" w:lineRule="exact"/>
              <w:ind w:firstLine="546" w:firstLineChars="199"/>
              <w:rPr>
                <w:rFonts w:hint="default" w:ascii="Times New Roman" w:hAnsi="Times New Roman" w:cs="Times New Roman"/>
                <w:sz w:val="28"/>
                <w:szCs w:val="28"/>
                <w:highlight w:val="none"/>
              </w:rPr>
            </w:pPr>
          </w:p>
          <w:p>
            <w:pPr>
              <w:spacing w:line="400" w:lineRule="exact"/>
              <w:ind w:firstLine="546" w:firstLineChars="199"/>
              <w:rPr>
                <w:rFonts w:hint="default" w:ascii="Times New Roman" w:hAnsi="Times New Roman" w:cs="Times New Roman"/>
                <w:sz w:val="28"/>
                <w:szCs w:val="28"/>
                <w:highlight w:val="none"/>
              </w:rPr>
            </w:pPr>
          </w:p>
          <w:p>
            <w:pPr>
              <w:spacing w:line="400" w:lineRule="exact"/>
              <w:rPr>
                <w:rFonts w:hint="default" w:ascii="Times New Roman" w:hAnsi="Times New Roman" w:cs="Times New Roman"/>
                <w:sz w:val="28"/>
                <w:szCs w:val="28"/>
                <w:highlight w:val="none"/>
              </w:rPr>
            </w:pPr>
          </w:p>
        </w:tc>
      </w:tr>
    </w:tbl>
    <w:p>
      <w:pPr>
        <w:spacing w:line="560" w:lineRule="exact"/>
        <w:rPr>
          <w:rFonts w:hint="default" w:ascii="Times New Roman" w:hAnsi="Times New Roman" w:eastAsia="方正黑体简体" w:cs="Times New Roman"/>
          <w:sz w:val="24"/>
          <w:highlight w:val="none"/>
        </w:rPr>
      </w:pPr>
      <w:r>
        <w:rPr>
          <w:rFonts w:hint="default" w:ascii="Times New Roman" w:hAnsi="Times New Roman" w:eastAsia="方正黑体简体" w:cs="Times New Roman"/>
          <w:sz w:val="32"/>
          <w:szCs w:val="32"/>
          <w:highlight w:val="none"/>
        </w:rPr>
        <w:t>七、资源</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0" w:hRule="atLeast"/>
          <w:jc w:val="center"/>
        </w:trPr>
        <w:tc>
          <w:tcPr>
            <w:tcW w:w="9398" w:type="dxa"/>
          </w:tcPr>
          <w:p>
            <w:pPr>
              <w:keepNext w:val="0"/>
              <w:keepLines w:val="0"/>
              <w:pageBreakBefore w:val="0"/>
              <w:widowControl w:val="0"/>
              <w:kinsoku/>
              <w:wordWrap/>
              <w:overflowPunct/>
              <w:topLinePunct w:val="0"/>
              <w:autoSpaceDE/>
              <w:autoSpaceDN/>
              <w:bidi w:val="0"/>
              <w:adjustRightInd/>
              <w:snapToGrid/>
              <w:spacing w:line="400" w:lineRule="exact"/>
              <w:ind w:firstLine="468" w:firstLineChars="200"/>
              <w:jc w:val="both"/>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参照《卓越绩效评价准则》</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GB/T</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19580</w:t>
            </w:r>
            <w:r>
              <w:rPr>
                <w:rFonts w:hint="default" w:ascii="Times New Roman" w:hAnsi="Times New Roman" w:eastAsia="仿宋_GB2312" w:cs="Times New Roman"/>
                <w:sz w:val="24"/>
                <w:highlight w:val="none"/>
                <w:lang w:val="en-US" w:eastAsia="zh-CN"/>
              </w:rPr>
              <w:t>-</w:t>
            </w:r>
            <w:r>
              <w:rPr>
                <w:rFonts w:hint="default" w:ascii="Times New Roman" w:hAnsi="Times New Roman" w:eastAsia="仿宋_GB2312" w:cs="Times New Roman"/>
                <w:sz w:val="24"/>
                <w:highlight w:val="none"/>
              </w:rPr>
              <w:t>2012</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4.4内容，总结和阐述组织的人力资源、财务资源、信息和知识资源、技术资源、基础设施和相关方关系等方面资源管理的情况。</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限10000字以内</w:t>
            </w:r>
            <w:r>
              <w:rPr>
                <w:rFonts w:hint="default" w:ascii="Times New Roman" w:hAnsi="Times New Roman" w:eastAsia="仿宋_GB2312" w:cs="Times New Roman"/>
                <w:sz w:val="24"/>
                <w:highlight w:val="none"/>
                <w:lang w:eastAsia="zh-CN"/>
              </w:rPr>
              <w:t>）</w:t>
            </w: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tc>
      </w:tr>
    </w:tbl>
    <w:p>
      <w:pPr>
        <w:spacing w:line="560" w:lineRule="exact"/>
        <w:rPr>
          <w:rFonts w:hint="default" w:ascii="Times New Roman" w:hAnsi="Times New Roman" w:eastAsia="方正黑体简体" w:cs="Times New Roman"/>
          <w:sz w:val="24"/>
          <w:highlight w:val="none"/>
        </w:rPr>
      </w:pPr>
      <w:r>
        <w:rPr>
          <w:rFonts w:hint="default" w:ascii="Times New Roman" w:hAnsi="Times New Roman" w:eastAsia="方正黑体简体" w:cs="Times New Roman"/>
          <w:sz w:val="32"/>
          <w:szCs w:val="32"/>
          <w:highlight w:val="none"/>
        </w:rPr>
        <w:t>八、过程管理</w:t>
      </w:r>
    </w:p>
    <w:tbl>
      <w:tblPr>
        <w:tblStyle w:val="24"/>
        <w:tblW w:w="9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0" w:hRule="atLeast"/>
          <w:jc w:val="center"/>
        </w:trPr>
        <w:tc>
          <w:tcPr>
            <w:tcW w:w="9398" w:type="dxa"/>
          </w:tcPr>
          <w:p>
            <w:pPr>
              <w:keepNext w:val="0"/>
              <w:keepLines w:val="0"/>
              <w:pageBreakBefore w:val="0"/>
              <w:widowControl w:val="0"/>
              <w:kinsoku/>
              <w:wordWrap/>
              <w:overflowPunct/>
              <w:topLinePunct w:val="0"/>
              <w:autoSpaceDE/>
              <w:autoSpaceDN/>
              <w:bidi w:val="0"/>
              <w:adjustRightInd/>
              <w:snapToGrid/>
              <w:spacing w:line="400" w:lineRule="exact"/>
              <w:ind w:firstLine="468" w:firstLineChars="200"/>
              <w:jc w:val="both"/>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参照《卓越绩效评价准则》</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GB/T</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19580</w:t>
            </w:r>
            <w:r>
              <w:rPr>
                <w:rFonts w:hint="default" w:ascii="Times New Roman" w:hAnsi="Times New Roman" w:eastAsia="仿宋_GB2312" w:cs="Times New Roman"/>
                <w:sz w:val="24"/>
                <w:highlight w:val="none"/>
                <w:lang w:val="en-US" w:eastAsia="zh-CN"/>
              </w:rPr>
              <w:t>-</w:t>
            </w:r>
            <w:r>
              <w:rPr>
                <w:rFonts w:hint="default" w:ascii="Times New Roman" w:hAnsi="Times New Roman" w:eastAsia="仿宋_GB2312" w:cs="Times New Roman"/>
                <w:sz w:val="24"/>
                <w:highlight w:val="none"/>
              </w:rPr>
              <w:t>2012</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4.5内容，总结和阐述评价组织在教学与服务等过程识别、设计、实施与改进等方面的情况</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限10000字以内</w:t>
            </w:r>
            <w:r>
              <w:rPr>
                <w:rFonts w:hint="default" w:ascii="Times New Roman" w:hAnsi="Times New Roman" w:eastAsia="仿宋_GB2312" w:cs="Times New Roman"/>
                <w:sz w:val="24"/>
                <w:highlight w:val="none"/>
                <w:lang w:eastAsia="zh-CN"/>
              </w:rPr>
              <w:t>）</w:t>
            </w: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tc>
      </w:tr>
    </w:tbl>
    <w:p>
      <w:pPr>
        <w:spacing w:line="560" w:lineRule="exact"/>
        <w:rPr>
          <w:rFonts w:hint="default" w:ascii="Times New Roman" w:hAnsi="Times New Roman" w:eastAsia="方正黑体简体" w:cs="Times New Roman"/>
          <w:sz w:val="24"/>
          <w:highlight w:val="none"/>
        </w:rPr>
      </w:pPr>
      <w:r>
        <w:rPr>
          <w:rFonts w:hint="default" w:ascii="Times New Roman" w:hAnsi="Times New Roman" w:eastAsia="方正黑体简体" w:cs="Times New Roman"/>
          <w:sz w:val="32"/>
          <w:szCs w:val="32"/>
          <w:highlight w:val="none"/>
        </w:rPr>
        <w:t>九、测量、分析与改进</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0" w:hRule="atLeast"/>
          <w:jc w:val="center"/>
        </w:trPr>
        <w:tc>
          <w:tcPr>
            <w:tcW w:w="9398" w:type="dxa"/>
          </w:tcPr>
          <w:p>
            <w:pPr>
              <w:keepNext w:val="0"/>
              <w:keepLines w:val="0"/>
              <w:pageBreakBefore w:val="0"/>
              <w:widowControl w:val="0"/>
              <w:kinsoku/>
              <w:wordWrap/>
              <w:overflowPunct/>
              <w:topLinePunct w:val="0"/>
              <w:autoSpaceDE/>
              <w:autoSpaceDN/>
              <w:bidi w:val="0"/>
              <w:adjustRightInd/>
              <w:snapToGrid/>
              <w:spacing w:line="400" w:lineRule="exact"/>
              <w:ind w:firstLine="468" w:firstLineChars="200"/>
              <w:jc w:val="both"/>
              <w:textAlignment w:val="auto"/>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参照《卓越绩效评价准则》</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GB/T</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19580</w:t>
            </w:r>
            <w:r>
              <w:rPr>
                <w:rFonts w:hint="default" w:ascii="Times New Roman" w:hAnsi="Times New Roman" w:eastAsia="仿宋_GB2312" w:cs="Times New Roman"/>
                <w:sz w:val="24"/>
                <w:highlight w:val="none"/>
                <w:lang w:val="en-US" w:eastAsia="zh-CN"/>
              </w:rPr>
              <w:t>-</w:t>
            </w:r>
            <w:r>
              <w:rPr>
                <w:rFonts w:hint="default" w:ascii="Times New Roman" w:hAnsi="Times New Roman" w:eastAsia="仿宋_GB2312" w:cs="Times New Roman"/>
                <w:sz w:val="24"/>
                <w:highlight w:val="none"/>
              </w:rPr>
              <w:t>2012</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4.6内容，总结和阐述评价组织在测量、分析和评价绩效的方法及改进和创新等方面的情况。</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限10000字以内</w:t>
            </w:r>
            <w:r>
              <w:rPr>
                <w:rFonts w:hint="default" w:ascii="Times New Roman" w:hAnsi="Times New Roman" w:eastAsia="仿宋_GB2312" w:cs="Times New Roman"/>
                <w:sz w:val="24"/>
                <w:highlight w:val="none"/>
                <w:lang w:eastAsia="zh-CN"/>
              </w:rPr>
              <w:t>）</w:t>
            </w: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ind w:firstLine="466" w:firstLineChars="199"/>
              <w:rPr>
                <w:rFonts w:hint="default" w:ascii="Times New Roman" w:hAnsi="Times New Roman" w:cs="Times New Roman"/>
                <w:sz w:val="24"/>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p>
            <w:pPr>
              <w:spacing w:line="400" w:lineRule="exact"/>
              <w:rPr>
                <w:rFonts w:hint="default" w:ascii="Times New Roman" w:hAnsi="Times New Roman" w:eastAsia="黑体" w:cs="Times New Roman"/>
                <w:sz w:val="28"/>
                <w:szCs w:val="28"/>
                <w:highlight w:val="none"/>
              </w:rPr>
            </w:pPr>
          </w:p>
        </w:tc>
      </w:tr>
    </w:tbl>
    <w:p>
      <w:pPr>
        <w:spacing w:line="594" w:lineRule="exact"/>
        <w:jc w:val="center"/>
        <w:rPr>
          <w:rFonts w:hint="default" w:ascii="Times New Roman" w:hAnsi="Times New Roman" w:eastAsia="黑体" w:cs="Times New Roman"/>
          <w:sz w:val="32"/>
          <w:szCs w:val="32"/>
          <w:highlight w:val="none"/>
        </w:rPr>
        <w:sectPr>
          <w:footerReference r:id="rId9" w:type="first"/>
          <w:footerReference r:id="rId8" w:type="default"/>
          <w:pgSz w:w="11906" w:h="16838"/>
          <w:pgMar w:top="2098" w:right="1531" w:bottom="1984" w:left="1531" w:header="851" w:footer="1191" w:gutter="0"/>
          <w:pgNumType w:fmt="decimal"/>
          <w:cols w:space="720" w:num="1"/>
          <w:titlePg/>
          <w:rtlGutter w:val="0"/>
          <w:docGrid w:type="linesAndChars" w:linePitch="287" w:charSpace="-1313"/>
        </w:sectPr>
      </w:pPr>
    </w:p>
    <w:p>
      <w:pPr>
        <w:spacing w:line="56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十、结果</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1" w:hRule="atLeast"/>
          <w:jc w:val="center"/>
        </w:trPr>
        <w:tc>
          <w:tcPr>
            <w:tcW w:w="9314"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参照《卓越绩效评价准则》</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GB/T</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19580</w:t>
            </w:r>
            <w:r>
              <w:rPr>
                <w:rFonts w:hint="default" w:ascii="Times New Roman" w:hAnsi="Times New Roman" w:eastAsia="仿宋_GB2312" w:cs="Times New Roman"/>
                <w:sz w:val="24"/>
                <w:highlight w:val="none"/>
                <w:lang w:val="en-US" w:eastAsia="zh-CN"/>
              </w:rPr>
              <w:t>-</w:t>
            </w:r>
            <w:r>
              <w:rPr>
                <w:rFonts w:hint="default" w:ascii="Times New Roman" w:hAnsi="Times New Roman" w:eastAsia="仿宋_GB2312" w:cs="Times New Roman"/>
                <w:sz w:val="24"/>
                <w:highlight w:val="none"/>
              </w:rPr>
              <w:t>2012</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4.7内容，总结和阐述评价组织在主要经营方面的绩效和改进情况，绩效水平应与竞争对手和（或）标杆对比并进行评价</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限10000字以内</w:t>
            </w:r>
            <w:r>
              <w:rPr>
                <w:rFonts w:hint="default" w:ascii="Times New Roman" w:hAnsi="Times New Roman" w:eastAsia="仿宋_GB2312" w:cs="Times New Roman"/>
                <w:sz w:val="24"/>
                <w:highlight w:val="none"/>
                <w:lang w:eastAsia="zh-CN"/>
              </w:rPr>
              <w:t>）</w:t>
            </w:r>
          </w:p>
          <w:p>
            <w:pPr>
              <w:rPr>
                <w:rFonts w:hint="default" w:ascii="Times New Roman" w:hAnsi="Times New Roman" w:cs="Times New Roman"/>
                <w:sz w:val="24"/>
                <w:highlight w:val="none"/>
              </w:rPr>
            </w:pPr>
          </w:p>
          <w:p>
            <w:pPr>
              <w:rPr>
                <w:rFonts w:hint="default" w:ascii="Times New Roman" w:hAnsi="Times New Roman" w:cs="Times New Roman"/>
                <w:sz w:val="24"/>
                <w:highlight w:val="none"/>
              </w:rPr>
            </w:pPr>
          </w:p>
          <w:p>
            <w:pPr>
              <w:spacing w:line="400" w:lineRule="exact"/>
              <w:rPr>
                <w:rFonts w:hint="default" w:ascii="Times New Roman" w:hAnsi="Times New Roman" w:eastAsia="仿宋_GB2312" w:cs="Times New Roman"/>
                <w:sz w:val="24"/>
                <w:highlight w:val="none"/>
              </w:rPr>
            </w:pPr>
          </w:p>
        </w:tc>
      </w:tr>
    </w:tbl>
    <w:p>
      <w:pPr>
        <w:spacing w:line="600" w:lineRule="exact"/>
        <w:outlineLvl w:val="0"/>
        <w:rPr>
          <w:rFonts w:hint="default" w:ascii="Times New Roman" w:hAnsi="Times New Roman" w:cs="Times New Roman"/>
          <w:highlight w:val="none"/>
        </w:rPr>
      </w:pPr>
      <w:r>
        <w:rPr>
          <w:rFonts w:hint="default" w:ascii="Times New Roman" w:hAnsi="Times New Roman" w:eastAsia="黑体" w:cs="Times New Roman"/>
          <w:sz w:val="32"/>
          <w:szCs w:val="32"/>
          <w:highlight w:val="none"/>
        </w:rPr>
        <w:br w:type="page"/>
      </w:r>
      <w:r>
        <w:rPr>
          <w:rFonts w:hint="default" w:ascii="Times New Roman" w:hAnsi="Times New Roman" w:eastAsia="黑体" w:cs="Times New Roman"/>
          <w:sz w:val="32"/>
          <w:szCs w:val="32"/>
          <w:highlight w:val="none"/>
        </w:rPr>
        <w:t>十一、申报意见</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vAlign w:val="center"/>
          </w:tcPr>
          <w:p>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申报组织</w:t>
            </w:r>
          </w:p>
        </w:tc>
        <w:tc>
          <w:tcPr>
            <w:tcW w:w="7135" w:type="dxa"/>
          </w:tcPr>
          <w:p>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cs="Times New Roman"/>
                <w:sz w:val="24"/>
                <w:highlight w:val="none"/>
              </w:rPr>
            </w:pPr>
          </w:p>
          <w:p>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cs="Times New Roman"/>
                <w:sz w:val="24"/>
                <w:highlight w:val="none"/>
              </w:rPr>
            </w:pPr>
          </w:p>
          <w:p>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7" w:hRule="atLeast"/>
          <w:jc w:val="center"/>
        </w:trPr>
        <w:tc>
          <w:tcPr>
            <w:tcW w:w="22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申报组织</w:t>
            </w:r>
          </w:p>
          <w:p>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意见</w:t>
            </w:r>
          </w:p>
        </w:tc>
        <w:tc>
          <w:tcPr>
            <w:tcW w:w="7135" w:type="dxa"/>
          </w:tcPr>
          <w:p>
            <w:pPr>
              <w:keepNext w:val="0"/>
              <w:keepLines w:val="0"/>
              <w:pageBreakBefore w:val="0"/>
              <w:widowControl w:val="0"/>
              <w:kinsoku/>
              <w:wordWrap/>
              <w:overflowPunct/>
              <w:topLinePunct w:val="0"/>
              <w:autoSpaceDE/>
              <w:autoSpaceDN/>
              <w:bidi w:val="0"/>
              <w:adjustRightInd/>
              <w:snapToGrid/>
              <w:spacing w:line="400" w:lineRule="exact"/>
              <w:ind w:firstLine="477" w:firstLineChars="199"/>
              <w:jc w:val="left"/>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（请说明材料核实情况、本组织内部公示情况等）</w:t>
            </w:r>
          </w:p>
          <w:p>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cs="Times New Roman"/>
                <w:sz w:val="30"/>
                <w:highlight w:val="none"/>
              </w:rPr>
            </w:pPr>
          </w:p>
          <w:p>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cs="Times New Roman"/>
                <w:sz w:val="24"/>
                <w:highlight w:val="none"/>
              </w:rPr>
            </w:pPr>
          </w:p>
          <w:p>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cs="Times New Roman"/>
                <w:sz w:val="24"/>
                <w:highlight w:val="none"/>
              </w:rPr>
            </w:pPr>
          </w:p>
          <w:p>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cs="Times New Roman"/>
                <w:sz w:val="24"/>
                <w:highlight w:val="none"/>
              </w:rPr>
            </w:pPr>
          </w:p>
          <w:p>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cs="Times New Roman"/>
                <w:sz w:val="24"/>
                <w:highlight w:val="none"/>
              </w:rPr>
            </w:pPr>
          </w:p>
          <w:p>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cs="Times New Roman"/>
                <w:sz w:val="24"/>
                <w:highlight w:val="none"/>
              </w:rPr>
            </w:pPr>
          </w:p>
          <w:p>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cs="Times New Roman"/>
                <w:sz w:val="24"/>
                <w:highlight w:val="none"/>
              </w:rPr>
            </w:pPr>
          </w:p>
          <w:p>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cs="Times New Roman"/>
                <w:sz w:val="24"/>
                <w:highlight w:val="none"/>
              </w:rPr>
            </w:pPr>
          </w:p>
          <w:p>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cs="Times New Roman"/>
                <w:sz w:val="24"/>
                <w:highlight w:val="none"/>
              </w:rPr>
            </w:pPr>
          </w:p>
          <w:p>
            <w:pPr>
              <w:keepNext w:val="0"/>
              <w:keepLines w:val="0"/>
              <w:pageBreakBefore w:val="0"/>
              <w:widowControl w:val="0"/>
              <w:kinsoku/>
              <w:wordWrap/>
              <w:overflowPunct/>
              <w:topLinePunct w:val="0"/>
              <w:bidi w:val="0"/>
              <w:snapToGrid/>
              <w:spacing w:line="400" w:lineRule="exact"/>
              <w:ind w:firstLine="3792" w:firstLineChars="1580"/>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申报组织（盖章）：</w:t>
            </w:r>
          </w:p>
          <w:p>
            <w:pPr>
              <w:keepNext w:val="0"/>
              <w:keepLines w:val="0"/>
              <w:pageBreakBefore w:val="0"/>
              <w:widowControl w:val="0"/>
              <w:kinsoku/>
              <w:wordWrap/>
              <w:overflowPunct/>
              <w:topLinePunct w:val="0"/>
              <w:bidi w:val="0"/>
              <w:snapToGrid/>
              <w:spacing w:line="400" w:lineRule="exact"/>
              <w:ind w:firstLine="3792" w:firstLineChars="1580"/>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负 责 人（签字）：</w:t>
            </w:r>
          </w:p>
          <w:p>
            <w:pPr>
              <w:keepNext w:val="0"/>
              <w:keepLines w:val="0"/>
              <w:pageBreakBefore w:val="0"/>
              <w:widowControl w:val="0"/>
              <w:tabs>
                <w:tab w:val="left" w:pos="4967"/>
                <w:tab w:val="left" w:pos="5677"/>
                <w:tab w:val="left" w:pos="6707"/>
              </w:tabs>
              <w:kinsoku/>
              <w:wordWrap/>
              <w:overflowPunct/>
              <w:topLinePunct w:val="0"/>
              <w:bidi w:val="0"/>
              <w:snapToGrid/>
              <w:spacing w:line="400" w:lineRule="exact"/>
              <w:ind w:firstLine="4800" w:firstLineChars="2000"/>
              <w:textAlignment w:val="auto"/>
              <w:rPr>
                <w:rFonts w:hint="default" w:ascii="Times New Roman" w:hAnsi="Times New Roman" w:cs="Times New Roman"/>
                <w:sz w:val="30"/>
                <w:highlight w:val="none"/>
              </w:rPr>
            </w:pPr>
            <w:r>
              <w:rPr>
                <w:rFonts w:hint="default" w:ascii="Times New Roman" w:hAnsi="Times New Roman" w:cs="Times New Roman" w:eastAsiaTheme="majorEastAsia"/>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0" w:hRule="atLeast"/>
          <w:jc w:val="center"/>
        </w:trPr>
        <w:tc>
          <w:tcPr>
            <w:tcW w:w="2259" w:type="dxa"/>
            <w:vAlign w:val="center"/>
          </w:tcPr>
          <w:p>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cs="Times New Roman" w:eastAsiaTheme="majorEastAsia"/>
                <w:color w:val="auto"/>
                <w:sz w:val="24"/>
                <w:highlight w:val="none"/>
              </w:rPr>
            </w:pPr>
            <w:r>
              <w:rPr>
                <w:rFonts w:hint="default" w:ascii="Times New Roman" w:hAnsi="Times New Roman" w:cs="Times New Roman" w:eastAsiaTheme="majorEastAsia"/>
                <w:color w:val="auto"/>
                <w:sz w:val="24"/>
                <w:highlight w:val="none"/>
              </w:rPr>
              <w:t>申报组织</w:t>
            </w:r>
          </w:p>
          <w:p>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cs="Times New Roman" w:eastAsiaTheme="majorEastAsia"/>
                <w:color w:val="auto"/>
                <w:sz w:val="24"/>
                <w:highlight w:val="none"/>
              </w:rPr>
            </w:pPr>
            <w:r>
              <w:rPr>
                <w:rFonts w:hint="default" w:ascii="Times New Roman" w:hAnsi="Times New Roman" w:cs="Times New Roman" w:eastAsiaTheme="majorEastAsia"/>
                <w:color w:val="auto"/>
                <w:sz w:val="24"/>
                <w:highlight w:val="none"/>
              </w:rPr>
              <w:t>所属单位意见</w:t>
            </w:r>
          </w:p>
        </w:tc>
        <w:tc>
          <w:tcPr>
            <w:tcW w:w="7135" w:type="dxa"/>
            <w:vAlign w:val="bottom"/>
          </w:tcPr>
          <w:p>
            <w:pPr>
              <w:keepNext w:val="0"/>
              <w:keepLines w:val="0"/>
              <w:pageBreakBefore w:val="0"/>
              <w:widowControl w:val="0"/>
              <w:kinsoku/>
              <w:wordWrap/>
              <w:overflowPunct/>
              <w:topLinePunct w:val="0"/>
              <w:autoSpaceDE/>
              <w:autoSpaceDN/>
              <w:bidi w:val="0"/>
              <w:adjustRightInd/>
              <w:snapToGrid/>
              <w:spacing w:line="400" w:lineRule="exact"/>
              <w:ind w:firstLine="477" w:firstLineChars="199"/>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（请说明所属单位内部公示情况等）</w:t>
            </w:r>
          </w:p>
          <w:p>
            <w:pPr>
              <w:keepNext w:val="0"/>
              <w:keepLines w:val="0"/>
              <w:pageBreakBefore w:val="0"/>
              <w:widowControl w:val="0"/>
              <w:kinsoku/>
              <w:wordWrap/>
              <w:overflowPunct/>
              <w:topLinePunct w:val="0"/>
              <w:bidi w:val="0"/>
              <w:snapToGrid/>
              <w:spacing w:line="400" w:lineRule="exact"/>
              <w:ind w:firstLine="4031" w:firstLineChars="1680"/>
              <w:jc w:val="both"/>
              <w:textAlignment w:val="auto"/>
              <w:rPr>
                <w:rFonts w:hint="default" w:ascii="Times New Roman" w:hAnsi="Times New Roman" w:cs="Times New Roman"/>
                <w:color w:val="auto"/>
                <w:sz w:val="24"/>
                <w:highlight w:val="none"/>
              </w:rPr>
            </w:pPr>
          </w:p>
          <w:p>
            <w:pPr>
              <w:keepNext w:val="0"/>
              <w:keepLines w:val="0"/>
              <w:pageBreakBefore w:val="0"/>
              <w:widowControl w:val="0"/>
              <w:kinsoku/>
              <w:wordWrap/>
              <w:overflowPunct/>
              <w:topLinePunct w:val="0"/>
              <w:bidi w:val="0"/>
              <w:snapToGrid/>
              <w:spacing w:line="400" w:lineRule="exact"/>
              <w:ind w:firstLine="4031" w:firstLineChars="1680"/>
              <w:jc w:val="both"/>
              <w:textAlignment w:val="auto"/>
              <w:rPr>
                <w:rFonts w:hint="default" w:ascii="Times New Roman" w:hAnsi="Times New Roman" w:cs="Times New Roman"/>
                <w:color w:val="auto"/>
                <w:sz w:val="24"/>
                <w:highlight w:val="none"/>
              </w:rPr>
            </w:pPr>
          </w:p>
          <w:p>
            <w:pPr>
              <w:keepNext w:val="0"/>
              <w:keepLines w:val="0"/>
              <w:pageBreakBefore w:val="0"/>
              <w:widowControl w:val="0"/>
              <w:kinsoku/>
              <w:wordWrap/>
              <w:overflowPunct/>
              <w:topLinePunct w:val="0"/>
              <w:bidi w:val="0"/>
              <w:snapToGrid/>
              <w:spacing w:line="400" w:lineRule="exact"/>
              <w:ind w:firstLine="4031" w:firstLineChars="1680"/>
              <w:jc w:val="both"/>
              <w:textAlignment w:val="auto"/>
              <w:rPr>
                <w:rFonts w:hint="default" w:ascii="Times New Roman" w:hAnsi="Times New Roman" w:cs="Times New Roman"/>
                <w:color w:val="auto"/>
                <w:sz w:val="24"/>
                <w:highlight w:val="none"/>
              </w:rPr>
            </w:pPr>
          </w:p>
          <w:p>
            <w:pPr>
              <w:keepNext w:val="0"/>
              <w:keepLines w:val="0"/>
              <w:pageBreakBefore w:val="0"/>
              <w:widowControl w:val="0"/>
              <w:kinsoku/>
              <w:wordWrap/>
              <w:overflowPunct/>
              <w:topLinePunct w:val="0"/>
              <w:bidi w:val="0"/>
              <w:snapToGrid/>
              <w:spacing w:line="400" w:lineRule="exact"/>
              <w:ind w:firstLine="4031" w:firstLineChars="1680"/>
              <w:jc w:val="both"/>
              <w:textAlignment w:val="auto"/>
              <w:rPr>
                <w:rFonts w:hint="default" w:ascii="Times New Roman" w:hAnsi="Times New Roman" w:cs="Times New Roman"/>
                <w:color w:val="auto"/>
                <w:sz w:val="24"/>
                <w:highlight w:val="none"/>
              </w:rPr>
            </w:pPr>
          </w:p>
          <w:p>
            <w:pPr>
              <w:keepNext w:val="0"/>
              <w:keepLines w:val="0"/>
              <w:pageBreakBefore w:val="0"/>
              <w:widowControl w:val="0"/>
              <w:kinsoku/>
              <w:wordWrap/>
              <w:overflowPunct/>
              <w:topLinePunct w:val="0"/>
              <w:bidi w:val="0"/>
              <w:snapToGrid/>
              <w:spacing w:line="400" w:lineRule="exact"/>
              <w:ind w:firstLine="4031" w:firstLineChars="1680"/>
              <w:jc w:val="both"/>
              <w:textAlignment w:val="auto"/>
              <w:rPr>
                <w:rFonts w:hint="default" w:ascii="Times New Roman" w:hAnsi="Times New Roman" w:cs="Times New Roman"/>
                <w:color w:val="auto"/>
                <w:sz w:val="24"/>
                <w:highlight w:val="none"/>
              </w:rPr>
            </w:pPr>
          </w:p>
          <w:p>
            <w:pPr>
              <w:keepNext w:val="0"/>
              <w:keepLines w:val="0"/>
              <w:pageBreakBefore w:val="0"/>
              <w:widowControl w:val="0"/>
              <w:kinsoku/>
              <w:wordWrap/>
              <w:overflowPunct/>
              <w:topLinePunct w:val="0"/>
              <w:bidi w:val="0"/>
              <w:snapToGrid/>
              <w:spacing w:line="400" w:lineRule="exact"/>
              <w:ind w:firstLine="4031" w:firstLineChars="1680"/>
              <w:jc w:val="both"/>
              <w:textAlignment w:val="auto"/>
              <w:rPr>
                <w:rFonts w:hint="default" w:ascii="Times New Roman" w:hAnsi="Times New Roman" w:cs="Times New Roman"/>
                <w:color w:val="auto"/>
                <w:sz w:val="24"/>
                <w:highlight w:val="none"/>
              </w:rPr>
            </w:pPr>
          </w:p>
          <w:p>
            <w:pPr>
              <w:keepNext w:val="0"/>
              <w:keepLines w:val="0"/>
              <w:pageBreakBefore w:val="0"/>
              <w:widowControl w:val="0"/>
              <w:tabs>
                <w:tab w:val="left" w:pos="5821"/>
              </w:tabs>
              <w:kinsoku/>
              <w:wordWrap/>
              <w:overflowPunct/>
              <w:topLinePunct w:val="0"/>
              <w:bidi w:val="0"/>
              <w:snapToGrid/>
              <w:spacing w:line="400" w:lineRule="exact"/>
              <w:ind w:firstLine="3840" w:firstLineChars="1600"/>
              <w:jc w:val="both"/>
              <w:textAlignment w:val="auto"/>
              <w:rPr>
                <w:rFonts w:hint="default" w:ascii="Times New Roman" w:hAnsi="Times New Roman" w:cs="Times New Roman" w:eastAsiaTheme="majorEastAsia"/>
                <w:color w:val="auto"/>
                <w:sz w:val="24"/>
                <w:highlight w:val="none"/>
              </w:rPr>
            </w:pPr>
            <w:r>
              <w:rPr>
                <w:rFonts w:hint="default" w:ascii="Times New Roman" w:hAnsi="Times New Roman" w:cs="Times New Roman" w:eastAsiaTheme="majorEastAsia"/>
                <w:color w:val="auto"/>
                <w:sz w:val="24"/>
                <w:highlight w:val="none"/>
              </w:rPr>
              <w:t>单    位（盖章）：</w:t>
            </w:r>
          </w:p>
          <w:p>
            <w:pPr>
              <w:keepNext w:val="0"/>
              <w:keepLines w:val="0"/>
              <w:pageBreakBefore w:val="0"/>
              <w:widowControl w:val="0"/>
              <w:tabs>
                <w:tab w:val="left" w:pos="4797"/>
                <w:tab w:val="left" w:pos="5399"/>
                <w:tab w:val="left" w:pos="5675"/>
              </w:tabs>
              <w:kinsoku/>
              <w:wordWrap/>
              <w:overflowPunct/>
              <w:topLinePunct w:val="0"/>
              <w:bidi w:val="0"/>
              <w:snapToGrid/>
              <w:spacing w:line="400" w:lineRule="exact"/>
              <w:ind w:firstLine="3840" w:firstLineChars="1600"/>
              <w:jc w:val="both"/>
              <w:textAlignment w:val="auto"/>
              <w:rPr>
                <w:rFonts w:hint="default" w:ascii="Times New Roman" w:hAnsi="Times New Roman" w:cs="Times New Roman" w:eastAsiaTheme="majorEastAsia"/>
                <w:color w:val="auto"/>
                <w:sz w:val="24"/>
                <w:highlight w:val="none"/>
              </w:rPr>
            </w:pPr>
            <w:r>
              <w:rPr>
                <w:rFonts w:hint="default" w:ascii="Times New Roman" w:hAnsi="Times New Roman" w:cs="Times New Roman" w:eastAsiaTheme="majorEastAsia"/>
                <w:color w:val="auto"/>
                <w:sz w:val="24"/>
                <w:highlight w:val="none"/>
              </w:rPr>
              <w:t>负 责 人 （签字）：</w:t>
            </w:r>
          </w:p>
          <w:p>
            <w:pPr>
              <w:keepNext w:val="0"/>
              <w:keepLines w:val="0"/>
              <w:pageBreakBefore w:val="0"/>
              <w:widowControl w:val="0"/>
              <w:tabs>
                <w:tab w:val="left" w:pos="5641"/>
                <w:tab w:val="left" w:pos="6707"/>
              </w:tabs>
              <w:kinsoku/>
              <w:wordWrap/>
              <w:overflowPunct/>
              <w:topLinePunct w:val="0"/>
              <w:bidi w:val="0"/>
              <w:snapToGrid/>
              <w:spacing w:line="400" w:lineRule="exact"/>
              <w:ind w:firstLine="4800" w:firstLineChars="2000"/>
              <w:jc w:val="both"/>
              <w:textAlignment w:val="auto"/>
              <w:rPr>
                <w:rFonts w:hint="default" w:ascii="Times New Roman" w:hAnsi="Times New Roman" w:cs="Times New Roman" w:eastAsiaTheme="majorEastAsia"/>
                <w:color w:val="auto"/>
                <w:sz w:val="24"/>
                <w:highlight w:val="none"/>
              </w:rPr>
            </w:pPr>
            <w:r>
              <w:rPr>
                <w:rFonts w:hint="default" w:ascii="Times New Roman" w:hAnsi="Times New Roman" w:cs="Times New Roman" w:eastAsiaTheme="majorEastAsia"/>
                <w:color w:val="auto"/>
                <w:sz w:val="24"/>
                <w:highlight w:val="none"/>
              </w:rPr>
              <w:t>年     月     日</w:t>
            </w:r>
          </w:p>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default" w:ascii="Times New Roman" w:hAnsi="Times New Roman" w:eastAsia="楷体_GB2312" w:cs="Times New Roman"/>
                <w:color w:val="auto"/>
                <w:kern w:val="0"/>
                <w:sz w:val="24"/>
                <w:highlight w:val="none"/>
              </w:rPr>
            </w:pPr>
            <w:r>
              <w:rPr>
                <w:rFonts w:hint="default" w:ascii="Times New Roman" w:hAnsi="Times New Roman" w:eastAsia="楷体_GB2312" w:cs="Times New Roman"/>
                <w:color w:val="auto"/>
                <w:kern w:val="0"/>
                <w:sz w:val="24"/>
                <w:highlight w:val="none"/>
              </w:rPr>
              <w:t>注：1.申报组织为有关单位的分支、内设、派出等机构的，由有关单位在单位内部进行公示，公示无异议的，填写本栏意见并签字盖章。</w:t>
            </w:r>
          </w:p>
          <w:p>
            <w:pPr>
              <w:keepNext w:val="0"/>
              <w:keepLines w:val="0"/>
              <w:pageBreakBefore w:val="0"/>
              <w:widowControl w:val="0"/>
              <w:tabs>
                <w:tab w:val="left" w:pos="5641"/>
                <w:tab w:val="left" w:pos="6707"/>
              </w:tabs>
              <w:kinsoku/>
              <w:wordWrap/>
              <w:overflowPunct/>
              <w:topLinePunct w:val="0"/>
              <w:bidi w:val="0"/>
              <w:snapToGrid/>
              <w:spacing w:line="400" w:lineRule="exact"/>
              <w:jc w:val="both"/>
              <w:textAlignment w:val="auto"/>
              <w:rPr>
                <w:rFonts w:hint="default" w:ascii="Times New Roman" w:hAnsi="Times New Roman" w:cs="Times New Roman"/>
                <w:color w:val="auto"/>
                <w:sz w:val="24"/>
                <w:highlight w:val="none"/>
              </w:rPr>
            </w:pPr>
            <w:r>
              <w:rPr>
                <w:rFonts w:hint="default" w:ascii="Times New Roman" w:hAnsi="Times New Roman" w:eastAsia="楷体_GB2312" w:cs="Times New Roman"/>
                <w:color w:val="auto"/>
                <w:kern w:val="0"/>
                <w:sz w:val="24"/>
                <w:highlight w:val="none"/>
              </w:rPr>
              <w:t>2.其他类型申报组织无需填写本栏内容。</w:t>
            </w:r>
          </w:p>
        </w:tc>
      </w:tr>
    </w:tbl>
    <w:p>
      <w:pPr>
        <w:spacing w:line="560" w:lineRule="exact"/>
        <w:outlineLvl w:val="0"/>
        <w:rPr>
          <w:rFonts w:hint="default" w:ascii="Times New Roman" w:hAnsi="Times New Roman" w:cs="Times New Roman"/>
          <w:color w:val="auto"/>
          <w:highlight w:val="none"/>
        </w:rPr>
      </w:pPr>
      <w:r>
        <w:rPr>
          <w:rFonts w:hint="default" w:ascii="Times New Roman" w:hAnsi="Times New Roman" w:eastAsia="黑体" w:cs="Times New Roman"/>
          <w:color w:val="auto"/>
          <w:sz w:val="32"/>
          <w:szCs w:val="32"/>
          <w:highlight w:val="none"/>
        </w:rPr>
        <w:br w:type="page"/>
      </w:r>
      <w:bookmarkStart w:id="0" w:name="_GoBack"/>
      <w:bookmarkEnd w:id="0"/>
      <w:r>
        <w:rPr>
          <w:rFonts w:hint="default" w:ascii="Times New Roman" w:hAnsi="Times New Roman" w:eastAsia="黑体" w:cs="Times New Roman"/>
          <w:color w:val="auto"/>
          <w:sz w:val="32"/>
          <w:szCs w:val="32"/>
          <w:highlight w:val="none"/>
        </w:rPr>
        <w:t>十二、审核推荐意见</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3828"/>
        <w:gridCol w:w="127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审核单位</w:t>
            </w:r>
          </w:p>
        </w:tc>
        <w:tc>
          <w:tcPr>
            <w:tcW w:w="7340"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联系人</w:t>
            </w:r>
          </w:p>
        </w:tc>
        <w:tc>
          <w:tcPr>
            <w:tcW w:w="382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highlight w:val="none"/>
              </w:rPr>
            </w:pPr>
          </w:p>
        </w:tc>
        <w:tc>
          <w:tcPr>
            <w:tcW w:w="127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手机</w:t>
            </w:r>
          </w:p>
        </w:tc>
        <w:tc>
          <w:tcPr>
            <w:tcW w:w="223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  话</w:t>
            </w:r>
          </w:p>
        </w:tc>
        <w:tc>
          <w:tcPr>
            <w:tcW w:w="382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highlight w:val="none"/>
              </w:rPr>
            </w:pPr>
          </w:p>
        </w:tc>
        <w:tc>
          <w:tcPr>
            <w:tcW w:w="127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传真</w:t>
            </w:r>
          </w:p>
        </w:tc>
        <w:tc>
          <w:tcPr>
            <w:tcW w:w="223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6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E-mail</w:t>
            </w:r>
          </w:p>
        </w:tc>
        <w:tc>
          <w:tcPr>
            <w:tcW w:w="7340"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通讯地址</w:t>
            </w:r>
          </w:p>
        </w:tc>
        <w:tc>
          <w:tcPr>
            <w:tcW w:w="382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highlight w:val="none"/>
              </w:rPr>
            </w:pPr>
          </w:p>
        </w:tc>
        <w:tc>
          <w:tcPr>
            <w:tcW w:w="127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邮编</w:t>
            </w:r>
          </w:p>
        </w:tc>
        <w:tc>
          <w:tcPr>
            <w:tcW w:w="223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jc w:val="center"/>
        </w:trPr>
        <w:tc>
          <w:tcPr>
            <w:tcW w:w="9408" w:type="dxa"/>
            <w:gridSpan w:val="4"/>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一、材料核实情况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二、征求相关部门意见情况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三、公示情况（需说明公示时间、公示途径、异议处理情况等）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四、审核意见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3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3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30"/>
                <w:highlight w:val="none"/>
              </w:rPr>
            </w:pPr>
          </w:p>
          <w:p>
            <w:pPr>
              <w:keepNext w:val="0"/>
              <w:keepLines w:val="0"/>
              <w:pageBreakBefore w:val="0"/>
              <w:widowControl w:val="0"/>
              <w:tabs>
                <w:tab w:val="left" w:pos="8015"/>
              </w:tabs>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自治区行业行政主管部门或所在地（州、市）市场监督管理部门（盖章）：</w:t>
            </w:r>
          </w:p>
          <w:p>
            <w:pPr>
              <w:keepNext w:val="0"/>
              <w:keepLines w:val="0"/>
              <w:pageBreakBefore w:val="0"/>
              <w:widowControl w:val="0"/>
              <w:tabs>
                <w:tab w:val="left" w:pos="7917"/>
              </w:tabs>
              <w:kinsoku/>
              <w:wordWrap/>
              <w:overflowPunct/>
              <w:topLinePunct w:val="0"/>
              <w:autoSpaceDE/>
              <w:autoSpaceDN/>
              <w:bidi w:val="0"/>
              <w:adjustRightInd/>
              <w:snapToGrid/>
              <w:spacing w:line="400" w:lineRule="exact"/>
              <w:ind w:firstLine="2880" w:firstLineChars="120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负 责 人（签字）：</w:t>
            </w:r>
          </w:p>
          <w:p>
            <w:pPr>
              <w:keepNext w:val="0"/>
              <w:keepLines w:val="0"/>
              <w:pageBreakBefore w:val="0"/>
              <w:widowControl w:val="0"/>
              <w:tabs>
                <w:tab w:val="left" w:pos="7053"/>
                <w:tab w:val="left" w:pos="8903"/>
              </w:tabs>
              <w:kinsoku/>
              <w:wordWrap/>
              <w:overflowPunct/>
              <w:topLinePunct w:val="0"/>
              <w:autoSpaceDE/>
              <w:autoSpaceDN/>
              <w:bidi w:val="0"/>
              <w:adjustRightInd/>
              <w:snapToGrid/>
              <w:spacing w:line="400" w:lineRule="exact"/>
              <w:ind w:firstLine="4680" w:firstLineChars="195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9408" w:type="dxa"/>
            <w:gridSpan w:val="4"/>
            <w:vAlign w:val="bottom"/>
          </w:tcPr>
          <w:p>
            <w:pPr>
              <w:keepNext w:val="0"/>
              <w:keepLines w:val="0"/>
              <w:pageBreakBefore w:val="0"/>
              <w:widowControl w:val="0"/>
              <w:kinsoku/>
              <w:wordWrap/>
              <w:overflowPunct/>
              <w:topLinePunct w:val="0"/>
              <w:autoSpaceDE/>
              <w:autoSpaceDN/>
              <w:bidi w:val="0"/>
              <w:adjustRightInd/>
              <w:snapToGrid/>
              <w:spacing w:line="400" w:lineRule="exact"/>
              <w:ind w:left="-8" w:right="53" w:rightChars="25" w:firstLine="10"/>
              <w:jc w:val="both"/>
              <w:textAlignment w:val="auto"/>
              <w:rPr>
                <w:rFonts w:hint="default" w:ascii="Times New Roman" w:hAnsi="Times New Roman" w:cs="Times New Roman"/>
                <w:color w:val="auto"/>
                <w:sz w:val="30"/>
                <w:highlight w:val="none"/>
              </w:rPr>
            </w:pPr>
            <w:r>
              <w:rPr>
                <w:rFonts w:hint="default" w:ascii="Times New Roman" w:hAnsi="Times New Roman" w:cs="Times New Roman"/>
                <w:color w:val="auto"/>
                <w:sz w:val="24"/>
                <w:highlight w:val="none"/>
              </w:rPr>
              <w:t>包括推荐意见及理由等</w:t>
            </w:r>
          </w:p>
          <w:p>
            <w:pPr>
              <w:keepNext w:val="0"/>
              <w:keepLines w:val="0"/>
              <w:pageBreakBefore w:val="0"/>
              <w:widowControl w:val="0"/>
              <w:kinsoku/>
              <w:wordWrap/>
              <w:overflowPunct/>
              <w:topLinePunct w:val="0"/>
              <w:autoSpaceDE/>
              <w:autoSpaceDN/>
              <w:bidi w:val="0"/>
              <w:adjustRightInd/>
              <w:snapToGrid/>
              <w:spacing w:line="400" w:lineRule="exact"/>
              <w:ind w:left="-8" w:right="53" w:rightChars="25" w:firstLine="10"/>
              <w:jc w:val="both"/>
              <w:textAlignment w:val="auto"/>
              <w:rPr>
                <w:rFonts w:hint="default" w:ascii="Times New Roman" w:hAnsi="Times New Roman" w:cs="Times New Roman"/>
                <w:color w:val="auto"/>
                <w:sz w:val="30"/>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8" w:right="53" w:rightChars="25" w:firstLine="10"/>
              <w:jc w:val="both"/>
              <w:textAlignment w:val="auto"/>
              <w:rPr>
                <w:rFonts w:hint="default" w:ascii="Times New Roman" w:hAnsi="Times New Roman" w:cs="Times New Roman"/>
                <w:color w:val="auto"/>
                <w:sz w:val="30"/>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8" w:right="53" w:rightChars="25" w:firstLine="10"/>
              <w:jc w:val="both"/>
              <w:textAlignment w:val="auto"/>
              <w:rPr>
                <w:rFonts w:hint="default" w:ascii="Times New Roman" w:hAnsi="Times New Roman" w:cs="Times New Roman"/>
                <w:color w:val="auto"/>
                <w:sz w:val="30"/>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8" w:right="53" w:rightChars="25" w:firstLine="10"/>
              <w:jc w:val="both"/>
              <w:textAlignment w:val="auto"/>
              <w:rPr>
                <w:rFonts w:hint="default" w:ascii="Times New Roman" w:hAnsi="Times New Roman" w:cs="Times New Roman"/>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8" w:right="53" w:rightChars="25" w:firstLine="1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自治区行业行政主管部门或所在州、市（地）人民政府（行政公署）（盖章）：</w:t>
            </w:r>
          </w:p>
          <w:p>
            <w:pPr>
              <w:keepNext w:val="0"/>
              <w:keepLines w:val="0"/>
              <w:pageBreakBefore w:val="0"/>
              <w:widowControl w:val="0"/>
              <w:tabs>
                <w:tab w:val="left" w:pos="7965"/>
              </w:tabs>
              <w:kinsoku/>
              <w:wordWrap/>
              <w:overflowPunct/>
              <w:topLinePunct w:val="0"/>
              <w:autoSpaceDE/>
              <w:autoSpaceDN/>
              <w:bidi w:val="0"/>
              <w:adjustRightInd/>
              <w:snapToGrid/>
              <w:spacing w:line="400" w:lineRule="exact"/>
              <w:ind w:left="-8" w:right="53" w:rightChars="25" w:firstLine="1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负 责 人（签字）：</w:t>
            </w:r>
          </w:p>
          <w:p>
            <w:pPr>
              <w:keepNext w:val="0"/>
              <w:keepLines w:val="0"/>
              <w:pageBreakBefore w:val="0"/>
              <w:widowControl w:val="0"/>
              <w:kinsoku/>
              <w:wordWrap/>
              <w:overflowPunct/>
              <w:topLinePunct w:val="0"/>
              <w:autoSpaceDE/>
              <w:autoSpaceDN/>
              <w:bidi w:val="0"/>
              <w:adjustRightInd/>
              <w:snapToGrid/>
              <w:spacing w:line="400" w:lineRule="exact"/>
              <w:ind w:left="-8" w:right="53" w:rightChars="25" w:firstLine="1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年     月     日</w:t>
            </w:r>
          </w:p>
          <w:p>
            <w:pPr>
              <w:keepNext w:val="0"/>
              <w:keepLines w:val="0"/>
              <w:pageBreakBefore w:val="0"/>
              <w:widowControl w:val="0"/>
              <w:tabs>
                <w:tab w:val="left" w:pos="7161"/>
                <w:tab w:val="left" w:pos="7941"/>
              </w:tabs>
              <w:kinsoku/>
              <w:wordWrap/>
              <w:overflowPunct/>
              <w:topLinePunct w:val="0"/>
              <w:autoSpaceDE/>
              <w:autoSpaceDN/>
              <w:bidi w:val="0"/>
              <w:adjustRightInd/>
              <w:snapToGrid/>
              <w:spacing w:line="400" w:lineRule="exact"/>
              <w:ind w:left="-6" w:right="53" w:rightChars="25" w:firstLine="11"/>
              <w:jc w:val="both"/>
              <w:textAlignment w:val="auto"/>
              <w:rPr>
                <w:rFonts w:hint="default" w:ascii="Times New Roman" w:hAnsi="Times New Roman" w:cs="Times New Roman"/>
                <w:color w:val="auto"/>
                <w:sz w:val="30"/>
                <w:highlight w:val="none"/>
              </w:rPr>
            </w:pPr>
            <w:r>
              <w:rPr>
                <w:rFonts w:hint="default" w:ascii="Times New Roman" w:hAnsi="Times New Roman" w:eastAsia="楷体_GB2312" w:cs="Times New Roman"/>
                <w:color w:val="auto"/>
                <w:kern w:val="0"/>
                <w:sz w:val="24"/>
                <w:highlight w:val="none"/>
              </w:rPr>
              <w:t>注：通过所在地（州、市）市场监管部门申报的，由所在地（州、市）市场监管部门提出审核意见，报所在州、市（地）人民政府（行政公署）出具推荐意见。通过自治区行业</w:t>
            </w:r>
            <w:r>
              <w:rPr>
                <w:rFonts w:hint="eastAsia" w:eastAsia="楷体_GB2312" w:cs="Times New Roman"/>
                <w:color w:val="auto"/>
                <w:kern w:val="0"/>
                <w:sz w:val="24"/>
                <w:highlight w:val="none"/>
                <w:lang w:eastAsia="zh-CN"/>
              </w:rPr>
              <w:t>行政</w:t>
            </w:r>
            <w:r>
              <w:rPr>
                <w:rFonts w:hint="default" w:ascii="Times New Roman" w:hAnsi="Times New Roman" w:eastAsia="楷体_GB2312" w:cs="Times New Roman"/>
                <w:color w:val="auto"/>
                <w:kern w:val="0"/>
                <w:sz w:val="24"/>
                <w:highlight w:val="none"/>
              </w:rPr>
              <w:t>主管部门申报的</w:t>
            </w:r>
            <w:r>
              <w:rPr>
                <w:rFonts w:hint="eastAsia" w:eastAsia="楷体_GB2312" w:cs="Times New Roman"/>
                <w:color w:val="auto"/>
                <w:kern w:val="0"/>
                <w:sz w:val="24"/>
                <w:highlight w:val="none"/>
                <w:lang w:eastAsia="zh-CN"/>
              </w:rPr>
              <w:t>，</w:t>
            </w:r>
            <w:r>
              <w:rPr>
                <w:rFonts w:hint="default" w:ascii="Times New Roman" w:hAnsi="Times New Roman" w:eastAsia="楷体_GB2312" w:cs="Times New Roman"/>
                <w:color w:val="auto"/>
                <w:kern w:val="0"/>
                <w:sz w:val="24"/>
                <w:highlight w:val="none"/>
              </w:rPr>
              <w:t>由自治区行业</w:t>
            </w:r>
            <w:r>
              <w:rPr>
                <w:rFonts w:hint="eastAsia" w:eastAsia="楷体_GB2312" w:cs="Times New Roman"/>
                <w:color w:val="auto"/>
                <w:kern w:val="0"/>
                <w:sz w:val="24"/>
                <w:highlight w:val="none"/>
                <w:lang w:eastAsia="zh-CN"/>
              </w:rPr>
              <w:t>行政</w:t>
            </w:r>
            <w:r>
              <w:rPr>
                <w:rFonts w:hint="default" w:ascii="Times New Roman" w:hAnsi="Times New Roman" w:eastAsia="楷体_GB2312" w:cs="Times New Roman"/>
                <w:color w:val="auto"/>
                <w:kern w:val="0"/>
                <w:sz w:val="24"/>
                <w:highlight w:val="none"/>
              </w:rPr>
              <w:t>主管部门出具审核与推荐意见。</w:t>
            </w:r>
          </w:p>
        </w:tc>
      </w:tr>
    </w:tbl>
    <w:p>
      <w:pPr>
        <w:pStyle w:val="2"/>
        <w:rPr>
          <w:rFonts w:hint="default" w:ascii="Times New Roman" w:hAnsi="Times New Roman" w:cs="Times New Roman"/>
          <w:highlight w:val="none"/>
          <w:lang w:val="en-US" w:eastAsia="zh-CN"/>
        </w:rPr>
        <w:sectPr>
          <w:headerReference r:id="rId10" w:type="default"/>
          <w:footerReference r:id="rId11" w:type="default"/>
          <w:pgSz w:w="11906" w:h="16838"/>
          <w:pgMar w:top="2098" w:right="1531" w:bottom="1984" w:left="1531" w:header="851" w:footer="1417" w:gutter="0"/>
          <w:pgNumType w:fmt="decimal"/>
          <w:cols w:space="0" w:num="1"/>
          <w:rtlGutter w:val="0"/>
          <w:docGrid w:type="lines" w:linePitch="315" w:charSpace="0"/>
        </w:sectPr>
      </w:pPr>
    </w:p>
    <w:p>
      <w:pPr>
        <w:pStyle w:val="3"/>
        <w:ind w:left="0" w:leftChars="0" w:firstLine="0" w:firstLineChars="0"/>
        <w:rPr>
          <w:rFonts w:hint="default" w:ascii="Times New Roman" w:hAnsi="Times New Roman" w:cs="Times New Roman"/>
          <w:highlight w:val="none"/>
          <w:lang w:val="en-US" w:eastAsia="zh-CN"/>
        </w:rPr>
      </w:pPr>
    </w:p>
    <w:sectPr>
      <w:footerReference r:id="rId15" w:type="first"/>
      <w:headerReference r:id="rId12" w:type="default"/>
      <w:footerReference r:id="rId13" w:type="default"/>
      <w:footerReference r:id="rId14" w:type="even"/>
      <w:pgSz w:w="11906" w:h="16838"/>
      <w:pgMar w:top="2098" w:right="1531" w:bottom="1984" w:left="1531" w:header="851" w:footer="1191" w:gutter="0"/>
      <w:pgNumType w:fmt="decimal"/>
      <w:cols w:space="720" w:num="1"/>
      <w:titlePg/>
      <w:rtlGutter w:val="0"/>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PMingLiU">
    <w:altName w:val="Noto Sans CJK SC"/>
    <w:panose1 w:val="02020500000000000000"/>
    <w:charset w:val="88"/>
    <w:family w:val="roman"/>
    <w:pitch w:val="default"/>
    <w:sig w:usb0="00000000" w:usb1="00000000" w:usb2="00000016" w:usb3="00000000" w:csb0="00100001" w:csb1="00000000"/>
  </w:font>
  <w:font w:name="Calibri Light">
    <w:altName w:val="DejaVu Sans"/>
    <w:panose1 w:val="020F0302020204030204"/>
    <w:charset w:val="00"/>
    <w:family w:val="swiss"/>
    <w:pitch w:val="default"/>
    <w:sig w:usb0="00000000" w:usb1="00000000" w:usb2="00000000" w:usb3="00000000" w:csb0="2000019F" w:csb1="00000000"/>
  </w:font>
  <w:font w:name="MingLiU">
    <w:altName w:val="方正书宋_GBK"/>
    <w:panose1 w:val="02020509000000000000"/>
    <w:charset w:val="88"/>
    <w:family w:val="modern"/>
    <w:pitch w:val="default"/>
    <w:sig w:usb0="00000000" w:usb1="00000000"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简体">
    <w:altName w:val="方正黑体_GBK"/>
    <w:panose1 w:val="02010601030101010101"/>
    <w:charset w:val="86"/>
    <w:family w:val="script"/>
    <w:pitch w:val="default"/>
    <w:sig w:usb0="00000000" w:usb1="00000000" w:usb2="0000000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6"/>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6"/>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0" w:lineRule="exact"/>
      <w:ind w:right="35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0" w:lineRule="exact"/>
      <w:ind w:right="35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right="-29" w:rightChars="-14"/>
                            <w:rPr>
                              <w:rStyle w:val="29"/>
                              <w:rFonts w:ascii="宋体" w:hAnsi="宋体"/>
                              <w:sz w:val="28"/>
                              <w:szCs w:val="28"/>
                            </w:rPr>
                          </w:pPr>
                          <w:r>
                            <w:rPr>
                              <w:rStyle w:val="29"/>
                              <w:rFonts w:ascii="宋体" w:hAnsi="宋体"/>
                              <w:sz w:val="28"/>
                              <w:szCs w:val="28"/>
                            </w:rPr>
                            <w:t xml:space="preserve">— </w:t>
                          </w:r>
                          <w:r>
                            <w:rPr>
                              <w:rStyle w:val="29"/>
                              <w:rFonts w:ascii="宋体" w:hAnsi="宋体"/>
                              <w:sz w:val="28"/>
                              <w:szCs w:val="28"/>
                            </w:rPr>
                            <w:fldChar w:fldCharType="begin"/>
                          </w:r>
                          <w:r>
                            <w:rPr>
                              <w:rStyle w:val="29"/>
                              <w:rFonts w:ascii="宋体" w:hAnsi="宋体"/>
                              <w:sz w:val="28"/>
                              <w:szCs w:val="28"/>
                            </w:rPr>
                            <w:instrText xml:space="preserve"> PAGE  \* MERGEFORMAT </w:instrText>
                          </w:r>
                          <w:r>
                            <w:rPr>
                              <w:rStyle w:val="29"/>
                              <w:rFonts w:ascii="宋体" w:hAnsi="宋体"/>
                              <w:sz w:val="28"/>
                              <w:szCs w:val="28"/>
                            </w:rPr>
                            <w:fldChar w:fldCharType="separate"/>
                          </w:r>
                          <w:r>
                            <w:rPr>
                              <w:rStyle w:val="29"/>
                              <w:rFonts w:ascii="宋体" w:hAnsi="宋体"/>
                              <w:sz w:val="28"/>
                              <w:szCs w:val="28"/>
                            </w:rPr>
                            <w:t>46</w:t>
                          </w:r>
                          <w:r>
                            <w:rPr>
                              <w:rStyle w:val="29"/>
                              <w:rFonts w:ascii="宋体" w:hAnsi="宋体"/>
                              <w:sz w:val="28"/>
                              <w:szCs w:val="28"/>
                            </w:rPr>
                            <w:fldChar w:fldCharType="end"/>
                          </w:r>
                          <w:r>
                            <w:rPr>
                              <w:rStyle w:val="29"/>
                              <w:rFonts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6"/>
                      <w:ind w:right="-29" w:rightChars="-14"/>
                      <w:rPr>
                        <w:rStyle w:val="29"/>
                        <w:rFonts w:ascii="宋体" w:hAnsi="宋体"/>
                        <w:sz w:val="28"/>
                        <w:szCs w:val="28"/>
                      </w:rPr>
                    </w:pPr>
                    <w:r>
                      <w:rPr>
                        <w:rStyle w:val="29"/>
                        <w:rFonts w:ascii="宋体" w:hAnsi="宋体"/>
                        <w:sz w:val="28"/>
                        <w:szCs w:val="28"/>
                      </w:rPr>
                      <w:t xml:space="preserve">— </w:t>
                    </w:r>
                    <w:r>
                      <w:rPr>
                        <w:rStyle w:val="29"/>
                        <w:rFonts w:ascii="宋体" w:hAnsi="宋体"/>
                        <w:sz w:val="28"/>
                        <w:szCs w:val="28"/>
                      </w:rPr>
                      <w:fldChar w:fldCharType="begin"/>
                    </w:r>
                    <w:r>
                      <w:rPr>
                        <w:rStyle w:val="29"/>
                        <w:rFonts w:ascii="宋体" w:hAnsi="宋体"/>
                        <w:sz w:val="28"/>
                        <w:szCs w:val="28"/>
                      </w:rPr>
                      <w:instrText xml:space="preserve"> PAGE  \* MERGEFORMAT </w:instrText>
                    </w:r>
                    <w:r>
                      <w:rPr>
                        <w:rStyle w:val="29"/>
                        <w:rFonts w:ascii="宋体" w:hAnsi="宋体"/>
                        <w:sz w:val="28"/>
                        <w:szCs w:val="28"/>
                      </w:rPr>
                      <w:fldChar w:fldCharType="separate"/>
                    </w:r>
                    <w:r>
                      <w:rPr>
                        <w:rStyle w:val="29"/>
                        <w:rFonts w:ascii="宋体" w:hAnsi="宋体"/>
                        <w:sz w:val="28"/>
                        <w:szCs w:val="28"/>
                      </w:rPr>
                      <w:t>46</w:t>
                    </w:r>
                    <w:r>
                      <w:rPr>
                        <w:rStyle w:val="29"/>
                        <w:rFonts w:ascii="宋体" w:hAnsi="宋体"/>
                        <w:sz w:val="28"/>
                        <w:szCs w:val="28"/>
                      </w:rPr>
                      <w:fldChar w:fldCharType="end"/>
                    </w:r>
                    <w:r>
                      <w:rPr>
                        <w:rStyle w:val="29"/>
                        <w:rFonts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page" w:hAnchor="page" w:x="1832" w:y="15280"/>
      <w:ind w:left="210" w:hanging="210" w:hangingChars="75"/>
      <w:rPr>
        <w:rStyle w:val="29"/>
        <w:rFonts w:ascii="宋体" w:hAnsi="宋体"/>
        <w:sz w:val="28"/>
        <w:szCs w:val="28"/>
      </w:rPr>
    </w:pPr>
    <w:r>
      <w:rPr>
        <w:rStyle w:val="29"/>
        <w:rFonts w:hint="eastAsia" w:ascii="宋体" w:hAnsi="宋体"/>
        <w:sz w:val="28"/>
        <w:szCs w:val="28"/>
      </w:rPr>
      <w:t xml:space="preserve">— </w:t>
    </w:r>
    <w:r>
      <w:rPr>
        <w:rFonts w:ascii="宋体" w:hAnsi="宋体"/>
        <w:sz w:val="28"/>
        <w:szCs w:val="28"/>
      </w:rPr>
      <w:fldChar w:fldCharType="begin"/>
    </w:r>
    <w:r>
      <w:rPr>
        <w:rStyle w:val="29"/>
        <w:rFonts w:ascii="宋体" w:hAnsi="宋体"/>
        <w:sz w:val="28"/>
        <w:szCs w:val="28"/>
      </w:rPr>
      <w:instrText xml:space="preserve"> PAGE  \* Arabic </w:instrText>
    </w:r>
    <w:r>
      <w:rPr>
        <w:rFonts w:ascii="宋体" w:hAnsi="宋体"/>
        <w:sz w:val="28"/>
        <w:szCs w:val="28"/>
      </w:rPr>
      <w:fldChar w:fldCharType="separate"/>
    </w:r>
    <w:r>
      <w:rPr>
        <w:rStyle w:val="29"/>
        <w:rFonts w:ascii="宋体" w:hAnsi="宋体"/>
        <w:sz w:val="28"/>
        <w:szCs w:val="28"/>
      </w:rPr>
      <w:t>20</w:t>
    </w:r>
    <w:r>
      <w:rPr>
        <w:rFonts w:ascii="宋体" w:hAnsi="宋体"/>
        <w:sz w:val="28"/>
        <w:szCs w:val="28"/>
      </w:rPr>
      <w:fldChar w:fldCharType="end"/>
    </w:r>
    <w:r>
      <w:rPr>
        <w:rStyle w:val="29"/>
        <w:rFonts w:hint="eastAsia" w:ascii="宋体" w:hAnsi="宋体"/>
        <w:sz w:val="28"/>
        <w:szCs w:val="28"/>
      </w:rPr>
      <w:t xml:space="preserve"> —</w:t>
    </w:r>
  </w:p>
  <w:p>
    <w:pPr>
      <w:pStyle w:val="16"/>
      <w:spacing w:line="20" w:lineRule="exact"/>
      <w:ind w:right="35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6B236"/>
    <w:multiLevelType w:val="singleLevel"/>
    <w:tmpl w:val="FFF6B236"/>
    <w:lvl w:ilvl="0" w:tentative="0">
      <w:start w:val="1"/>
      <w:numFmt w:val="decimal"/>
      <w:pStyle w:val="14"/>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8CA"/>
    <w:rsid w:val="0001121E"/>
    <w:rsid w:val="00045E87"/>
    <w:rsid w:val="000724D5"/>
    <w:rsid w:val="000748AE"/>
    <w:rsid w:val="00091BD1"/>
    <w:rsid w:val="00094477"/>
    <w:rsid w:val="000A6775"/>
    <w:rsid w:val="000B62EA"/>
    <w:rsid w:val="00144759"/>
    <w:rsid w:val="001732B1"/>
    <w:rsid w:val="00176199"/>
    <w:rsid w:val="00185CE8"/>
    <w:rsid w:val="00193241"/>
    <w:rsid w:val="001D15A7"/>
    <w:rsid w:val="00230BF4"/>
    <w:rsid w:val="002336BB"/>
    <w:rsid w:val="00264BF0"/>
    <w:rsid w:val="00275D32"/>
    <w:rsid w:val="002A03F6"/>
    <w:rsid w:val="002C426A"/>
    <w:rsid w:val="002C7F9C"/>
    <w:rsid w:val="002D70E2"/>
    <w:rsid w:val="002E0CC7"/>
    <w:rsid w:val="002F56AF"/>
    <w:rsid w:val="00306BAC"/>
    <w:rsid w:val="00326EEF"/>
    <w:rsid w:val="0034107E"/>
    <w:rsid w:val="003479C9"/>
    <w:rsid w:val="00351CA7"/>
    <w:rsid w:val="00371CF7"/>
    <w:rsid w:val="00380FD9"/>
    <w:rsid w:val="00393780"/>
    <w:rsid w:val="00395580"/>
    <w:rsid w:val="0039739D"/>
    <w:rsid w:val="003B2631"/>
    <w:rsid w:val="003B3E88"/>
    <w:rsid w:val="003D18BF"/>
    <w:rsid w:val="003D280A"/>
    <w:rsid w:val="003E26ED"/>
    <w:rsid w:val="003E4B62"/>
    <w:rsid w:val="0041146F"/>
    <w:rsid w:val="0041272C"/>
    <w:rsid w:val="004174EA"/>
    <w:rsid w:val="0042544E"/>
    <w:rsid w:val="00452880"/>
    <w:rsid w:val="00462DA2"/>
    <w:rsid w:val="00465BA2"/>
    <w:rsid w:val="00476BB2"/>
    <w:rsid w:val="004811D1"/>
    <w:rsid w:val="004C1183"/>
    <w:rsid w:val="004C1B9D"/>
    <w:rsid w:val="004D642C"/>
    <w:rsid w:val="004E06D6"/>
    <w:rsid w:val="004F068A"/>
    <w:rsid w:val="004F1950"/>
    <w:rsid w:val="00535D62"/>
    <w:rsid w:val="0056039D"/>
    <w:rsid w:val="00565796"/>
    <w:rsid w:val="00565AA1"/>
    <w:rsid w:val="00572773"/>
    <w:rsid w:val="00575764"/>
    <w:rsid w:val="00591887"/>
    <w:rsid w:val="0059454C"/>
    <w:rsid w:val="005E0463"/>
    <w:rsid w:val="005E6FA2"/>
    <w:rsid w:val="00604320"/>
    <w:rsid w:val="00622109"/>
    <w:rsid w:val="006404EE"/>
    <w:rsid w:val="00660B5F"/>
    <w:rsid w:val="006812A4"/>
    <w:rsid w:val="00683BCD"/>
    <w:rsid w:val="006926CF"/>
    <w:rsid w:val="006A10DA"/>
    <w:rsid w:val="006C66F0"/>
    <w:rsid w:val="007126B0"/>
    <w:rsid w:val="00720964"/>
    <w:rsid w:val="00725628"/>
    <w:rsid w:val="007354A0"/>
    <w:rsid w:val="00745FBB"/>
    <w:rsid w:val="00752B30"/>
    <w:rsid w:val="00753912"/>
    <w:rsid w:val="00754F42"/>
    <w:rsid w:val="007618CA"/>
    <w:rsid w:val="00765D38"/>
    <w:rsid w:val="00784B21"/>
    <w:rsid w:val="007F425B"/>
    <w:rsid w:val="008045B7"/>
    <w:rsid w:val="0081723E"/>
    <w:rsid w:val="00851F19"/>
    <w:rsid w:val="0085652E"/>
    <w:rsid w:val="008732B0"/>
    <w:rsid w:val="008802F0"/>
    <w:rsid w:val="008A0201"/>
    <w:rsid w:val="008C7CE4"/>
    <w:rsid w:val="008E2955"/>
    <w:rsid w:val="009003AB"/>
    <w:rsid w:val="00941224"/>
    <w:rsid w:val="009430DE"/>
    <w:rsid w:val="00946334"/>
    <w:rsid w:val="00972104"/>
    <w:rsid w:val="0098763C"/>
    <w:rsid w:val="009A1CA9"/>
    <w:rsid w:val="00A05572"/>
    <w:rsid w:val="00A27AD5"/>
    <w:rsid w:val="00A27BBB"/>
    <w:rsid w:val="00A42DEA"/>
    <w:rsid w:val="00A46C6A"/>
    <w:rsid w:val="00A47A53"/>
    <w:rsid w:val="00A5049D"/>
    <w:rsid w:val="00A659B7"/>
    <w:rsid w:val="00A67732"/>
    <w:rsid w:val="00A7527C"/>
    <w:rsid w:val="00AA1997"/>
    <w:rsid w:val="00AA63CA"/>
    <w:rsid w:val="00AC7567"/>
    <w:rsid w:val="00AF2088"/>
    <w:rsid w:val="00B05A25"/>
    <w:rsid w:val="00B13491"/>
    <w:rsid w:val="00B14ABD"/>
    <w:rsid w:val="00B15A9D"/>
    <w:rsid w:val="00B21721"/>
    <w:rsid w:val="00B45389"/>
    <w:rsid w:val="00B635AE"/>
    <w:rsid w:val="00B874D2"/>
    <w:rsid w:val="00B87F53"/>
    <w:rsid w:val="00BA7428"/>
    <w:rsid w:val="00BB3EA9"/>
    <w:rsid w:val="00BC7695"/>
    <w:rsid w:val="00BD595D"/>
    <w:rsid w:val="00BE0BDB"/>
    <w:rsid w:val="00BF01ED"/>
    <w:rsid w:val="00BF37C3"/>
    <w:rsid w:val="00BF4B9C"/>
    <w:rsid w:val="00C20C0D"/>
    <w:rsid w:val="00C22D22"/>
    <w:rsid w:val="00C311D9"/>
    <w:rsid w:val="00C51348"/>
    <w:rsid w:val="00C56A9B"/>
    <w:rsid w:val="00C60102"/>
    <w:rsid w:val="00C92F6D"/>
    <w:rsid w:val="00C96210"/>
    <w:rsid w:val="00CB3424"/>
    <w:rsid w:val="00CD7480"/>
    <w:rsid w:val="00CE7998"/>
    <w:rsid w:val="00CF4729"/>
    <w:rsid w:val="00D051A1"/>
    <w:rsid w:val="00D1609C"/>
    <w:rsid w:val="00D20D08"/>
    <w:rsid w:val="00D3600D"/>
    <w:rsid w:val="00D96B9A"/>
    <w:rsid w:val="00DC78A7"/>
    <w:rsid w:val="00DF71F6"/>
    <w:rsid w:val="00E20AB0"/>
    <w:rsid w:val="00E24552"/>
    <w:rsid w:val="00E3128C"/>
    <w:rsid w:val="00E47960"/>
    <w:rsid w:val="00E64E20"/>
    <w:rsid w:val="00EA7916"/>
    <w:rsid w:val="00EC61DC"/>
    <w:rsid w:val="00EE54D6"/>
    <w:rsid w:val="00EF387D"/>
    <w:rsid w:val="00F03A87"/>
    <w:rsid w:val="00F042D8"/>
    <w:rsid w:val="00F16953"/>
    <w:rsid w:val="00F338CA"/>
    <w:rsid w:val="00F57DB1"/>
    <w:rsid w:val="00F928A1"/>
    <w:rsid w:val="00F93B78"/>
    <w:rsid w:val="00FA13E1"/>
    <w:rsid w:val="00FB6B2E"/>
    <w:rsid w:val="00FD05F0"/>
    <w:rsid w:val="01613BD4"/>
    <w:rsid w:val="04CB5436"/>
    <w:rsid w:val="0677462A"/>
    <w:rsid w:val="0696646E"/>
    <w:rsid w:val="098A2A12"/>
    <w:rsid w:val="0B435FB2"/>
    <w:rsid w:val="0B59338F"/>
    <w:rsid w:val="0BBCC17B"/>
    <w:rsid w:val="0C967D9D"/>
    <w:rsid w:val="0E983972"/>
    <w:rsid w:val="0F0D9A36"/>
    <w:rsid w:val="0F7D1ACC"/>
    <w:rsid w:val="0FC01FAE"/>
    <w:rsid w:val="0FE07C99"/>
    <w:rsid w:val="0FFD6A7F"/>
    <w:rsid w:val="120F0436"/>
    <w:rsid w:val="127F69D1"/>
    <w:rsid w:val="131D6963"/>
    <w:rsid w:val="13FD2870"/>
    <w:rsid w:val="14404821"/>
    <w:rsid w:val="154A1C1F"/>
    <w:rsid w:val="15635E09"/>
    <w:rsid w:val="15DC0F23"/>
    <w:rsid w:val="15DED206"/>
    <w:rsid w:val="15ED0E85"/>
    <w:rsid w:val="15EF2E56"/>
    <w:rsid w:val="176B62EA"/>
    <w:rsid w:val="176DC9C8"/>
    <w:rsid w:val="179A6EE5"/>
    <w:rsid w:val="17F1573D"/>
    <w:rsid w:val="183928AD"/>
    <w:rsid w:val="18893091"/>
    <w:rsid w:val="18F014CF"/>
    <w:rsid w:val="19BE6DB9"/>
    <w:rsid w:val="19D6C701"/>
    <w:rsid w:val="1A1D5107"/>
    <w:rsid w:val="1B6F58CC"/>
    <w:rsid w:val="1B7F513E"/>
    <w:rsid w:val="1D3CF525"/>
    <w:rsid w:val="1D8B3900"/>
    <w:rsid w:val="1D905B28"/>
    <w:rsid w:val="1FA629C9"/>
    <w:rsid w:val="1FAA7457"/>
    <w:rsid w:val="1FCF6E51"/>
    <w:rsid w:val="1FDD7F69"/>
    <w:rsid w:val="1FE942AA"/>
    <w:rsid w:val="1FEF60EB"/>
    <w:rsid w:val="211143D4"/>
    <w:rsid w:val="226B19C5"/>
    <w:rsid w:val="23A03AC3"/>
    <w:rsid w:val="24156E6D"/>
    <w:rsid w:val="24D3011E"/>
    <w:rsid w:val="24F93C7B"/>
    <w:rsid w:val="255E0A8E"/>
    <w:rsid w:val="260F4F31"/>
    <w:rsid w:val="265D2BC1"/>
    <w:rsid w:val="26783521"/>
    <w:rsid w:val="29A20E7A"/>
    <w:rsid w:val="2A0A5CA5"/>
    <w:rsid w:val="2A832F54"/>
    <w:rsid w:val="2B9845BD"/>
    <w:rsid w:val="2BDF4867"/>
    <w:rsid w:val="2CDD5A1E"/>
    <w:rsid w:val="2F006988"/>
    <w:rsid w:val="2FDD783D"/>
    <w:rsid w:val="2FEB25B9"/>
    <w:rsid w:val="2FF40B87"/>
    <w:rsid w:val="331E1C43"/>
    <w:rsid w:val="33250DA7"/>
    <w:rsid w:val="33381A64"/>
    <w:rsid w:val="333B1A20"/>
    <w:rsid w:val="3346144A"/>
    <w:rsid w:val="352B50A0"/>
    <w:rsid w:val="357805E9"/>
    <w:rsid w:val="35EF0CDA"/>
    <w:rsid w:val="36BFB3F0"/>
    <w:rsid w:val="379071E8"/>
    <w:rsid w:val="37F1C378"/>
    <w:rsid w:val="37F2ACE0"/>
    <w:rsid w:val="385B70D3"/>
    <w:rsid w:val="38C1386D"/>
    <w:rsid w:val="38C53A54"/>
    <w:rsid w:val="39C07259"/>
    <w:rsid w:val="39FE9125"/>
    <w:rsid w:val="3A32057B"/>
    <w:rsid w:val="3B1C30C1"/>
    <w:rsid w:val="3BC80F48"/>
    <w:rsid w:val="3CF3F18F"/>
    <w:rsid w:val="3CF66215"/>
    <w:rsid w:val="3D91272F"/>
    <w:rsid w:val="3E3B4B9A"/>
    <w:rsid w:val="3EDFFDD7"/>
    <w:rsid w:val="3EFE8537"/>
    <w:rsid w:val="3EFFF3B9"/>
    <w:rsid w:val="3F552175"/>
    <w:rsid w:val="3FC58DE1"/>
    <w:rsid w:val="3FCD054E"/>
    <w:rsid w:val="3FDEB191"/>
    <w:rsid w:val="3FFE40FE"/>
    <w:rsid w:val="3FFF535B"/>
    <w:rsid w:val="3FFF7D16"/>
    <w:rsid w:val="40371994"/>
    <w:rsid w:val="40A871F9"/>
    <w:rsid w:val="40CF6F37"/>
    <w:rsid w:val="40EA2B5B"/>
    <w:rsid w:val="418F6801"/>
    <w:rsid w:val="41C60C6A"/>
    <w:rsid w:val="42737628"/>
    <w:rsid w:val="42E1372D"/>
    <w:rsid w:val="432F2A25"/>
    <w:rsid w:val="4381328C"/>
    <w:rsid w:val="44632928"/>
    <w:rsid w:val="446B0539"/>
    <w:rsid w:val="44880841"/>
    <w:rsid w:val="4498692C"/>
    <w:rsid w:val="44AE0828"/>
    <w:rsid w:val="458A6F59"/>
    <w:rsid w:val="473F09FE"/>
    <w:rsid w:val="47B696C2"/>
    <w:rsid w:val="484429DD"/>
    <w:rsid w:val="487E524B"/>
    <w:rsid w:val="48C174BD"/>
    <w:rsid w:val="49BA37D6"/>
    <w:rsid w:val="49E110D4"/>
    <w:rsid w:val="4AA3F894"/>
    <w:rsid w:val="4BBD122F"/>
    <w:rsid w:val="4C045AEA"/>
    <w:rsid w:val="4C6D25C3"/>
    <w:rsid w:val="4DC7227A"/>
    <w:rsid w:val="4ECF66D6"/>
    <w:rsid w:val="4EDF038A"/>
    <w:rsid w:val="4F425205"/>
    <w:rsid w:val="4FC70FDB"/>
    <w:rsid w:val="4FE38120"/>
    <w:rsid w:val="4FFFE15E"/>
    <w:rsid w:val="5035253A"/>
    <w:rsid w:val="50EA28EC"/>
    <w:rsid w:val="50FD067B"/>
    <w:rsid w:val="5114741D"/>
    <w:rsid w:val="52930939"/>
    <w:rsid w:val="53B9E3EF"/>
    <w:rsid w:val="53FC063E"/>
    <w:rsid w:val="54FB4DD9"/>
    <w:rsid w:val="55BF636C"/>
    <w:rsid w:val="56086CDA"/>
    <w:rsid w:val="56C32B2F"/>
    <w:rsid w:val="57ED7A50"/>
    <w:rsid w:val="57F6038C"/>
    <w:rsid w:val="57FF4525"/>
    <w:rsid w:val="581E2937"/>
    <w:rsid w:val="59EF257C"/>
    <w:rsid w:val="5A391736"/>
    <w:rsid w:val="5A5F21B3"/>
    <w:rsid w:val="5A7B7267"/>
    <w:rsid w:val="5A9FCA4E"/>
    <w:rsid w:val="5AFF9A2B"/>
    <w:rsid w:val="5AFFACAA"/>
    <w:rsid w:val="5AFFDC77"/>
    <w:rsid w:val="5AFFFB1F"/>
    <w:rsid w:val="5BBFC4AF"/>
    <w:rsid w:val="5BFFC9F6"/>
    <w:rsid w:val="5C7E3043"/>
    <w:rsid w:val="5CB62334"/>
    <w:rsid w:val="5DB91D72"/>
    <w:rsid w:val="5DEB58A6"/>
    <w:rsid w:val="5DFE2FE4"/>
    <w:rsid w:val="5E557142"/>
    <w:rsid w:val="5E6F6D8C"/>
    <w:rsid w:val="5E7CE393"/>
    <w:rsid w:val="5EC60A34"/>
    <w:rsid w:val="5ED076FF"/>
    <w:rsid w:val="5ED6296C"/>
    <w:rsid w:val="5EFACEF6"/>
    <w:rsid w:val="5EFF1ECB"/>
    <w:rsid w:val="5F05951A"/>
    <w:rsid w:val="5F536C81"/>
    <w:rsid w:val="5F6FFCDB"/>
    <w:rsid w:val="5F7D9102"/>
    <w:rsid w:val="5FD7CB30"/>
    <w:rsid w:val="60795450"/>
    <w:rsid w:val="641B152A"/>
    <w:rsid w:val="644067EB"/>
    <w:rsid w:val="666B0969"/>
    <w:rsid w:val="677F7348"/>
    <w:rsid w:val="67DBC64A"/>
    <w:rsid w:val="67FFD878"/>
    <w:rsid w:val="69646CE2"/>
    <w:rsid w:val="69C940D0"/>
    <w:rsid w:val="69DBCF4B"/>
    <w:rsid w:val="69EB3CAF"/>
    <w:rsid w:val="6A2B33E9"/>
    <w:rsid w:val="6A9FF1F8"/>
    <w:rsid w:val="6B77A0BE"/>
    <w:rsid w:val="6BF04D41"/>
    <w:rsid w:val="6D7973F5"/>
    <w:rsid w:val="6DE720E5"/>
    <w:rsid w:val="6E007CB3"/>
    <w:rsid w:val="6E2854D0"/>
    <w:rsid w:val="6E59210B"/>
    <w:rsid w:val="6E7D89E6"/>
    <w:rsid w:val="6E922E13"/>
    <w:rsid w:val="6EF955CA"/>
    <w:rsid w:val="6EFD38CC"/>
    <w:rsid w:val="6F73012C"/>
    <w:rsid w:val="6FBD84C9"/>
    <w:rsid w:val="6FC5AE2B"/>
    <w:rsid w:val="6FD62238"/>
    <w:rsid w:val="6FDFB42F"/>
    <w:rsid w:val="6FF73AD7"/>
    <w:rsid w:val="70BE5BF4"/>
    <w:rsid w:val="70C56B49"/>
    <w:rsid w:val="71004FBA"/>
    <w:rsid w:val="735F8722"/>
    <w:rsid w:val="73D3066C"/>
    <w:rsid w:val="73E61BEA"/>
    <w:rsid w:val="73E70678"/>
    <w:rsid w:val="73ED1464"/>
    <w:rsid w:val="73F90C14"/>
    <w:rsid w:val="7423482E"/>
    <w:rsid w:val="744FF0DF"/>
    <w:rsid w:val="74AA1D62"/>
    <w:rsid w:val="74BF55FF"/>
    <w:rsid w:val="755B57E2"/>
    <w:rsid w:val="75BE28E7"/>
    <w:rsid w:val="75F6DA75"/>
    <w:rsid w:val="75FE69B1"/>
    <w:rsid w:val="76DEF340"/>
    <w:rsid w:val="76F87073"/>
    <w:rsid w:val="76FB2852"/>
    <w:rsid w:val="77607184"/>
    <w:rsid w:val="776F5474"/>
    <w:rsid w:val="777606D3"/>
    <w:rsid w:val="77F94E3E"/>
    <w:rsid w:val="77FA60DE"/>
    <w:rsid w:val="77FBB785"/>
    <w:rsid w:val="77FF1266"/>
    <w:rsid w:val="78BF25C3"/>
    <w:rsid w:val="78F74DD6"/>
    <w:rsid w:val="79BEA00C"/>
    <w:rsid w:val="7A7461FA"/>
    <w:rsid w:val="7A976506"/>
    <w:rsid w:val="7A9B54CD"/>
    <w:rsid w:val="7B430CC6"/>
    <w:rsid w:val="7B6F11BA"/>
    <w:rsid w:val="7B7553F8"/>
    <w:rsid w:val="7B8E28EF"/>
    <w:rsid w:val="7BB7FAA3"/>
    <w:rsid w:val="7BC5BF0B"/>
    <w:rsid w:val="7BD6E39B"/>
    <w:rsid w:val="7BEF0C62"/>
    <w:rsid w:val="7BFE30BF"/>
    <w:rsid w:val="7C5101A1"/>
    <w:rsid w:val="7CFE165D"/>
    <w:rsid w:val="7D7B9F74"/>
    <w:rsid w:val="7D7BBF7D"/>
    <w:rsid w:val="7DB80018"/>
    <w:rsid w:val="7DDA3A84"/>
    <w:rsid w:val="7DDDA110"/>
    <w:rsid w:val="7DE71063"/>
    <w:rsid w:val="7DFEAD35"/>
    <w:rsid w:val="7DFEF6A2"/>
    <w:rsid w:val="7DFF6363"/>
    <w:rsid w:val="7E315694"/>
    <w:rsid w:val="7E7E49DB"/>
    <w:rsid w:val="7ED89AB5"/>
    <w:rsid w:val="7EDEFF38"/>
    <w:rsid w:val="7EEA4E57"/>
    <w:rsid w:val="7EEB174B"/>
    <w:rsid w:val="7EF536C1"/>
    <w:rsid w:val="7EF73691"/>
    <w:rsid w:val="7EF93DAE"/>
    <w:rsid w:val="7EFF52BF"/>
    <w:rsid w:val="7EFF8FFA"/>
    <w:rsid w:val="7F23332C"/>
    <w:rsid w:val="7F3B0C37"/>
    <w:rsid w:val="7F4EC562"/>
    <w:rsid w:val="7F5FB169"/>
    <w:rsid w:val="7F762D30"/>
    <w:rsid w:val="7F76D57C"/>
    <w:rsid w:val="7F7F7483"/>
    <w:rsid w:val="7F7FA5EB"/>
    <w:rsid w:val="7F94603B"/>
    <w:rsid w:val="7FA9631E"/>
    <w:rsid w:val="7FB2BF8F"/>
    <w:rsid w:val="7FD6FFCB"/>
    <w:rsid w:val="7FDD2680"/>
    <w:rsid w:val="7FDEF311"/>
    <w:rsid w:val="7FE7A4F7"/>
    <w:rsid w:val="7FEB9A9E"/>
    <w:rsid w:val="7FF07188"/>
    <w:rsid w:val="7FF18108"/>
    <w:rsid w:val="7FFB4369"/>
    <w:rsid w:val="7FFBCFFD"/>
    <w:rsid w:val="7FFF2EBB"/>
    <w:rsid w:val="7FFFA487"/>
    <w:rsid w:val="7FFFABF1"/>
    <w:rsid w:val="83BF85E0"/>
    <w:rsid w:val="87FB865A"/>
    <w:rsid w:val="89DE47CF"/>
    <w:rsid w:val="8BFFBE51"/>
    <w:rsid w:val="8CF51B55"/>
    <w:rsid w:val="947C1874"/>
    <w:rsid w:val="97B75816"/>
    <w:rsid w:val="97FC1BD7"/>
    <w:rsid w:val="97FF58D1"/>
    <w:rsid w:val="9B7F1D64"/>
    <w:rsid w:val="9BFF3DB5"/>
    <w:rsid w:val="9E7F268E"/>
    <w:rsid w:val="9FDF185F"/>
    <w:rsid w:val="9FDF8718"/>
    <w:rsid w:val="9FFC1572"/>
    <w:rsid w:val="9FFFCA4D"/>
    <w:rsid w:val="A24D2ADF"/>
    <w:rsid w:val="A3B72A55"/>
    <w:rsid w:val="A79B8B09"/>
    <w:rsid w:val="AB76688A"/>
    <w:rsid w:val="ABDD6FF3"/>
    <w:rsid w:val="ABDFD7BC"/>
    <w:rsid w:val="ABF65298"/>
    <w:rsid w:val="ABFE5841"/>
    <w:rsid w:val="ACB7E87D"/>
    <w:rsid w:val="ADEFDD6E"/>
    <w:rsid w:val="AFD73C6F"/>
    <w:rsid w:val="AFDF877B"/>
    <w:rsid w:val="AFE79012"/>
    <w:rsid w:val="B3FFCC7F"/>
    <w:rsid w:val="B52E44BE"/>
    <w:rsid w:val="B57904B8"/>
    <w:rsid w:val="B6F7F68E"/>
    <w:rsid w:val="B7BF0FB7"/>
    <w:rsid w:val="B9DA4514"/>
    <w:rsid w:val="BA6AF5CC"/>
    <w:rsid w:val="BAAD808B"/>
    <w:rsid w:val="BB89527B"/>
    <w:rsid w:val="BBFE7D10"/>
    <w:rsid w:val="BBFFDC20"/>
    <w:rsid w:val="BCFFCFD2"/>
    <w:rsid w:val="BD7F6090"/>
    <w:rsid w:val="BD9D52D5"/>
    <w:rsid w:val="BDAF3382"/>
    <w:rsid w:val="BDFBC651"/>
    <w:rsid w:val="BDFEB072"/>
    <w:rsid w:val="BDFFA1FD"/>
    <w:rsid w:val="BE6F3F3E"/>
    <w:rsid w:val="BED34BF6"/>
    <w:rsid w:val="BEDF75D9"/>
    <w:rsid w:val="BEEBB25E"/>
    <w:rsid w:val="BEF1BFAC"/>
    <w:rsid w:val="BEFDA681"/>
    <w:rsid w:val="BF1F96CE"/>
    <w:rsid w:val="BF3CC995"/>
    <w:rsid w:val="BF76D433"/>
    <w:rsid w:val="BF7775BC"/>
    <w:rsid w:val="BF79CBBD"/>
    <w:rsid w:val="BF7D0B0F"/>
    <w:rsid w:val="BFDB19BA"/>
    <w:rsid w:val="BFDEA2B0"/>
    <w:rsid w:val="BFDFA538"/>
    <w:rsid w:val="BFEF5632"/>
    <w:rsid w:val="BFF5DE9E"/>
    <w:rsid w:val="BFFEE6AC"/>
    <w:rsid w:val="BFFFB1BD"/>
    <w:rsid w:val="C63F8ADC"/>
    <w:rsid w:val="C7D3BC05"/>
    <w:rsid w:val="CE9E0C65"/>
    <w:rsid w:val="CEC9910D"/>
    <w:rsid w:val="CEFE915B"/>
    <w:rsid w:val="CF5F2F77"/>
    <w:rsid w:val="CFB699DF"/>
    <w:rsid w:val="D57EA63E"/>
    <w:rsid w:val="D5DD5369"/>
    <w:rsid w:val="D9FED651"/>
    <w:rsid w:val="DAFF9A6E"/>
    <w:rsid w:val="DBDE07F6"/>
    <w:rsid w:val="DBF83EA6"/>
    <w:rsid w:val="DBFF5B19"/>
    <w:rsid w:val="DCCFF93E"/>
    <w:rsid w:val="DCFFA7A7"/>
    <w:rsid w:val="DDB6CC17"/>
    <w:rsid w:val="DDFF2372"/>
    <w:rsid w:val="DEB00FE2"/>
    <w:rsid w:val="DEBEF981"/>
    <w:rsid w:val="DEFF4F69"/>
    <w:rsid w:val="DEFFAF58"/>
    <w:rsid w:val="DF4FC666"/>
    <w:rsid w:val="DF5A0266"/>
    <w:rsid w:val="DF6FFE67"/>
    <w:rsid w:val="DF9F9F29"/>
    <w:rsid w:val="DFECC5BB"/>
    <w:rsid w:val="DFEE649C"/>
    <w:rsid w:val="DFF74BE9"/>
    <w:rsid w:val="DFF77895"/>
    <w:rsid w:val="DFF9C9BF"/>
    <w:rsid w:val="DFFB16B6"/>
    <w:rsid w:val="DFFF185C"/>
    <w:rsid w:val="DFFF551E"/>
    <w:rsid w:val="DFFF5649"/>
    <w:rsid w:val="E3FF5E0C"/>
    <w:rsid w:val="E77D912E"/>
    <w:rsid w:val="E7B383F5"/>
    <w:rsid w:val="E7F6CB3A"/>
    <w:rsid w:val="E7FF1284"/>
    <w:rsid w:val="E8E7D1CC"/>
    <w:rsid w:val="E9166B8F"/>
    <w:rsid w:val="EB66A675"/>
    <w:rsid w:val="EBCF65F4"/>
    <w:rsid w:val="EBF7702B"/>
    <w:rsid w:val="EBFF5581"/>
    <w:rsid w:val="EDF7B1E7"/>
    <w:rsid w:val="EDFBA8DB"/>
    <w:rsid w:val="EDFD18F1"/>
    <w:rsid w:val="EE93A016"/>
    <w:rsid w:val="EEEF23BE"/>
    <w:rsid w:val="EF15BAD1"/>
    <w:rsid w:val="EF69E45F"/>
    <w:rsid w:val="EF799889"/>
    <w:rsid w:val="EF9F622E"/>
    <w:rsid w:val="EFE9D562"/>
    <w:rsid w:val="EFEE5E12"/>
    <w:rsid w:val="EFFB6E45"/>
    <w:rsid w:val="EFFF58E8"/>
    <w:rsid w:val="EFFFFCE2"/>
    <w:rsid w:val="F1FC6998"/>
    <w:rsid w:val="F2EFBBD6"/>
    <w:rsid w:val="F2FF7744"/>
    <w:rsid w:val="F377B0A0"/>
    <w:rsid w:val="F3ED3765"/>
    <w:rsid w:val="F3F70970"/>
    <w:rsid w:val="F3FC410F"/>
    <w:rsid w:val="F5597A88"/>
    <w:rsid w:val="F5715BBD"/>
    <w:rsid w:val="F5CF7129"/>
    <w:rsid w:val="F736EE35"/>
    <w:rsid w:val="F75FBCCD"/>
    <w:rsid w:val="F77A0CD7"/>
    <w:rsid w:val="F77FD2EE"/>
    <w:rsid w:val="F7BE4F6D"/>
    <w:rsid w:val="F7BE59A1"/>
    <w:rsid w:val="F7DD15D6"/>
    <w:rsid w:val="F7F7032C"/>
    <w:rsid w:val="F7FF1DF6"/>
    <w:rsid w:val="F7FFA930"/>
    <w:rsid w:val="F8FDF04E"/>
    <w:rsid w:val="F9DB83E7"/>
    <w:rsid w:val="F9FB9CB8"/>
    <w:rsid w:val="F9FD8F71"/>
    <w:rsid w:val="FA524029"/>
    <w:rsid w:val="FA7D7CBF"/>
    <w:rsid w:val="FAF8AB86"/>
    <w:rsid w:val="FB595FF9"/>
    <w:rsid w:val="FB7B8E9C"/>
    <w:rsid w:val="FBD798B8"/>
    <w:rsid w:val="FBFA6F87"/>
    <w:rsid w:val="FBFD7C36"/>
    <w:rsid w:val="FBFF9D75"/>
    <w:rsid w:val="FCC32AA8"/>
    <w:rsid w:val="FD3A2AD2"/>
    <w:rsid w:val="FD95CE9B"/>
    <w:rsid w:val="FD9F2FEE"/>
    <w:rsid w:val="FDBA3B91"/>
    <w:rsid w:val="FDBC7B8D"/>
    <w:rsid w:val="FDBFA81C"/>
    <w:rsid w:val="FDEF492A"/>
    <w:rsid w:val="FDF7B207"/>
    <w:rsid w:val="FDFAD1BC"/>
    <w:rsid w:val="FE4F6B8E"/>
    <w:rsid w:val="FEBE40F3"/>
    <w:rsid w:val="FEFB6991"/>
    <w:rsid w:val="FEFBCFC0"/>
    <w:rsid w:val="FF3FE2B2"/>
    <w:rsid w:val="FF6C31F5"/>
    <w:rsid w:val="FFA7E7C2"/>
    <w:rsid w:val="FFAF1DD8"/>
    <w:rsid w:val="FFB466B3"/>
    <w:rsid w:val="FFBC5731"/>
    <w:rsid w:val="FFDFD264"/>
    <w:rsid w:val="FFEBEE68"/>
    <w:rsid w:val="FFF586AB"/>
    <w:rsid w:val="FFF99683"/>
    <w:rsid w:val="FFFB907B"/>
    <w:rsid w:val="FFFE39A6"/>
    <w:rsid w:val="FFFF3538"/>
    <w:rsid w:val="FFFF94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3"/>
    <w:qFormat/>
    <w:uiPriority w:val="9"/>
    <w:pPr>
      <w:keepNext/>
      <w:keepLines/>
      <w:jc w:val="center"/>
      <w:outlineLvl w:val="0"/>
    </w:pPr>
    <w:rPr>
      <w:rFonts w:eastAsia="方正小标宋简体"/>
      <w:b/>
      <w:bCs/>
      <w:kern w:val="44"/>
      <w:sz w:val="44"/>
      <w:szCs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b/>
    </w:rPr>
  </w:style>
  <w:style w:type="paragraph" w:styleId="6">
    <w:name w:val="heading 3"/>
    <w:basedOn w:val="1"/>
    <w:next w:val="1"/>
    <w:link w:val="39"/>
    <w:qFormat/>
    <w:uiPriority w:val="9"/>
    <w:pPr>
      <w:keepNext/>
      <w:keepLines/>
      <w:spacing w:before="120" w:after="120" w:line="360" w:lineRule="auto"/>
      <w:outlineLvl w:val="2"/>
    </w:pPr>
    <w:rPr>
      <w:b/>
      <w:bCs/>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560" w:lineRule="exact"/>
    </w:pPr>
    <w:rPr>
      <w:rFonts w:ascii="Times New Roman" w:hAnsi="Times New Roman" w:eastAsia="仿宋_GB2312"/>
      <w:kern w:val="0"/>
      <w:sz w:val="32"/>
      <w:szCs w:val="24"/>
    </w:rPr>
  </w:style>
  <w:style w:type="paragraph" w:styleId="3">
    <w:name w:val="Body Text First Indent"/>
    <w:basedOn w:val="2"/>
    <w:next w:val="2"/>
    <w:qFormat/>
    <w:uiPriority w:val="0"/>
    <w:pPr>
      <w:ind w:firstLine="200" w:firstLineChars="200"/>
    </w:pPr>
    <w:rPr>
      <w:rFonts w:ascii="宋体" w:hAnsi="宋体"/>
    </w:rPr>
  </w:style>
  <w:style w:type="paragraph" w:styleId="7">
    <w:name w:val="Normal Indent"/>
    <w:basedOn w:val="1"/>
    <w:next w:val="1"/>
    <w:unhideWhenUsed/>
    <w:qFormat/>
    <w:uiPriority w:val="0"/>
    <w:pPr>
      <w:ind w:firstLine="420" w:firstLineChars="200"/>
    </w:pPr>
  </w:style>
  <w:style w:type="paragraph" w:styleId="8">
    <w:name w:val="caption"/>
    <w:basedOn w:val="1"/>
    <w:next w:val="1"/>
    <w:qFormat/>
    <w:uiPriority w:val="35"/>
    <w:rPr>
      <w:rFonts w:ascii="Cambria" w:hAnsi="Cambria" w:eastAsia="黑体"/>
      <w:sz w:val="20"/>
      <w:szCs w:val="20"/>
    </w:rPr>
  </w:style>
  <w:style w:type="paragraph" w:styleId="9">
    <w:name w:val="annotation text"/>
    <w:qFormat/>
    <w:uiPriority w:val="0"/>
    <w:pPr>
      <w:widowControl w:val="0"/>
      <w:jc w:val="left"/>
    </w:pPr>
    <w:rPr>
      <w:rFonts w:ascii="仿宋" w:hAnsi="Times New Roman" w:eastAsia="仿宋" w:cs="Times New Roman"/>
      <w:kern w:val="2"/>
      <w:sz w:val="32"/>
      <w:szCs w:val="24"/>
      <w:lang w:val="en-US" w:eastAsia="zh-CN" w:bidi="ar-SA"/>
    </w:rPr>
  </w:style>
  <w:style w:type="paragraph" w:styleId="10">
    <w:name w:val="Salutation"/>
    <w:basedOn w:val="1"/>
    <w:next w:val="1"/>
    <w:unhideWhenUsed/>
    <w:qFormat/>
    <w:uiPriority w:val="99"/>
    <w:rPr>
      <w:rFonts w:eastAsia="PMingLiU" w:cs="Calibri"/>
      <w:sz w:val="28"/>
      <w:szCs w:val="28"/>
      <w:lang w:eastAsia="zh-TW"/>
    </w:rPr>
  </w:style>
  <w:style w:type="paragraph" w:styleId="11">
    <w:name w:val="Body Text Indent"/>
    <w:basedOn w:val="1"/>
    <w:next w:val="1"/>
    <w:unhideWhenUsed/>
    <w:qFormat/>
    <w:uiPriority w:val="99"/>
    <w:pPr>
      <w:spacing w:after="120"/>
      <w:ind w:left="420" w:leftChars="200"/>
    </w:pPr>
  </w:style>
  <w:style w:type="paragraph" w:styleId="12">
    <w:name w:val="toc 3"/>
    <w:basedOn w:val="1"/>
    <w:next w:val="1"/>
    <w:unhideWhenUsed/>
    <w:qFormat/>
    <w:uiPriority w:val="39"/>
    <w:pPr>
      <w:ind w:left="840" w:leftChars="400"/>
    </w:pPr>
  </w:style>
  <w:style w:type="paragraph" w:styleId="13">
    <w:name w:val="Plain Text"/>
    <w:basedOn w:val="1"/>
    <w:next w:val="14"/>
    <w:qFormat/>
    <w:uiPriority w:val="0"/>
    <w:rPr>
      <w:rFonts w:ascii="宋体" w:hAnsi="Courier New" w:eastAsia="宋体" w:cs="Courier New"/>
      <w:sz w:val="21"/>
      <w:szCs w:val="21"/>
    </w:rPr>
  </w:style>
  <w:style w:type="paragraph" w:styleId="14">
    <w:name w:val="List Number 5"/>
    <w:basedOn w:val="1"/>
    <w:qFormat/>
    <w:uiPriority w:val="0"/>
    <w:pPr>
      <w:numPr>
        <w:ilvl w:val="0"/>
        <w:numId w:val="1"/>
      </w:numPr>
    </w:pPr>
  </w:style>
  <w:style w:type="paragraph" w:styleId="15">
    <w:name w:val="Date"/>
    <w:basedOn w:val="1"/>
    <w:next w:val="1"/>
    <w:link w:val="37"/>
    <w:qFormat/>
    <w:uiPriority w:val="0"/>
    <w:pPr>
      <w:ind w:left="100" w:leftChars="2500"/>
    </w:pPr>
  </w:style>
  <w:style w:type="paragraph" w:styleId="16">
    <w:name w:val="footer"/>
    <w:basedOn w:val="1"/>
    <w:link w:val="33"/>
    <w:qFormat/>
    <w:uiPriority w:val="0"/>
    <w:pPr>
      <w:tabs>
        <w:tab w:val="center" w:pos="4153"/>
        <w:tab w:val="right" w:pos="8306"/>
      </w:tabs>
      <w:snapToGrid w:val="0"/>
      <w:jc w:val="left"/>
    </w:pPr>
    <w:rPr>
      <w:sz w:val="18"/>
      <w:szCs w:val="18"/>
    </w:rPr>
  </w:style>
  <w:style w:type="paragraph" w:styleId="17">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538"/>
      </w:tabs>
      <w:adjustRightInd/>
      <w:spacing w:after="100" w:line="276" w:lineRule="auto"/>
      <w:jc w:val="center"/>
    </w:pPr>
    <w:rPr>
      <w:rFonts w:ascii="黑体" w:hAnsi="黑体" w:eastAsia="黑体"/>
      <w:color w:val="000000"/>
      <w:sz w:val="24"/>
      <w:szCs w:val="24"/>
    </w:rPr>
  </w:style>
  <w:style w:type="paragraph" w:styleId="19">
    <w:name w:val="toc 2"/>
    <w:basedOn w:val="1"/>
    <w:next w:val="1"/>
    <w:unhideWhenUsed/>
    <w:qFormat/>
    <w:uiPriority w:val="39"/>
    <w:pPr>
      <w:adjustRightInd/>
      <w:spacing w:after="100" w:line="276" w:lineRule="auto"/>
      <w:ind w:left="220"/>
    </w:pPr>
    <w:rPr>
      <w:rFonts w:ascii="Calibri" w:hAnsi="Calibri" w:eastAsia="宋体"/>
    </w:rPr>
  </w:style>
  <w:style w:type="paragraph" w:styleId="20">
    <w:name w:val="Body Text 2"/>
    <w:unhideWhenUsed/>
    <w:qFormat/>
    <w:uiPriority w:val="0"/>
    <w:pPr>
      <w:widowControl w:val="0"/>
      <w:autoSpaceDE w:val="0"/>
      <w:autoSpaceDN w:val="0"/>
      <w:adjustRightInd w:val="0"/>
      <w:jc w:val="both"/>
    </w:pPr>
    <w:rPr>
      <w:rFonts w:ascii="Calibri" w:hAnsi="Calibri" w:eastAsia="宋体" w:cs="Times New Roman"/>
      <w:spacing w:val="20"/>
      <w:kern w:val="0"/>
      <w:sz w:val="21"/>
      <w:szCs w:val="20"/>
      <w:lang w:val="en-US" w:eastAsia="zh-CN" w:bidi="ar-SA"/>
    </w:rPr>
  </w:style>
  <w:style w:type="paragraph" w:styleId="21">
    <w:name w:val="Normal (Web)"/>
    <w:basedOn w:val="1"/>
    <w:unhideWhenUsed/>
    <w:qFormat/>
    <w:uiPriority w:val="99"/>
    <w:pPr>
      <w:spacing w:beforeAutospacing="1" w:afterAutospacing="1"/>
      <w:jc w:val="left"/>
    </w:pPr>
    <w:rPr>
      <w:sz w:val="24"/>
    </w:rPr>
  </w:style>
  <w:style w:type="paragraph" w:styleId="22">
    <w:name w:val="Title"/>
    <w:basedOn w:val="1"/>
    <w:next w:val="1"/>
    <w:link w:val="35"/>
    <w:qFormat/>
    <w:uiPriority w:val="0"/>
    <w:pPr>
      <w:spacing w:before="240" w:after="60"/>
      <w:jc w:val="center"/>
      <w:outlineLvl w:val="0"/>
    </w:pPr>
    <w:rPr>
      <w:rFonts w:ascii="Calibri Light" w:hAnsi="Calibri Light" w:cs="Times New Roman"/>
      <w:b/>
      <w:bCs/>
      <w:sz w:val="32"/>
      <w:szCs w:val="32"/>
    </w:rPr>
  </w:style>
  <w:style w:type="paragraph" w:styleId="23">
    <w:name w:val="Body Text First Indent 2"/>
    <w:basedOn w:val="11"/>
    <w:next w:val="11"/>
    <w:unhideWhenUsed/>
    <w:qFormat/>
    <w:uiPriority w:val="99"/>
    <w:pPr>
      <w:ind w:firstLine="420" w:firstLineChars="200"/>
    </w:p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6">
    <w:name w:val="Light Shading Accent 3"/>
    <w:basedOn w:val="24"/>
    <w:qFormat/>
    <w:uiPriority w:val="60"/>
    <w:rPr>
      <w:color w:val="7B7B7B"/>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sz="8" w:space="0"/>
          <w:left w:val="nil"/>
          <w:bottom w:val="single" w:color="A5A5A5" w:sz="8" w:space="0"/>
          <w:right w:val="nil"/>
          <w:insideH w:val="nil"/>
          <w:insideV w:val="nil"/>
        </w:tcBorders>
      </w:tcPr>
    </w:tblStylePr>
    <w:tblStylePr w:type="lastRow">
      <w:pPr>
        <w:spacing w:before="0" w:after="0" w:line="240" w:lineRule="auto"/>
      </w:pPr>
      <w:rPr>
        <w:b/>
        <w:bCs/>
      </w:rPr>
      <w:tblPr/>
      <w:tcPr>
        <w:tcBorders>
          <w:top w:val="single" w:color="A5A5A5" w:sz="8" w:space="0"/>
          <w:left w:val="nil"/>
          <w:bottom w:val="single" w:color="A5A5A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unhideWhenUsed/>
    <w:qFormat/>
    <w:uiPriority w:val="99"/>
    <w:rPr>
      <w:color w:val="0000FF"/>
      <w:u w:val="single"/>
    </w:rPr>
  </w:style>
  <w:style w:type="paragraph" w:customStyle="1" w:styleId="31">
    <w:name w:val="TOC 标题1"/>
    <w:basedOn w:val="4"/>
    <w:next w:val="1"/>
    <w:qFormat/>
    <w:uiPriority w:val="0"/>
    <w:pPr>
      <w:spacing w:before="480" w:line="276" w:lineRule="auto"/>
      <w:outlineLvl w:val="9"/>
    </w:pPr>
    <w:rPr>
      <w:rFonts w:ascii="仿宋" w:hAnsi="仿宋" w:eastAsia="仿宋"/>
      <w:color w:val="000000"/>
      <w:kern w:val="0"/>
      <w:szCs w:val="32"/>
    </w:rPr>
  </w:style>
  <w:style w:type="character" w:customStyle="1" w:styleId="32">
    <w:name w:val="页眉 Char"/>
    <w:basedOn w:val="27"/>
    <w:link w:val="17"/>
    <w:qFormat/>
    <w:uiPriority w:val="0"/>
    <w:rPr>
      <w:rFonts w:ascii="Times New Roman" w:hAnsi="Times New Roman" w:eastAsia="宋体" w:cs="Times New Roman"/>
      <w:kern w:val="2"/>
      <w:sz w:val="18"/>
      <w:szCs w:val="18"/>
    </w:rPr>
  </w:style>
  <w:style w:type="character" w:customStyle="1" w:styleId="33">
    <w:name w:val="页脚 Char"/>
    <w:basedOn w:val="27"/>
    <w:link w:val="16"/>
    <w:qFormat/>
    <w:uiPriority w:val="0"/>
    <w:rPr>
      <w:rFonts w:ascii="Times New Roman" w:hAnsi="Times New Roman" w:eastAsia="宋体" w:cs="Times New Roman"/>
      <w:kern w:val="2"/>
      <w:sz w:val="18"/>
      <w:szCs w:val="18"/>
    </w:rPr>
  </w:style>
  <w:style w:type="character" w:customStyle="1" w:styleId="34">
    <w:name w:val="不明显强调1"/>
    <w:basedOn w:val="27"/>
    <w:qFormat/>
    <w:uiPriority w:val="19"/>
    <w:rPr>
      <w:i/>
      <w:iCs/>
      <w:color w:val="7F7F7F"/>
    </w:rPr>
  </w:style>
  <w:style w:type="character" w:customStyle="1" w:styleId="35">
    <w:name w:val="标题 Char"/>
    <w:basedOn w:val="27"/>
    <w:link w:val="22"/>
    <w:qFormat/>
    <w:uiPriority w:val="0"/>
    <w:rPr>
      <w:rFonts w:ascii="Calibri Light" w:hAnsi="Calibri Light" w:eastAsia="宋体" w:cs="Times New Roman"/>
      <w:b/>
      <w:bCs/>
      <w:kern w:val="2"/>
      <w:sz w:val="32"/>
      <w:szCs w:val="32"/>
    </w:rPr>
  </w:style>
  <w:style w:type="paragraph" w:styleId="36">
    <w:name w:val="List Paragraph"/>
    <w:basedOn w:val="1"/>
    <w:unhideWhenUsed/>
    <w:qFormat/>
    <w:uiPriority w:val="99"/>
    <w:pPr>
      <w:ind w:firstLine="420" w:firstLineChars="200"/>
    </w:pPr>
  </w:style>
  <w:style w:type="character" w:customStyle="1" w:styleId="37">
    <w:name w:val="日期 Char"/>
    <w:basedOn w:val="27"/>
    <w:link w:val="15"/>
    <w:qFormat/>
    <w:uiPriority w:val="0"/>
    <w:rPr>
      <w:rFonts w:ascii="Times New Roman" w:hAnsi="Times New Roman" w:eastAsia="宋体" w:cs="Times New Roman"/>
      <w:kern w:val="2"/>
      <w:sz w:val="21"/>
    </w:rPr>
  </w:style>
  <w:style w:type="paragraph" w:customStyle="1" w:styleId="38">
    <w:name w:val="TOC Heading"/>
    <w:basedOn w:val="4"/>
    <w:next w:val="1"/>
    <w:unhideWhenUsed/>
    <w:qFormat/>
    <w:uiPriority w:val="39"/>
    <w:pPr>
      <w:widowControl/>
      <w:adjustRightInd/>
      <w:spacing w:before="240" w:after="0" w:line="259" w:lineRule="auto"/>
      <w:ind w:firstLine="0" w:firstLineChars="0"/>
      <w:jc w:val="left"/>
      <w:outlineLvl w:val="9"/>
    </w:pPr>
    <w:rPr>
      <w:rFonts w:ascii="Calibri Light" w:hAnsi="Calibri Light" w:eastAsia="宋体" w:cs="Times New Roman"/>
      <w:b w:val="0"/>
      <w:bCs w:val="0"/>
      <w:color w:val="2E75B5"/>
      <w:kern w:val="0"/>
      <w:sz w:val="32"/>
      <w:szCs w:val="32"/>
    </w:rPr>
  </w:style>
  <w:style w:type="character" w:customStyle="1" w:styleId="39">
    <w:name w:val="标题 3 字符"/>
    <w:link w:val="6"/>
    <w:qFormat/>
    <w:uiPriority w:val="9"/>
    <w:rPr>
      <w:b/>
      <w:bCs/>
      <w:szCs w:val="32"/>
    </w:rPr>
  </w:style>
  <w:style w:type="table" w:customStyle="1" w:styleId="40">
    <w:name w:val="Grid Table 4 Accent 5"/>
    <w:basedOn w:val="24"/>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41">
    <w:name w:val="Body Text First Indent 21"/>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42">
    <w:name w:val="表格文字"/>
    <w:basedOn w:val="1"/>
    <w:next w:val="2"/>
    <w:qFormat/>
    <w:uiPriority w:val="0"/>
    <w:pPr>
      <w:spacing w:line="360" w:lineRule="auto"/>
      <w:jc w:val="left"/>
    </w:pPr>
    <w:rPr>
      <w:rFonts w:ascii="Times New Roman" w:hAnsi="Times New Roman" w:cs="Times New Roman"/>
      <w:bCs/>
      <w:spacing w:val="10"/>
      <w:kern w:val="0"/>
      <w:sz w:val="21"/>
      <w:szCs w:val="20"/>
    </w:rPr>
  </w:style>
  <w:style w:type="character" w:customStyle="1" w:styleId="43">
    <w:name w:val="NormalCharacter"/>
    <w:semiHidden/>
    <w:qFormat/>
    <w:uiPriority w:val="0"/>
  </w:style>
  <w:style w:type="paragraph" w:customStyle="1" w:styleId="44">
    <w:name w:val="Normal"/>
    <w:basedOn w:val="1"/>
    <w:qFormat/>
    <w:uiPriority w:val="0"/>
    <w:pPr>
      <w:widowControl/>
    </w:pPr>
    <w:rPr>
      <w:rFonts w:ascii="仿宋" w:hAnsi="仿宋" w:cs="宋体"/>
    </w:rPr>
  </w:style>
  <w:style w:type="character" w:customStyle="1" w:styleId="45">
    <w:name w:val="无"/>
    <w:qFormat/>
    <w:uiPriority w:val="0"/>
  </w:style>
  <w:style w:type="character" w:customStyle="1" w:styleId="46">
    <w:name w:val="15"/>
    <w:qFormat/>
    <w:uiPriority w:val="0"/>
    <w:rPr>
      <w:rFonts w:hint="eastAsia" w:ascii="黑体" w:hAnsi="黑体" w:eastAsia="黑体" w:cs="Times New Roman"/>
      <w:b/>
      <w:bCs/>
      <w:sz w:val="32"/>
      <w:szCs w:val="32"/>
    </w:rPr>
  </w:style>
  <w:style w:type="paragraph" w:customStyle="1" w:styleId="47">
    <w:name w:val="表格正文"/>
    <w:basedOn w:val="1"/>
    <w:qFormat/>
    <w:uiPriority w:val="0"/>
    <w:pPr>
      <w:spacing w:line="280" w:lineRule="exact"/>
    </w:pPr>
    <w:rPr>
      <w:rFonts w:ascii="Times New Roman" w:hAnsi="Times New Roman" w:eastAsia="仿宋_GB2312"/>
    </w:rPr>
  </w:style>
  <w:style w:type="character" w:customStyle="1" w:styleId="48">
    <w:name w:val="font41"/>
    <w:qFormat/>
    <w:uiPriority w:val="0"/>
    <w:rPr>
      <w:rFonts w:hint="eastAsia" w:ascii="仿宋_GB2312" w:eastAsia="仿宋_GB2312" w:cs="仿宋_GB2312"/>
      <w:color w:val="000000"/>
      <w:sz w:val="22"/>
      <w:szCs w:val="22"/>
      <w:u w:val="none"/>
    </w:rPr>
  </w:style>
  <w:style w:type="character" w:customStyle="1" w:styleId="49">
    <w:name w:val="font01"/>
    <w:qFormat/>
    <w:uiPriority w:val="0"/>
    <w:rPr>
      <w:rFonts w:hint="default" w:ascii="Times New Roman" w:hAnsi="Times New Roman" w:cs="Times New Roman"/>
      <w:color w:val="000000"/>
      <w:sz w:val="22"/>
      <w:szCs w:val="22"/>
      <w:u w:val="none"/>
    </w:rPr>
  </w:style>
  <w:style w:type="paragraph" w:customStyle="1" w:styleId="50">
    <w:name w:val="样式1"/>
    <w:basedOn w:val="51"/>
    <w:next w:val="52"/>
    <w:qFormat/>
    <w:uiPriority w:val="0"/>
  </w:style>
  <w:style w:type="paragraph" w:customStyle="1" w:styleId="51">
    <w:name w:val="正文文本1"/>
    <w:basedOn w:val="1"/>
    <w:qFormat/>
    <w:uiPriority w:val="0"/>
    <w:pPr>
      <w:shd w:val="clear" w:color="auto" w:fill="FFFFFF"/>
      <w:spacing w:line="398" w:lineRule="auto"/>
      <w:ind w:firstLine="400"/>
      <w:jc w:val="left"/>
    </w:pPr>
    <w:rPr>
      <w:rFonts w:ascii="MingLiU" w:hAnsi="MingLiU" w:eastAsia="MingLiU" w:cs="MingLiU"/>
      <w:sz w:val="30"/>
      <w:szCs w:val="30"/>
      <w:lang w:val="zh-CN" w:bidi="zh-CN"/>
    </w:rPr>
  </w:style>
  <w:style w:type="paragraph" w:customStyle="1" w:styleId="52">
    <w:name w:val="样式2"/>
    <w:basedOn w:val="1"/>
    <w:qFormat/>
    <w:uiPriority w:val="0"/>
    <w:rPr>
      <w:rFonts w:ascii="Calibri" w:hAnsi="Calibri"/>
    </w:rPr>
  </w:style>
  <w:style w:type="character" w:customStyle="1" w:styleId="53">
    <w:name w:val="标题 1 字符"/>
    <w:link w:val="4"/>
    <w:unhideWhenUsed/>
    <w:qFormat/>
    <w:uiPriority w:val="9"/>
    <w:rPr>
      <w:rFonts w:eastAsia="方正小标宋简体"/>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6351</Words>
  <Characters>6812</Characters>
  <Lines>36</Lines>
  <Paragraphs>10</Paragraphs>
  <TotalTime>2</TotalTime>
  <ScaleCrop>false</ScaleCrop>
  <LinksUpToDate>false</LinksUpToDate>
  <CharactersWithSpaces>7101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2021-06-17T00:23:00Z</dcterms:created>
  <dc:creator>zlfzc515</dc:creator>
  <cp:lastModifiedBy>scjdglj</cp:lastModifiedBy>
  <cp:lastPrinted>2025-05-22T02:05:00Z</cp:lastPrinted>
  <dcterms:modified xsi:type="dcterms:W3CDTF">2025-05-21T13:47:07Z</dcterms:modified>
  <dc:title>新疆维吾尔自治区</dc:title>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1AB55574445E170129231C682E6FBC12</vt:lpwstr>
  </property>
  <property fmtid="{D5CDD505-2E9C-101B-9397-08002B2CF9AE}" pid="4" name="KSOSaveFontToCloudKey">
    <vt:lpwstr>548384859_btnclosed</vt:lpwstr>
  </property>
  <property fmtid="{D5CDD505-2E9C-101B-9397-08002B2CF9AE}" pid="5" name="发文机关标志">
    <vt:lpwstr>新质知强区办</vt:lpwstr>
  </property>
  <property fmtid="{D5CDD505-2E9C-101B-9397-08002B2CF9AE}" pid="6" name="KSOTemplateDocerSaveRecord">
    <vt:lpwstr>eyJoZGlkIjoiMzEwNTM5NzYwMDRjMzkwZTVkZjY2ODkwMGIxNGU0OTUiLCJ1c2VySWQiOiIxNjA1NTA3MDU4In0=</vt:lpwstr>
  </property>
</Properties>
</file>