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kern w:val="0"/>
          <w:sz w:val="24"/>
          <w:szCs w:val="24"/>
        </w:rPr>
      </w:pPr>
      <w:r>
        <w:pict>
          <v:shape id="图片 103" o:spid="_x0000_s1026" o:spt="75" type="#_x0000_t75" style="position:absolute;left:0pt;margin-left:301.35pt;margin-top:-6.3pt;height:76.5pt;width:155.25pt;z-index: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pict>
          <v:rect id="矩形 112" o:spid="_x0000_s1027" o:spt="1" style="position:absolute;left:0pt;margin-left:-5.4pt;margin-top:-23.35pt;height:31.2pt;width:498.75pt;z-index:251659264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p/>
              </w:txbxContent>
            </v:textbox>
          </v:rect>
        </w:pict>
      </w:r>
    </w:p>
    <w:p>
      <w:pPr>
        <w:jc w:val="center"/>
        <w:rPr>
          <w:rFonts w:ascii="方正大标宋简体" w:eastAsia="方正大标宋简体"/>
          <w:kern w:val="36"/>
          <w:sz w:val="52"/>
          <w:szCs w:val="52"/>
        </w:rPr>
      </w:pPr>
    </w:p>
    <w:p>
      <w:pPr>
        <w:spacing w:line="240" w:lineRule="exact"/>
        <w:jc w:val="center"/>
        <w:rPr>
          <w:rFonts w:ascii="方正大标宋简体" w:eastAsia="方正大标宋简体"/>
          <w:kern w:val="36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/>
          <w:bCs/>
          <w:kern w:val="36"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kern w:val="36"/>
          <w:sz w:val="52"/>
          <w:szCs w:val="52"/>
        </w:rPr>
        <w:t>新疆维吾尔自治区地方计量技术规范</w:t>
      </w:r>
    </w:p>
    <w:p>
      <w:pPr>
        <w:spacing w:line="700" w:lineRule="exact"/>
        <w:ind w:firstLine="4809" w:firstLineChars="2290"/>
        <w:rPr>
          <w:rFonts w:eastAsia="黑体"/>
          <w:b/>
          <w:bCs/>
          <w:sz w:val="28"/>
          <w:szCs w:val="28"/>
        </w:rPr>
      </w:pPr>
      <w:r>
        <w:pict>
          <v:line id="直线 104" o:spid="_x0000_s1028" o:spt="20" style="position:absolute;left:0pt;margin-left:9pt;margin-top:46.8pt;height:0.8pt;width:459pt;z-index:251656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eastAsia="黑体"/>
          <w:b/>
          <w:bCs/>
          <w:sz w:val="28"/>
          <w:szCs w:val="28"/>
        </w:rPr>
        <w:t>JJF</w:t>
      </w:r>
      <w:r>
        <w:rPr>
          <w:rFonts w:hint="eastAsia" w:eastAsia="黑体" w:cs="黑体"/>
          <w:b/>
          <w:bCs/>
          <w:sz w:val="28"/>
          <w:szCs w:val="28"/>
        </w:rPr>
        <w:t>（新）</w:t>
      </w:r>
      <w:r>
        <w:rPr>
          <w:rFonts w:eastAsia="黑体"/>
          <w:b/>
          <w:bCs/>
          <w:sz w:val="28"/>
          <w:szCs w:val="28"/>
        </w:rPr>
        <w:t>XX</w:t>
      </w:r>
      <w:r>
        <w:rPr>
          <w:rFonts w:hint="eastAsia" w:eastAsia="黑体" w:cs="黑体"/>
          <w:b/>
          <w:bCs/>
          <w:sz w:val="28"/>
          <w:szCs w:val="28"/>
        </w:rPr>
        <w:t>－</w:t>
      </w:r>
      <w:r>
        <w:rPr>
          <w:rFonts w:eastAsia="黑体"/>
          <w:b/>
          <w:bCs/>
          <w:sz w:val="28"/>
          <w:szCs w:val="28"/>
        </w:rPr>
        <w:t>XXXX</w:t>
      </w:r>
    </w:p>
    <w:p>
      <w:pPr>
        <w:spacing w:line="460" w:lineRule="exact"/>
        <w:rPr>
          <w:sz w:val="28"/>
          <w:szCs w:val="28"/>
        </w:rPr>
      </w:pPr>
    </w:p>
    <w:p/>
    <w:p/>
    <w:p/>
    <w:p/>
    <w:p/>
    <w:p/>
    <w:p/>
    <w:p>
      <w:pPr>
        <w:jc w:val="center"/>
        <w:rPr>
          <w:rFonts w:ascii="黑体" w:eastAsia="黑体"/>
          <w:b/>
          <w:bCs/>
          <w:color w:val="000000"/>
          <w:sz w:val="52"/>
          <w:szCs w:val="52"/>
        </w:rPr>
      </w:pPr>
      <w:r>
        <w:rPr>
          <w:rFonts w:hint="eastAsia" w:ascii="黑体" w:eastAsia="黑体" w:cs="黑体"/>
          <w:b/>
          <w:bCs/>
          <w:sz w:val="52"/>
          <w:szCs w:val="52"/>
        </w:rPr>
        <w:t>血凝分析仪校准规范</w:t>
      </w:r>
    </w:p>
    <w:p>
      <w:pPr>
        <w:spacing w:line="360" w:lineRule="auto"/>
        <w:ind w:firstLine="1994" w:firstLineChars="497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Calibration Specification for</w:t>
      </w:r>
    </w:p>
    <w:p>
      <w:pPr>
        <w:spacing w:line="360" w:lineRule="auto"/>
        <w:ind w:firstLine="594" w:firstLineChars="148"/>
        <w:rPr>
          <w:b/>
          <w:bCs/>
          <w:spacing w:val="40"/>
          <w:sz w:val="44"/>
          <w:szCs w:val="44"/>
        </w:rPr>
      </w:pPr>
      <w:r>
        <w:rPr>
          <w:b/>
          <w:bCs/>
          <w:spacing w:val="40"/>
          <w:sz w:val="32"/>
          <w:szCs w:val="32"/>
        </w:rPr>
        <w:t xml:space="preserve">        Coagulation analyzer</w:t>
      </w:r>
    </w:p>
    <w:p>
      <w:pPr>
        <w:spacing w:line="480" w:lineRule="auto"/>
        <w:jc w:val="center"/>
        <w:rPr>
          <w:rFonts w:eastAsia="黑体"/>
          <w:sz w:val="40"/>
          <w:szCs w:val="40"/>
        </w:rPr>
      </w:pPr>
    </w:p>
    <w:p>
      <w:pPr>
        <w:spacing w:line="480" w:lineRule="auto"/>
      </w:pPr>
    </w:p>
    <w:p/>
    <w:p/>
    <w:p/>
    <w:p/>
    <w:p/>
    <w:p/>
    <w:p/>
    <w:p/>
    <w:p/>
    <w:p>
      <w:pPr>
        <w:ind w:firstLine="562" w:firstLineChars="200"/>
        <w:rPr>
          <w:b/>
          <w:bCs/>
          <w:sz w:val="36"/>
          <w:szCs w:val="36"/>
        </w:rPr>
      </w:pPr>
      <w:r>
        <w:rPr>
          <w:rFonts w:ascii="黑体" w:eastAsia="黑体" w:cs="黑体"/>
          <w:b/>
          <w:bCs/>
          <w:sz w:val="28"/>
          <w:szCs w:val="28"/>
        </w:rPr>
        <w:t>XXXX-XX-XX</w:t>
      </w:r>
      <w:r>
        <w:rPr>
          <w:rFonts w:hint="eastAsia" w:ascii="黑体" w:eastAsia="黑体" w:cs="黑体"/>
          <w:b/>
          <w:bCs/>
          <w:sz w:val="28"/>
          <w:szCs w:val="28"/>
        </w:rPr>
        <w:t>发布</w:t>
      </w:r>
      <w:r>
        <w:rPr>
          <w:b/>
          <w:bCs/>
          <w:sz w:val="36"/>
          <w:szCs w:val="36"/>
        </w:rPr>
        <w:t xml:space="preserve">                     </w:t>
      </w:r>
      <w:r>
        <w:rPr>
          <w:rFonts w:ascii="黑体" w:eastAsia="黑体" w:cs="黑体"/>
          <w:b/>
          <w:bCs/>
          <w:sz w:val="28"/>
          <w:szCs w:val="28"/>
        </w:rPr>
        <w:t>XXXX-XX-XX</w:t>
      </w:r>
      <w:r>
        <w:rPr>
          <w:rFonts w:hint="eastAsia" w:ascii="黑体" w:eastAsia="黑体" w:cs="黑体"/>
          <w:b/>
          <w:bCs/>
          <w:sz w:val="28"/>
          <w:szCs w:val="28"/>
        </w:rPr>
        <w:t>实施</w:t>
      </w:r>
    </w:p>
    <w:p>
      <w:pPr>
        <w:spacing w:beforeLines="100"/>
        <w:ind w:firstLine="315" w:firstLineChars="150"/>
        <w:rPr>
          <w:rFonts w:eastAsia="黑体"/>
          <w:b/>
          <w:bCs/>
          <w:sz w:val="52"/>
          <w:szCs w:val="52"/>
        </w:rPr>
        <w:sectPr>
          <w:headerReference r:id="rId3" w:type="default"/>
          <w:footerReference r:id="rId4" w:type="default"/>
          <w:pgSz w:w="11906" w:h="16838"/>
          <w:pgMar w:top="1247" w:right="1418" w:bottom="1440" w:left="1418" w:header="851" w:footer="992" w:gutter="0"/>
          <w:pgNumType w:start="0"/>
          <w:cols w:space="720" w:num="1"/>
          <w:docGrid w:type="lines" w:linePitch="312" w:charSpace="0"/>
        </w:sectPr>
      </w:pPr>
      <w:r>
        <w:pict>
          <v:line id="直线 105" o:spid="_x0000_s1029" o:spt="20" style="position:absolute;left:0pt;margin-left:0pt;margin-top:3.6pt;height:0pt;width:468pt;z-index:25165721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新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疆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维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吾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尔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自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治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区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市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场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监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督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管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理</w:t>
      </w:r>
      <w:r>
        <w:rPr>
          <w:rFonts w:ascii="方正小标宋简体" w:eastAsia="方正小标宋简体" w:cs="方正小标宋简体"/>
          <w:b/>
          <w:bCs/>
          <w:sz w:val="32"/>
          <w:szCs w:val="32"/>
        </w:rPr>
        <w:t xml:space="preserve"> </w:t>
      </w:r>
      <w:r>
        <w:rPr>
          <w:rFonts w:hint="eastAsia" w:ascii="方正小标宋简体" w:eastAsia="方正小标宋简体" w:cs="方正小标宋简体"/>
          <w:b/>
          <w:bCs/>
          <w:sz w:val="32"/>
          <w:szCs w:val="32"/>
        </w:rPr>
        <w:t>局</w:t>
      </w:r>
      <w:r>
        <w:rPr>
          <w:rFonts w:ascii="方正大标宋简体" w:eastAsia="方正大标宋简体" w:cs="方正大标宋简体"/>
          <w:b/>
          <w:bCs/>
          <w:sz w:val="36"/>
          <w:szCs w:val="36"/>
        </w:rPr>
        <w:t xml:space="preserve">  </w:t>
      </w:r>
      <w:r>
        <w:rPr>
          <w:rFonts w:hint="eastAsia" w:ascii="黑体" w:eastAsia="黑体" w:cs="黑体"/>
          <w:b/>
          <w:bCs/>
          <w:sz w:val="28"/>
          <w:szCs w:val="28"/>
        </w:rPr>
        <w:t>发</w:t>
      </w:r>
      <w:r>
        <w:rPr>
          <w:rFonts w:ascii="黑体" w:eastAsia="黑体" w:cs="黑体"/>
          <w:b/>
          <w:bCs/>
          <w:sz w:val="28"/>
          <w:szCs w:val="28"/>
        </w:rPr>
        <w:t xml:space="preserve"> </w:t>
      </w:r>
      <w:r>
        <w:rPr>
          <w:rFonts w:hint="eastAsia" w:ascii="黑体" w:eastAsia="黑体" w:cs="黑体"/>
          <w:b/>
          <w:bCs/>
          <w:sz w:val="28"/>
          <w:szCs w:val="28"/>
        </w:rPr>
        <w:t>布</w:t>
      </w:r>
    </w:p>
    <w:p>
      <w:pPr>
        <w:rPr>
          <w:rFonts w:eastAsia="黑体"/>
          <w:sz w:val="44"/>
          <w:szCs w:val="44"/>
        </w:rPr>
      </w:pPr>
      <w:r>
        <w:pict>
          <v:rect id="矩形 115" o:spid="_x0000_s1030" o:spt="1" style="position:absolute;left:0pt;margin-left:-5.4pt;margin-top:-31.2pt;height:31.2pt;width:462pt;z-index:251660288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rPr>
          <w:rFonts w:hint="eastAsia" w:eastAsia="黑体" w:cs="黑体"/>
          <w:sz w:val="44"/>
          <w:szCs w:val="44"/>
        </w:rPr>
        <w:t>血凝分析仪</w:t>
      </w:r>
    </w:p>
    <w:p>
      <w:pPr>
        <w:spacing w:line="360" w:lineRule="auto"/>
        <w:rPr>
          <w:rFonts w:eastAsia="黑体"/>
          <w:b/>
          <w:bCs/>
          <w:sz w:val="44"/>
          <w:szCs w:val="44"/>
        </w:rPr>
      </w:pPr>
      <w:r>
        <w:rPr>
          <w:rFonts w:hint="eastAsia" w:eastAsia="黑体" w:cs="黑体"/>
          <w:b/>
          <w:bCs/>
          <w:sz w:val="44"/>
          <w:szCs w:val="44"/>
        </w:rPr>
        <w:t>校准规范</w:t>
      </w:r>
    </w:p>
    <w:p>
      <w:pPr>
        <w:spacing w:line="52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Calibration Specification for Gasoline </w:t>
      </w:r>
    </w:p>
    <w:p>
      <w:pPr>
        <w:spacing w:line="52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Vapor Recovery System of Fuel Dispensers</w:t>
      </w:r>
    </w:p>
    <w:p>
      <w:pPr>
        <w:spacing w:line="520" w:lineRule="exact"/>
        <w:rPr>
          <w:b/>
          <w:bCs/>
          <w:sz w:val="28"/>
          <w:szCs w:val="28"/>
        </w:rPr>
      </w:pPr>
    </w:p>
    <w:p>
      <w:pPr>
        <w:spacing w:line="520" w:lineRule="exact"/>
        <w:rPr>
          <w:sz w:val="28"/>
          <w:szCs w:val="28"/>
          <w:u w:val="single"/>
        </w:rPr>
      </w:pPr>
      <w:r>
        <w:pict>
          <v:line id="直线 109" o:spid="_x0000_s1031" o:spt="20" style="position:absolute;left:0pt;margin-left:0pt;margin-top:16.8pt;height:0pt;width:468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spacing w:line="400" w:lineRule="exact"/>
        <w:rPr>
          <w:sz w:val="28"/>
          <w:szCs w:val="28"/>
        </w:rPr>
      </w:pPr>
    </w:p>
    <w:p>
      <w:pPr>
        <w:spacing w:line="400" w:lineRule="exact"/>
        <w:rPr>
          <w:sz w:val="28"/>
          <w:szCs w:val="28"/>
        </w:rPr>
      </w:pPr>
    </w:p>
    <w:p>
      <w:pPr>
        <w:spacing w:line="400" w:lineRule="exact"/>
        <w:rPr>
          <w:sz w:val="28"/>
          <w:szCs w:val="28"/>
        </w:rPr>
      </w:pPr>
    </w:p>
    <w:p>
      <w:pPr>
        <w:spacing w:line="400" w:lineRule="exact"/>
        <w:rPr>
          <w:sz w:val="28"/>
          <w:szCs w:val="28"/>
        </w:rPr>
      </w:pPr>
    </w:p>
    <w:p>
      <w:pPr>
        <w:spacing w:line="400" w:lineRule="exact"/>
        <w:rPr>
          <w:sz w:val="28"/>
          <w:szCs w:val="28"/>
        </w:rPr>
      </w:pPr>
    </w:p>
    <w:p>
      <w:pPr>
        <w:spacing w:line="400" w:lineRule="exact"/>
        <w:rPr>
          <w:sz w:val="28"/>
          <w:szCs w:val="28"/>
        </w:rPr>
      </w:pPr>
    </w:p>
    <w:p>
      <w:pPr>
        <w:spacing w:line="520" w:lineRule="exact"/>
        <w:ind w:firstLine="1138" w:firstLineChars="405"/>
        <w:rPr>
          <w:sz w:val="28"/>
          <w:szCs w:val="28"/>
        </w:rPr>
      </w:pPr>
      <w:r>
        <w:rPr>
          <w:rFonts w:hint="eastAsia" w:eastAsia="黑体" w:cs="黑体"/>
          <w:b/>
          <w:bCs/>
          <w:sz w:val="28"/>
          <w:szCs w:val="28"/>
        </w:rPr>
        <w:t>归</w:t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hint="eastAsia" w:eastAsia="黑体" w:cs="黑体"/>
          <w:b/>
          <w:bCs/>
          <w:sz w:val="28"/>
          <w:szCs w:val="28"/>
        </w:rPr>
        <w:t>口</w:t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hint="eastAsia" w:eastAsia="黑体" w:cs="黑体"/>
          <w:b/>
          <w:bCs/>
          <w:sz w:val="28"/>
          <w:szCs w:val="28"/>
        </w:rPr>
        <w:t>单</w:t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hint="eastAsia" w:eastAsia="黑体" w:cs="黑体"/>
          <w:b/>
          <w:bCs/>
          <w:sz w:val="28"/>
          <w:szCs w:val="28"/>
        </w:rPr>
        <w:t>位：</w:t>
      </w:r>
      <w:r>
        <w:rPr>
          <w:rFonts w:hint="eastAsia" w:cs="宋体"/>
          <w:sz w:val="28"/>
          <w:szCs w:val="28"/>
        </w:rPr>
        <w:t>新疆维吾尔自治区市场监督管理局</w:t>
      </w:r>
    </w:p>
    <w:p>
      <w:pPr>
        <w:spacing w:line="520" w:lineRule="exact"/>
        <w:ind w:firstLine="1138" w:firstLineChars="405"/>
        <w:rPr>
          <w:rFonts w:eastAsia="黑体"/>
          <w:sz w:val="28"/>
          <w:szCs w:val="28"/>
        </w:rPr>
      </w:pPr>
      <w:r>
        <w:rPr>
          <w:rFonts w:hint="eastAsia" w:eastAsia="黑体" w:cs="黑体"/>
          <w:b/>
          <w:bCs/>
          <w:sz w:val="28"/>
          <w:szCs w:val="28"/>
        </w:rPr>
        <w:t>起</w:t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hint="eastAsia" w:eastAsia="黑体" w:cs="黑体"/>
          <w:b/>
          <w:bCs/>
          <w:sz w:val="28"/>
          <w:szCs w:val="28"/>
        </w:rPr>
        <w:t>草</w:t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hint="eastAsia" w:eastAsia="黑体" w:cs="黑体"/>
          <w:b/>
          <w:bCs/>
          <w:sz w:val="28"/>
          <w:szCs w:val="28"/>
        </w:rPr>
        <w:t>单</w:t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hint="eastAsia" w:eastAsia="黑体" w:cs="黑体"/>
          <w:b/>
          <w:bCs/>
          <w:sz w:val="28"/>
          <w:szCs w:val="28"/>
        </w:rPr>
        <w:t>位：</w:t>
      </w:r>
      <w:r>
        <w:rPr>
          <w:rFonts w:hint="eastAsia" w:cs="宋体"/>
          <w:sz w:val="28"/>
          <w:szCs w:val="28"/>
        </w:rPr>
        <w:t>新疆维吾尔自治区计量测试研究院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本规范委托新疆维吾尔自治区市场监督管理局负责解释</w:t>
      </w:r>
    </w:p>
    <w:p>
      <w:pPr>
        <w:jc w:val="center"/>
        <w:rPr>
          <w:rFonts w:eastAsia="黑体"/>
          <w:b/>
          <w:bCs/>
          <w:sz w:val="24"/>
          <w:szCs w:val="24"/>
        </w:rPr>
      </w:pPr>
    </w:p>
    <w:p>
      <w:pPr>
        <w:spacing w:line="400" w:lineRule="exact"/>
        <w:rPr>
          <w:rFonts w:eastAsia="黑体"/>
          <w:sz w:val="28"/>
          <w:szCs w:val="28"/>
        </w:rPr>
      </w:pPr>
    </w:p>
    <w:p>
      <w:pPr>
        <w:spacing w:line="400" w:lineRule="exact"/>
        <w:rPr>
          <w:rFonts w:ascii="方正黑体简体" w:eastAsia="方正黑体简体"/>
          <w:b/>
          <w:bCs/>
          <w:sz w:val="28"/>
          <w:szCs w:val="28"/>
        </w:rPr>
      </w:pPr>
    </w:p>
    <w:p>
      <w:pPr>
        <w:spacing w:line="400" w:lineRule="exact"/>
        <w:rPr>
          <w:rFonts w:ascii="方正黑体简体" w:eastAsia="方正黑体简体"/>
          <w:b/>
          <w:bCs/>
          <w:sz w:val="28"/>
          <w:szCs w:val="28"/>
        </w:rPr>
      </w:pPr>
    </w:p>
    <w:p>
      <w:pPr>
        <w:spacing w:line="400" w:lineRule="exact"/>
        <w:rPr>
          <w:rFonts w:ascii="方正黑体简体" w:eastAsia="方正黑体简体"/>
          <w:b/>
          <w:bCs/>
          <w:sz w:val="28"/>
          <w:szCs w:val="28"/>
        </w:rPr>
      </w:pPr>
    </w:p>
    <w:p>
      <w:pPr>
        <w:spacing w:line="400" w:lineRule="exact"/>
        <w:rPr>
          <w:rFonts w:ascii="方正黑体简体" w:eastAsia="方正黑体简体"/>
          <w:b/>
          <w:bCs/>
          <w:sz w:val="28"/>
          <w:szCs w:val="28"/>
        </w:rPr>
      </w:pPr>
    </w:p>
    <w:p>
      <w:pPr>
        <w:spacing w:line="360" w:lineRule="auto"/>
        <w:ind w:firstLine="275" w:firstLineChars="98"/>
        <w:rPr>
          <w:rFonts w:ascii="黑体" w:hAnsi="宋体" w:eastAsia="黑体" w:cs="黑体"/>
          <w:b/>
          <w:bCs/>
          <w:sz w:val="28"/>
          <w:szCs w:val="28"/>
        </w:rPr>
      </w:pPr>
      <w:r>
        <w:rPr>
          <w:rFonts w:hint="eastAsia" w:ascii="黑体" w:hAnsi="宋体" w:eastAsia="黑体" w:cs="黑体"/>
          <w:b/>
          <w:bCs/>
          <w:sz w:val="28"/>
          <w:szCs w:val="28"/>
        </w:rPr>
        <w:t>本规范主要起草人：</w:t>
      </w:r>
      <w:r>
        <w:rPr>
          <w:rFonts w:ascii="黑体" w:hAnsi="宋体" w:eastAsia="黑体" w:cs="黑体"/>
          <w:b/>
          <w:bCs/>
          <w:sz w:val="28"/>
          <w:szCs w:val="28"/>
        </w:rPr>
        <w:t xml:space="preserve">             </w:t>
      </w:r>
    </w:p>
    <w:p>
      <w:pPr>
        <w:spacing w:line="360" w:lineRule="auto"/>
        <w:ind w:firstLine="168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郭新宇（新疆维吾尔自治区计量测试研究院）</w:t>
      </w:r>
    </w:p>
    <w:p>
      <w:pPr>
        <w:tabs>
          <w:tab w:val="left" w:pos="2100"/>
          <w:tab w:val="left" w:pos="2415"/>
        </w:tabs>
        <w:spacing w:line="360" w:lineRule="auto"/>
        <w:ind w:firstLine="281" w:firstLineChars="100"/>
        <w:rPr>
          <w:rFonts w:ascii="宋体"/>
          <w:sz w:val="28"/>
          <w:szCs w:val="28"/>
        </w:rPr>
      </w:pPr>
      <w:r>
        <w:rPr>
          <w:rFonts w:hint="eastAsia" w:eastAsia="黑体" w:cs="黑体"/>
          <w:b/>
          <w:bCs/>
          <w:sz w:val="28"/>
          <w:szCs w:val="28"/>
        </w:rPr>
        <w:t>参加起草人：</w:t>
      </w:r>
      <w:r>
        <w:rPr>
          <w:rFonts w:eastAsia="黑体"/>
          <w:sz w:val="28"/>
          <w:szCs w:val="28"/>
        </w:rPr>
        <w:t xml:space="preserve"> </w:t>
      </w:r>
      <w:r>
        <w:rPr>
          <w:rFonts w:ascii="宋体" w:hAnsi="宋体" w:cs="宋体"/>
          <w:sz w:val="30"/>
          <w:szCs w:val="30"/>
        </w:rPr>
        <w:t xml:space="preserve"> </w:t>
      </w:r>
    </w:p>
    <w:p>
      <w:pPr>
        <w:spacing w:line="360" w:lineRule="auto"/>
        <w:ind w:firstLine="1680" w:firstLineChars="60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赵力军</w:t>
      </w:r>
      <w:bookmarkStart w:id="48" w:name="_GoBack"/>
      <w:bookmarkEnd w:id="48"/>
      <w:r>
        <w:rPr>
          <w:rFonts w:hint="eastAsia" w:ascii="宋体" w:hAnsi="宋体" w:cs="宋体"/>
          <w:sz w:val="28"/>
          <w:szCs w:val="28"/>
        </w:rPr>
        <w:t>（新疆维吾尔自治区计量测试研究院）</w:t>
      </w:r>
    </w:p>
    <w:p>
      <w:pPr>
        <w:spacing w:line="360" w:lineRule="auto"/>
        <w:ind w:firstLine="1680" w:firstLine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郭丽</w:t>
      </w:r>
      <w:r>
        <w:rPr>
          <w:rFonts w:hint="eastAsia" w:ascii="宋体" w:hAnsi="宋体" w:cs="宋体"/>
          <w:sz w:val="28"/>
          <w:szCs w:val="28"/>
        </w:rPr>
        <w:t>（新疆维吾尔自治区计量测试研究院）</w:t>
      </w:r>
    </w:p>
    <w:p>
      <w:pPr>
        <w:spacing w:line="360" w:lineRule="auto"/>
        <w:ind w:firstLine="1680" w:firstLineChars="60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胡生伟（伊犁州计量检定所）</w:t>
      </w:r>
    </w:p>
    <w:p>
      <w:pPr>
        <w:spacing w:line="360" w:lineRule="auto"/>
        <w:ind w:firstLine="168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阿米娜（新疆维吾尔自治区计量测试研究院）</w:t>
      </w:r>
    </w:p>
    <w:p>
      <w:pPr>
        <w:spacing w:line="360" w:lineRule="auto"/>
        <w:rPr>
          <w:rFonts w:ascii="宋体"/>
          <w:sz w:val="28"/>
          <w:szCs w:val="28"/>
        </w:rPr>
      </w:pPr>
    </w:p>
    <w:p>
      <w:pPr>
        <w:rPr>
          <w:b/>
          <w:bCs/>
          <w:sz w:val="28"/>
          <w:szCs w:val="28"/>
        </w:rPr>
        <w:sectPr>
          <w:pgSz w:w="11906" w:h="16838"/>
          <w:pgMar w:top="1247" w:right="1418" w:bottom="1440" w:left="1418" w:header="851" w:footer="992" w:gutter="0"/>
          <w:pgNumType w:start="0"/>
          <w:cols w:space="720" w:num="1"/>
          <w:docGrid w:type="lines" w:linePitch="312" w:charSpace="0"/>
        </w:sectPr>
      </w:pPr>
      <w:r>
        <w:rPr>
          <w:rFonts w:eastAsia="黑体"/>
          <w:sz w:val="24"/>
          <w:szCs w:val="24"/>
        </w:rPr>
        <w:t xml:space="preserve">         </w:t>
      </w:r>
    </w:p>
    <w:p>
      <w:pPr>
        <w:spacing w:line="360" w:lineRule="auto"/>
        <w:ind w:firstLine="3357" w:firstLineChars="1045"/>
      </w:pPr>
      <w:r>
        <w:rPr>
          <w:rFonts w:hint="eastAsia" w:ascii="黑体" w:hAnsi="宋体" w:eastAsia="黑体" w:cs="黑体"/>
          <w:b/>
          <w:bCs/>
          <w:sz w:val="32"/>
          <w:szCs w:val="32"/>
        </w:rPr>
        <w:t>目</w:t>
      </w:r>
      <w:r>
        <w:rPr>
          <w:rFonts w:ascii="黑体" w:hAnsi="宋体" w:eastAsia="黑体" w:cs="黑体"/>
          <w:b/>
          <w:bCs/>
          <w:sz w:val="32"/>
          <w:szCs w:val="32"/>
        </w:rPr>
        <w:t xml:space="preserve">  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录</w:t>
      </w:r>
      <w:r>
        <w:rPr>
          <w:rFonts w:ascii="黑体" w:hAnsi="宋体" w:eastAsia="黑体" w:cs="黑体"/>
          <w:sz w:val="32"/>
          <w:szCs w:val="32"/>
        </w:rPr>
        <w:fldChar w:fldCharType="begin"/>
      </w:r>
      <w:r>
        <w:rPr>
          <w:rFonts w:ascii="黑体" w:hAnsi="宋体" w:eastAsia="黑体" w:cs="黑体"/>
          <w:sz w:val="32"/>
          <w:szCs w:val="32"/>
        </w:rPr>
        <w:instrText xml:space="preserve"> TOC \o "1-3" \h \z \u </w:instrText>
      </w:r>
      <w:r>
        <w:rPr>
          <w:rFonts w:ascii="黑体" w:hAnsi="宋体" w:eastAsia="黑体" w:cs="黑体"/>
          <w:sz w:val="32"/>
          <w:szCs w:val="32"/>
        </w:rPr>
        <w:fldChar w:fldCharType="separate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"_Toc440453630" </w:instrText>
      </w:r>
      <w:r>
        <w:fldChar w:fldCharType="separate"/>
      </w:r>
      <w:r>
        <w:rPr>
          <w:rStyle w:val="24"/>
          <w:rFonts w:hint="eastAsia" w:ascii="宋体" w:hAnsi="宋体" w:cs="黑体"/>
          <w:sz w:val="24"/>
          <w:szCs w:val="24"/>
        </w:rPr>
        <w:t>引</w:t>
      </w:r>
      <w:r>
        <w:rPr>
          <w:rStyle w:val="24"/>
          <w:rFonts w:ascii="宋体" w:hAnsi="宋体" w:cs="宋体"/>
          <w:sz w:val="24"/>
          <w:szCs w:val="24"/>
        </w:rPr>
        <w:t xml:space="preserve">    </w:t>
      </w:r>
      <w:r>
        <w:rPr>
          <w:rStyle w:val="24"/>
          <w:rFonts w:hint="eastAsia" w:ascii="宋体" w:hAnsi="宋体" w:cs="黑体"/>
          <w:sz w:val="24"/>
          <w:szCs w:val="24"/>
        </w:rPr>
        <w:t>言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_Toc440453630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I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6"/>
        <w:tabs>
          <w:tab w:val="left" w:pos="630"/>
          <w:tab w:val="right" w:leader="dot" w:pos="8914"/>
        </w:tabs>
        <w:ind w:left="0" w:firstLine="0"/>
        <w:jc w:val="both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"_Toc440453631"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1.  </w:t>
      </w:r>
      <w:r>
        <w:rPr>
          <w:rStyle w:val="24"/>
          <w:rFonts w:hint="eastAsia" w:ascii="宋体" w:hAnsi="宋体" w:cs="黑体"/>
          <w:sz w:val="24"/>
          <w:szCs w:val="24"/>
        </w:rPr>
        <w:t>范围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t>1</w:t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"_Toc440453632"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2.  </w:t>
      </w:r>
      <w:r>
        <w:rPr>
          <w:rStyle w:val="24"/>
          <w:rFonts w:hint="eastAsia" w:ascii="宋体" w:hAnsi="宋体" w:cs="黑体"/>
          <w:sz w:val="24"/>
          <w:szCs w:val="24"/>
        </w:rPr>
        <w:t>引用文件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_Toc440453632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"_Toc440453633"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  </w:t>
      </w:r>
      <w:r>
        <w:rPr>
          <w:rStyle w:val="24"/>
          <w:rFonts w:hint="eastAsia" w:ascii="宋体" w:hAnsi="宋体" w:cs="黑体"/>
          <w:sz w:val="24"/>
          <w:szCs w:val="24"/>
        </w:rPr>
        <w:t>术语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_Toc440453633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"_Toc440453634"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3.1  </w:t>
      </w:r>
      <w:r>
        <w:rPr>
          <w:rStyle w:val="24"/>
          <w:rFonts w:hint="eastAsia" w:ascii="宋体" w:hAnsi="宋体" w:cs="宋体"/>
          <w:sz w:val="24"/>
          <w:szCs w:val="24"/>
        </w:rPr>
        <w:t>凝固法</w:t>
      </w:r>
      <w:r>
        <w:rPr>
          <w:rStyle w:val="24"/>
          <w:rFonts w:ascii="宋体" w:hAnsi="宋体" w:cs="宋体"/>
          <w:sz w:val="24"/>
          <w:szCs w:val="24"/>
        </w:rPr>
        <w:t xml:space="preserve">  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_Toc440453634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"_Toc440453635"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3.2  </w:t>
      </w:r>
      <w:r>
        <w:rPr>
          <w:rStyle w:val="24"/>
          <w:rFonts w:hint="eastAsia" w:ascii="宋体" w:hAnsi="宋体" w:cs="宋体"/>
          <w:sz w:val="24"/>
          <w:szCs w:val="24"/>
        </w:rPr>
        <w:t>发色底物法</w:t>
      </w:r>
      <w:r>
        <w:rPr>
          <w:rStyle w:val="24"/>
          <w:rFonts w:ascii="宋体" w:hAnsi="宋体" w:cs="宋体"/>
          <w:sz w:val="24"/>
          <w:szCs w:val="24"/>
        </w:rPr>
        <w:t xml:space="preserve">  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_Toc440453635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"_Toc440453636"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3.3  </w:t>
      </w:r>
      <w:r>
        <w:rPr>
          <w:rStyle w:val="24"/>
          <w:rFonts w:hint="eastAsia" w:ascii="宋体" w:hAnsi="宋体" w:cs="宋体"/>
          <w:sz w:val="24"/>
          <w:szCs w:val="24"/>
        </w:rPr>
        <w:t>免疫比浊法</w:t>
      </w:r>
      <w:r>
        <w:rPr>
          <w:rStyle w:val="24"/>
          <w:rFonts w:ascii="宋体" w:hAnsi="宋体" w:cs="宋体"/>
          <w:sz w:val="24"/>
          <w:szCs w:val="24"/>
        </w:rPr>
        <w:t xml:space="preserve">  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_Toc440453636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left" w:pos="1050"/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"_Toc440453637"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3.4  </w:t>
      </w:r>
      <w:r>
        <w:rPr>
          <w:rStyle w:val="24"/>
          <w:rFonts w:hint="eastAsia" w:ascii="宋体" w:hAnsi="宋体" w:cs="宋体"/>
          <w:sz w:val="24"/>
          <w:szCs w:val="24"/>
        </w:rPr>
        <w:t>凝血酶原时间</w:t>
      </w:r>
      <w:r>
        <w:rPr>
          <w:rStyle w:val="24"/>
          <w:rFonts w:ascii="宋体" w:hAnsi="宋体" w:cs="宋体"/>
          <w:sz w:val="24"/>
          <w:szCs w:val="24"/>
        </w:rPr>
        <w:t>(PT)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_Toc440453637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left" w:pos="1050"/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"_Toc440453638"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3.5  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活化部分凝血酶时间（</w:t>
      </w:r>
      <w:r>
        <w:rPr>
          <w:rStyle w:val="24"/>
          <w:rFonts w:ascii="宋体" w:hAnsi="宋体" w:cs="宋体"/>
          <w:sz w:val="24"/>
          <w:szCs w:val="24"/>
          <w:shd w:val="clear" w:color="auto" w:fill="FFFFFF"/>
        </w:rPr>
        <w:t>APTT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）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_Toc440453638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left" w:pos="1050"/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"_Toc440453639"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3.6  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纤维蛋白原（</w:t>
      </w:r>
      <w:r>
        <w:rPr>
          <w:rStyle w:val="24"/>
          <w:rFonts w:ascii="宋体" w:hAnsi="宋体" w:cs="宋体"/>
          <w:sz w:val="24"/>
          <w:szCs w:val="24"/>
          <w:shd w:val="clear" w:color="auto" w:fill="FFFFFF"/>
        </w:rPr>
        <w:t>FIB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）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_Toc440453639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left" w:pos="1050"/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"_Toc440453640"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3.7  </w:t>
      </w:r>
      <w:r>
        <w:rPr>
          <w:rStyle w:val="24"/>
          <w:rFonts w:hint="eastAsia" w:ascii="宋体" w:hAnsi="宋体" w:cs="宋体"/>
          <w:sz w:val="24"/>
          <w:szCs w:val="24"/>
        </w:rPr>
        <w:t>凝血酶时间（</w:t>
      </w:r>
      <w:r>
        <w:rPr>
          <w:rStyle w:val="24"/>
          <w:rFonts w:ascii="宋体" w:hAnsi="宋体" w:cs="宋体"/>
          <w:sz w:val="24"/>
          <w:szCs w:val="24"/>
        </w:rPr>
        <w:t>TT</w:t>
      </w:r>
      <w:r>
        <w:rPr>
          <w:rStyle w:val="24"/>
          <w:rFonts w:hint="eastAsia" w:ascii="宋体" w:hAnsi="宋体" w:cs="宋体"/>
          <w:sz w:val="24"/>
          <w:szCs w:val="24"/>
        </w:rPr>
        <w:t>）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PAGEREF _Toc440453640 \h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"_Toc440453641"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4  </w:t>
      </w:r>
      <w:r>
        <w:rPr>
          <w:rStyle w:val="24"/>
          <w:rFonts w:hint="eastAsia" w:ascii="宋体" w:hAnsi="宋体" w:cs="黑体"/>
          <w:sz w:val="24"/>
          <w:szCs w:val="24"/>
        </w:rPr>
        <w:t>概述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"_Toc440453642"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5.  </w:t>
      </w:r>
      <w:r>
        <w:rPr>
          <w:rStyle w:val="24"/>
          <w:rFonts w:hint="eastAsia" w:ascii="宋体" w:hAnsi="宋体" w:cs="黑体"/>
          <w:sz w:val="24"/>
          <w:szCs w:val="24"/>
        </w:rPr>
        <w:t>计量特性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"_Toc440453643"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6.  </w:t>
      </w:r>
      <w:r>
        <w:rPr>
          <w:rStyle w:val="24"/>
          <w:rFonts w:hint="eastAsia" w:ascii="宋体" w:hAnsi="宋体" w:cs="黑体"/>
          <w:sz w:val="24"/>
          <w:szCs w:val="24"/>
        </w:rPr>
        <w:t>校准条件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"_Toc440453644"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6.1  </w:t>
      </w:r>
      <w:r>
        <w:rPr>
          <w:rStyle w:val="24"/>
          <w:rFonts w:hint="eastAsia" w:ascii="宋体" w:hAnsi="宋体" w:cs="宋体"/>
          <w:sz w:val="24"/>
          <w:szCs w:val="24"/>
        </w:rPr>
        <w:t>环境条件</w:t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t>2</w:t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"_Toc440453645"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6.2  </w:t>
      </w:r>
      <w:r>
        <w:rPr>
          <w:rStyle w:val="24"/>
          <w:rFonts w:hint="eastAsia" w:ascii="宋体" w:hAnsi="宋体" w:cs="宋体"/>
          <w:sz w:val="24"/>
          <w:szCs w:val="24"/>
        </w:rPr>
        <w:t>标准物质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"_Toc440453646"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7.  </w:t>
      </w:r>
      <w:r>
        <w:rPr>
          <w:rStyle w:val="24"/>
          <w:rFonts w:hint="eastAsia" w:ascii="宋体" w:hAnsi="宋体" w:cs="黑体"/>
          <w:sz w:val="24"/>
          <w:szCs w:val="24"/>
        </w:rPr>
        <w:t>校准项目和校准方法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"_Toc440453647"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7.1  </w:t>
      </w:r>
      <w:r>
        <w:rPr>
          <w:rStyle w:val="24"/>
          <w:rFonts w:hint="eastAsia" w:ascii="宋体" w:hAnsi="宋体" w:cs="宋体"/>
          <w:sz w:val="24"/>
          <w:szCs w:val="24"/>
        </w:rPr>
        <w:t>外观及工作正常性检查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"_Toc440453648" </w:instrText>
      </w:r>
      <w:r>
        <w:fldChar w:fldCharType="separate"/>
      </w:r>
      <w:r>
        <w:rPr>
          <w:rStyle w:val="24"/>
          <w:rFonts w:ascii="宋体" w:hAnsi="宋体" w:cs="宋体"/>
          <w:spacing w:val="2"/>
          <w:kern w:val="0"/>
          <w:position w:val="-1"/>
          <w:sz w:val="24"/>
          <w:szCs w:val="24"/>
        </w:rPr>
        <w:t xml:space="preserve">7.2  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血凝仪的</w:t>
      </w:r>
      <w:r>
        <w:rPr>
          <w:rStyle w:val="24"/>
          <w:rFonts w:hint="eastAsia" w:ascii="宋体" w:hAnsi="宋体" w:cs="宋体"/>
          <w:kern w:val="0"/>
          <w:sz w:val="24"/>
          <w:szCs w:val="24"/>
        </w:rPr>
        <w:t>示值范围与重复性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"_Toc440453649"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8.  </w:t>
      </w:r>
      <w:r>
        <w:rPr>
          <w:rStyle w:val="24"/>
          <w:rFonts w:hint="eastAsia" w:ascii="宋体" w:hAnsi="宋体" w:cs="黑体"/>
          <w:sz w:val="24"/>
          <w:szCs w:val="24"/>
        </w:rPr>
        <w:t>校准结果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"_Toc440453650"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8.1  </w:t>
      </w:r>
      <w:r>
        <w:rPr>
          <w:rStyle w:val="24"/>
          <w:rFonts w:hint="eastAsia" w:ascii="宋体" w:hAnsi="宋体" w:cs="宋体"/>
          <w:sz w:val="24"/>
          <w:szCs w:val="24"/>
        </w:rPr>
        <w:t>校准记录</w:t>
      </w:r>
      <w:r>
        <w:rPr>
          <w:rFonts w:ascii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fldChar w:fldCharType="end"/>
      </w:r>
    </w:p>
    <w:p>
      <w:pPr>
        <w:pStyle w:val="17"/>
        <w:tabs>
          <w:tab w:val="right" w:leader="dot" w:pos="8914"/>
        </w:tabs>
        <w:spacing w:line="360" w:lineRule="auto"/>
        <w:ind w:left="0" w:leftChars="0"/>
        <w:rPr>
          <w:rFonts w:ascii="宋体"/>
          <w:sz w:val="24"/>
          <w:szCs w:val="24"/>
        </w:rPr>
      </w:pPr>
      <w:r>
        <w:fldChar w:fldCharType="begin"/>
      </w:r>
      <w:r>
        <w:instrText xml:space="preserve"> HYPERLINK \l "_Toc440453651"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8.2  </w:t>
      </w:r>
      <w:r>
        <w:rPr>
          <w:rStyle w:val="24"/>
          <w:rFonts w:hint="eastAsia" w:ascii="宋体" w:hAnsi="宋体" w:cs="宋体"/>
          <w:sz w:val="24"/>
          <w:szCs w:val="24"/>
        </w:rPr>
        <w:t>校准证书</w:t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t>4</w:t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"_Toc440453652" </w:instrText>
      </w:r>
      <w:r>
        <w:fldChar w:fldCharType="separate"/>
      </w:r>
      <w:r>
        <w:rPr>
          <w:rStyle w:val="24"/>
          <w:rFonts w:ascii="宋体" w:hAnsi="宋体" w:cs="宋体"/>
          <w:sz w:val="24"/>
          <w:szCs w:val="24"/>
        </w:rPr>
        <w:t xml:space="preserve">9.  </w:t>
      </w:r>
      <w:r>
        <w:rPr>
          <w:rStyle w:val="24"/>
          <w:rFonts w:hint="eastAsia" w:ascii="宋体" w:hAnsi="宋体" w:cs="黑体"/>
          <w:sz w:val="24"/>
          <w:szCs w:val="24"/>
        </w:rPr>
        <w:t>复校时间间隔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"_Toc440453653" </w:instrText>
      </w:r>
      <w:r>
        <w:fldChar w:fldCharType="separate"/>
      </w:r>
      <w:r>
        <w:rPr>
          <w:rStyle w:val="24"/>
          <w:rFonts w:hint="eastAsia" w:ascii="宋体" w:hAnsi="宋体" w:cs="黑体"/>
          <w:sz w:val="24"/>
          <w:szCs w:val="24"/>
        </w:rPr>
        <w:t>附录</w:t>
      </w:r>
      <w:r>
        <w:rPr>
          <w:rStyle w:val="24"/>
          <w:rFonts w:ascii="宋体" w:hAnsi="宋体" w:cs="宋体"/>
          <w:sz w:val="24"/>
          <w:szCs w:val="24"/>
        </w:rPr>
        <w:t xml:space="preserve">A  </w:t>
      </w:r>
      <w:r>
        <w:rPr>
          <w:rStyle w:val="24"/>
          <w:rFonts w:hint="eastAsia" w:ascii="宋体" w:hAnsi="宋体" w:cs="黑体"/>
          <w:sz w:val="24"/>
          <w:szCs w:val="24"/>
        </w:rPr>
        <w:t>血凝仪校准原始记录格式</w:t>
      </w:r>
      <w:r>
        <w:rPr>
          <w:rStyle w:val="24"/>
          <w:rFonts w:ascii="宋体" w:eastAsia="宋体"/>
          <w:sz w:val="24"/>
          <w:szCs w:val="24"/>
        </w:rPr>
        <w:tab/>
      </w:r>
      <w:r>
        <w:rPr>
          <w:rStyle w:val="24"/>
          <w:rFonts w:ascii="宋体" w:hAnsi="宋体" w:eastAsia="宋体" w:cs="宋体"/>
          <w:sz w:val="24"/>
          <w:szCs w:val="24"/>
        </w:rPr>
        <w:t>5</w:t>
      </w:r>
      <w:r>
        <w:rPr>
          <w:rStyle w:val="24"/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"_Toc440453654" </w:instrText>
      </w:r>
      <w:r>
        <w:fldChar w:fldCharType="separate"/>
      </w:r>
      <w:r>
        <w:rPr>
          <w:rStyle w:val="24"/>
          <w:rFonts w:hint="eastAsia" w:ascii="宋体" w:hAnsi="宋体" w:cs="黑体"/>
          <w:sz w:val="24"/>
          <w:szCs w:val="24"/>
        </w:rPr>
        <w:t>附录</w:t>
      </w:r>
      <w:r>
        <w:rPr>
          <w:rStyle w:val="24"/>
          <w:rFonts w:ascii="宋体" w:hAnsi="宋体" w:cs="宋体"/>
          <w:sz w:val="24"/>
          <w:szCs w:val="24"/>
        </w:rPr>
        <w:t xml:space="preserve">B  </w:t>
      </w:r>
      <w:r>
        <w:rPr>
          <w:rStyle w:val="24"/>
          <w:rFonts w:hint="eastAsia" w:ascii="宋体" w:hAnsi="宋体" w:cs="黑体"/>
          <w:sz w:val="24"/>
          <w:szCs w:val="24"/>
        </w:rPr>
        <w:t>校准证书的内容</w:t>
      </w:r>
      <w:r>
        <w:rPr>
          <w:rStyle w:val="24"/>
          <w:rFonts w:ascii="宋体" w:eastAsia="宋体"/>
          <w:sz w:val="24"/>
          <w:szCs w:val="24"/>
        </w:rPr>
        <w:tab/>
      </w:r>
      <w:r>
        <w:rPr>
          <w:rStyle w:val="24"/>
          <w:rFonts w:ascii="宋体" w:hAnsi="宋体" w:eastAsia="宋体" w:cs="宋体"/>
          <w:sz w:val="24"/>
          <w:szCs w:val="24"/>
        </w:rPr>
        <w:t>6</w:t>
      </w:r>
      <w:r>
        <w:rPr>
          <w:rStyle w:val="24"/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6"/>
        <w:tabs>
          <w:tab w:val="right" w:leader="dot" w:pos="8914"/>
        </w:tabs>
        <w:ind w:left="0" w:firstLine="0"/>
        <w:jc w:val="both"/>
        <w:rPr>
          <w:rFonts w:ascii="宋体" w:eastAsia="宋体"/>
          <w:sz w:val="24"/>
          <w:szCs w:val="24"/>
        </w:rPr>
      </w:pPr>
      <w:r>
        <w:fldChar w:fldCharType="begin"/>
      </w:r>
      <w:r>
        <w:instrText xml:space="preserve"> HYPERLINK \l "_Toc440453655" </w:instrText>
      </w:r>
      <w:r>
        <w:fldChar w:fldCharType="separate"/>
      </w:r>
      <w:r>
        <w:rPr>
          <w:rStyle w:val="24"/>
          <w:rFonts w:hint="eastAsia" w:ascii="宋体" w:hAnsi="宋体" w:cs="黑体"/>
          <w:sz w:val="24"/>
          <w:szCs w:val="24"/>
        </w:rPr>
        <w:t>附录</w:t>
      </w:r>
      <w:r>
        <w:rPr>
          <w:rStyle w:val="24"/>
          <w:rFonts w:ascii="宋体" w:hAnsi="宋体" w:cs="宋体"/>
          <w:sz w:val="24"/>
          <w:szCs w:val="24"/>
        </w:rPr>
        <w:t xml:space="preserve">C  </w:t>
      </w:r>
      <w:r>
        <w:rPr>
          <w:rStyle w:val="24"/>
          <w:rFonts w:hint="eastAsia" w:ascii="宋体" w:hAnsi="宋体" w:cs="黑体"/>
          <w:sz w:val="24"/>
          <w:szCs w:val="24"/>
        </w:rPr>
        <w:t>血凝仪示值测量不确定度评定</w:t>
      </w:r>
      <w:r>
        <w:rPr>
          <w:rStyle w:val="24"/>
          <w:rFonts w:ascii="宋体" w:eastAsia="宋体"/>
          <w:sz w:val="24"/>
          <w:szCs w:val="24"/>
        </w:rPr>
        <w:tab/>
      </w:r>
      <w:r>
        <w:rPr>
          <w:rStyle w:val="24"/>
          <w:rFonts w:ascii="宋体" w:hAnsi="宋体" w:eastAsia="宋体" w:cs="宋体"/>
          <w:sz w:val="24"/>
          <w:szCs w:val="24"/>
        </w:rPr>
        <w:t>7</w:t>
      </w:r>
      <w:r>
        <w:rPr>
          <w:rStyle w:val="24"/>
          <w:rFonts w:ascii="宋体" w:hAnsi="宋体" w:eastAsia="宋体" w:cs="宋体"/>
          <w:sz w:val="24"/>
          <w:szCs w:val="24"/>
        </w:rPr>
        <w:fldChar w:fldCharType="end"/>
      </w:r>
    </w:p>
    <w:p>
      <w:pPr>
        <w:spacing w:line="360" w:lineRule="auto"/>
        <w:ind w:firstLine="3344" w:firstLineChars="1045"/>
        <w:rPr>
          <w:rFonts w:ascii="黑体" w:hAnsi="宋体" w:eastAsia="黑体"/>
          <w:b/>
          <w:bCs/>
          <w:sz w:val="32"/>
          <w:szCs w:val="32"/>
        </w:rPr>
      </w:pPr>
      <w:r>
        <w:rPr>
          <w:rFonts w:ascii="黑体" w:hAnsi="宋体" w:eastAsia="黑体" w:cs="黑体"/>
          <w:sz w:val="32"/>
          <w:szCs w:val="32"/>
        </w:rPr>
        <w:fldChar w:fldCharType="end"/>
      </w:r>
    </w:p>
    <w:p>
      <w:pPr>
        <w:ind w:firstLine="3839" w:firstLineChars="1195"/>
        <w:rPr>
          <w:rFonts w:ascii="黑体" w:hAnsi="宋体" w:eastAsia="黑体"/>
          <w:b/>
          <w:bCs/>
          <w:sz w:val="32"/>
          <w:szCs w:val="32"/>
        </w:rPr>
      </w:pPr>
    </w:p>
    <w:p>
      <w:pPr>
        <w:ind w:firstLine="3839" w:firstLineChars="1195"/>
        <w:outlineLvl w:val="0"/>
        <w:rPr>
          <w:rFonts w:ascii="黑体" w:hAnsi="宋体" w:eastAsia="黑体"/>
          <w:b/>
          <w:bCs/>
          <w:sz w:val="32"/>
          <w:szCs w:val="32"/>
        </w:rPr>
      </w:pPr>
      <w:bookmarkStart w:id="0" w:name="_Toc440453630"/>
      <w:r>
        <w:rPr>
          <w:rFonts w:hint="eastAsia" w:ascii="黑体" w:hAnsi="宋体" w:eastAsia="黑体" w:cs="黑体"/>
          <w:b/>
          <w:bCs/>
          <w:sz w:val="32"/>
          <w:szCs w:val="32"/>
        </w:rPr>
        <w:t>引</w:t>
      </w:r>
      <w:r>
        <w:rPr>
          <w:rFonts w:ascii="黑体" w:hAnsi="宋体" w:eastAsia="黑体" w:cs="黑体"/>
          <w:b/>
          <w:bCs/>
          <w:sz w:val="32"/>
          <w:szCs w:val="32"/>
        </w:rPr>
        <w:t xml:space="preserve">  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言</w:t>
      </w:r>
      <w:bookmarkEnd w:id="0"/>
    </w:p>
    <w:p>
      <w:pPr>
        <w:jc w:val="center"/>
        <w:rPr>
          <w:rFonts w:ascii="黑体" w:hAnsi="宋体" w:eastAsia="黑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本规范以</w:t>
      </w:r>
      <w:r>
        <w:rPr>
          <w:rFonts w:ascii="宋体" w:hAnsi="宋体" w:cs="宋体"/>
          <w:sz w:val="24"/>
          <w:szCs w:val="24"/>
        </w:rPr>
        <w:t>XJL/QCBZ09-2013</w:t>
      </w:r>
      <w:r>
        <w:rPr>
          <w:rFonts w:hint="eastAsia" w:ascii="宋体" w:hAnsi="宋体" w:cs="宋体"/>
          <w:sz w:val="24"/>
          <w:szCs w:val="24"/>
        </w:rPr>
        <w:t>《校准规范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方法编写规则》、</w:t>
      </w:r>
      <w:r>
        <w:rPr>
          <w:rFonts w:ascii="宋体" w:hAnsi="宋体" w:cs="宋体"/>
          <w:sz w:val="24"/>
          <w:szCs w:val="24"/>
        </w:rPr>
        <w:t>YY/T 0659-2008</w:t>
      </w:r>
    </w:p>
    <w:p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《全自动血凝分析仪》为主要编写依据。</w:t>
      </w:r>
    </w:p>
    <w:p>
      <w:pPr>
        <w:spacing w:line="360" w:lineRule="auto"/>
        <w:ind w:firstLine="1928" w:firstLineChars="800"/>
        <w:rPr>
          <w:rFonts w:ascii="宋体"/>
          <w:b/>
          <w:bCs/>
          <w:sz w:val="24"/>
          <w:szCs w:val="24"/>
        </w:rPr>
        <w:sectPr>
          <w:footerReference r:id="rId5" w:type="default"/>
          <w:pgSz w:w="11906" w:h="16838"/>
          <w:pgMar w:top="1247" w:right="1134" w:bottom="1440" w:left="1848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spacing w:line="360" w:lineRule="auto"/>
        <w:ind w:firstLine="2570" w:firstLineChars="800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 w:cs="黑体"/>
          <w:b/>
          <w:bCs/>
          <w:sz w:val="32"/>
          <w:szCs w:val="32"/>
        </w:rPr>
        <w:t>血凝分析仪校准规范</w:t>
      </w:r>
    </w:p>
    <w:p>
      <w:pPr>
        <w:spacing w:line="360" w:lineRule="auto"/>
        <w:ind w:firstLine="2570" w:firstLineChars="800"/>
        <w:rPr>
          <w:rFonts w:ascii="黑体" w:hAnsi="宋体" w:eastAsia="黑体"/>
          <w:b/>
          <w:bCs/>
          <w:sz w:val="32"/>
          <w:szCs w:val="32"/>
        </w:rPr>
      </w:pPr>
    </w:p>
    <w:p>
      <w:pPr>
        <w:numPr>
          <w:ilvl w:val="0"/>
          <w:numId w:val="2"/>
        </w:numPr>
        <w:spacing w:line="360" w:lineRule="auto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1" w:name="_Toc440453631"/>
      <w:bookmarkStart w:id="2" w:name="_Toc440453419"/>
      <w:r>
        <w:rPr>
          <w:rFonts w:hint="eastAsia" w:ascii="黑体" w:hAnsi="宋体" w:eastAsia="黑体" w:cs="黑体"/>
          <w:b/>
          <w:bCs/>
          <w:sz w:val="24"/>
          <w:szCs w:val="24"/>
        </w:rPr>
        <w:t>范围</w:t>
      </w:r>
      <w:bookmarkEnd w:id="1"/>
      <w:bookmarkEnd w:id="2"/>
    </w:p>
    <w:p>
      <w:pPr>
        <w:spacing w:line="360" w:lineRule="auto"/>
        <w:ind w:firstLine="600" w:firstLineChars="2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本方法适用全自动、半自动血凝分析仪（以下简称</w:t>
      </w:r>
      <w:r>
        <w:rPr>
          <w:rFonts w:hint="eastAsia" w:ascii="Arial" w:hAnsi="Arial" w:cs="宋体"/>
          <w:sz w:val="24"/>
          <w:szCs w:val="24"/>
          <w:shd w:val="clear" w:color="auto" w:fill="FFFFFF"/>
        </w:rPr>
        <w:t>血凝仪）</w:t>
      </w:r>
      <w:r>
        <w:rPr>
          <w:rFonts w:hint="eastAsia" w:ascii="宋体" w:hAnsi="宋体" w:cs="宋体"/>
          <w:sz w:val="24"/>
          <w:szCs w:val="24"/>
        </w:rPr>
        <w:t>的校准。</w:t>
      </w:r>
    </w:p>
    <w:p>
      <w:pPr>
        <w:spacing w:line="360" w:lineRule="auto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3" w:name="_Toc440453632"/>
      <w:bookmarkStart w:id="4" w:name="_Toc440453420"/>
      <w:r>
        <w:rPr>
          <w:rFonts w:ascii="黑体" w:hAnsi="宋体" w:eastAsia="黑体" w:cs="黑体"/>
          <w:b/>
          <w:bCs/>
          <w:sz w:val="24"/>
          <w:szCs w:val="24"/>
        </w:rPr>
        <w:t xml:space="preserve">2.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引用文件</w:t>
      </w:r>
      <w:bookmarkEnd w:id="3"/>
      <w:bookmarkEnd w:id="4"/>
    </w:p>
    <w:p>
      <w:pPr>
        <w:autoSpaceDE w:val="0"/>
        <w:autoSpaceDN w:val="0"/>
        <w:adjustRightInd w:val="0"/>
        <w:spacing w:line="360" w:lineRule="auto"/>
        <w:ind w:firstLine="523" w:firstLineChars="218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本方法引用下列文件：</w:t>
      </w:r>
    </w:p>
    <w:p>
      <w:pPr>
        <w:spacing w:line="360" w:lineRule="auto"/>
        <w:ind w:firstLine="600" w:firstLineChars="250"/>
        <w:jc w:val="lef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YY/T 0659-2008</w:t>
      </w:r>
      <w:r>
        <w:rPr>
          <w:rFonts w:hint="eastAsia" w:ascii="宋体" w:hAnsi="宋体" w:cs="宋体"/>
          <w:sz w:val="24"/>
          <w:szCs w:val="24"/>
        </w:rPr>
        <w:t>《全自动血凝分析仪》</w:t>
      </w:r>
    </w:p>
    <w:p>
      <w:pPr>
        <w:spacing w:line="360" w:lineRule="auto"/>
        <w:ind w:firstLine="609" w:firstLineChars="254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YY/T 0658-2008</w:t>
      </w:r>
      <w:r>
        <w:rPr>
          <w:rFonts w:hint="eastAsia" w:ascii="宋体" w:hAnsi="宋体" w:cs="宋体"/>
          <w:sz w:val="24"/>
          <w:szCs w:val="24"/>
        </w:rPr>
        <w:t>《半自动血凝分析仪》</w:t>
      </w:r>
    </w:p>
    <w:p>
      <w:pPr>
        <w:spacing w:line="360" w:lineRule="auto"/>
        <w:ind w:firstLine="609" w:firstLineChars="254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凡是注明日期的引用文件，仅注日期的版本适用于本规范；凡是不注日期的引用文件，其最新版本（包括所有修改单）适用于本规范。</w:t>
      </w: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5" w:name="_Toc440453421"/>
      <w:bookmarkStart w:id="6" w:name="_Toc440453633"/>
      <w:r>
        <w:rPr>
          <w:rFonts w:ascii="黑体" w:hAnsi="宋体" w:eastAsia="黑体" w:cs="黑体"/>
          <w:b/>
          <w:bCs/>
          <w:sz w:val="24"/>
          <w:szCs w:val="24"/>
        </w:rPr>
        <w:t xml:space="preserve">3.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术语</w:t>
      </w:r>
      <w:bookmarkEnd w:id="5"/>
      <w:bookmarkEnd w:id="6"/>
    </w:p>
    <w:p>
      <w:pPr>
        <w:spacing w:line="360" w:lineRule="auto"/>
        <w:outlineLvl w:val="1"/>
        <w:rPr>
          <w:rFonts w:ascii="宋体"/>
          <w:sz w:val="24"/>
          <w:szCs w:val="24"/>
        </w:rPr>
      </w:pPr>
      <w:bookmarkStart w:id="7" w:name="_Toc440453634"/>
      <w:r>
        <w:rPr>
          <w:rFonts w:ascii="宋体" w:hAnsi="宋体" w:cs="宋体"/>
          <w:sz w:val="24"/>
          <w:szCs w:val="24"/>
        </w:rPr>
        <w:t xml:space="preserve">3.1  </w:t>
      </w:r>
      <w:r>
        <w:rPr>
          <w:rFonts w:hint="eastAsia" w:ascii="宋体" w:hAnsi="宋体" w:cs="宋体"/>
          <w:sz w:val="24"/>
          <w:szCs w:val="24"/>
        </w:rPr>
        <w:t>凝固法</w:t>
      </w:r>
      <w:r>
        <w:rPr>
          <w:rFonts w:ascii="宋体" w:hAnsi="宋体" w:cs="宋体"/>
          <w:sz w:val="24"/>
          <w:szCs w:val="24"/>
        </w:rPr>
        <w:t xml:space="preserve">  Clotting assay</w:t>
      </w:r>
      <w:bookmarkEnd w:id="7"/>
    </w:p>
    <w:p>
      <w:pPr>
        <w:spacing w:line="360" w:lineRule="auto"/>
        <w:ind w:firstLine="525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模拟生理血液凝固条件，加入某种试剂，启动血液凝集反应，使样本中的纤维蛋白原转化为交联纤维蛋白，使样本发生凝固。通过连续监测此过程中反应体系所发生的光学（例如吸光度）、物理学（例如黏度）或电学（例如电流）特性变化确定反应终点，并作为纤维蛋白原的转化时间，利用这种原理测定血液样本凝固特性或纤溶特性的方法。</w:t>
      </w:r>
    </w:p>
    <w:p>
      <w:pPr>
        <w:spacing w:line="360" w:lineRule="auto"/>
        <w:outlineLvl w:val="1"/>
        <w:rPr>
          <w:rFonts w:ascii="宋体"/>
          <w:sz w:val="24"/>
          <w:szCs w:val="24"/>
        </w:rPr>
      </w:pPr>
      <w:bookmarkStart w:id="8" w:name="_Toc440453635"/>
      <w:r>
        <w:rPr>
          <w:rFonts w:ascii="宋体" w:hAnsi="宋体" w:cs="宋体"/>
          <w:sz w:val="24"/>
          <w:szCs w:val="24"/>
        </w:rPr>
        <w:t xml:space="preserve">3.2  </w:t>
      </w:r>
      <w:r>
        <w:rPr>
          <w:rFonts w:hint="eastAsia" w:ascii="宋体" w:hAnsi="宋体" w:cs="宋体"/>
          <w:sz w:val="24"/>
          <w:szCs w:val="24"/>
        </w:rPr>
        <w:t>发色底物法</w:t>
      </w:r>
      <w:r>
        <w:rPr>
          <w:rFonts w:ascii="宋体" w:hAnsi="宋体" w:cs="宋体"/>
          <w:sz w:val="24"/>
          <w:szCs w:val="24"/>
        </w:rPr>
        <w:t xml:space="preserve">  Chromogenic assay</w:t>
      </w:r>
      <w:bookmarkEnd w:id="8"/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以人工合成具有某种裂解位点的化合物（如苯丙氨酸</w:t>
      </w:r>
      <w:r>
        <w:rPr>
          <w:rFonts w:ascii="宋体" w:cs="宋体"/>
          <w:sz w:val="24"/>
          <w:szCs w:val="24"/>
        </w:rPr>
        <w:t>-</w:t>
      </w:r>
      <w:r>
        <w:rPr>
          <w:rFonts w:hint="eastAsia" w:ascii="宋体" w:hAnsi="宋体" w:cs="宋体"/>
          <w:sz w:val="24"/>
          <w:szCs w:val="24"/>
        </w:rPr>
        <w:t>缬氨酸</w:t>
      </w:r>
      <w:r>
        <w:rPr>
          <w:rFonts w:ascii="宋体" w:cs="宋体"/>
          <w:sz w:val="24"/>
          <w:szCs w:val="24"/>
        </w:rPr>
        <w:t>-</w:t>
      </w:r>
      <w:r>
        <w:rPr>
          <w:rFonts w:hint="eastAsia" w:ascii="宋体" w:hAnsi="宋体" w:cs="宋体"/>
          <w:sz w:val="24"/>
          <w:szCs w:val="24"/>
        </w:rPr>
        <w:t>精氨酰胺，</w:t>
      </w:r>
      <w:r>
        <w:rPr>
          <w:rFonts w:ascii="宋体" w:hAnsi="宋体" w:cs="宋体"/>
          <w:sz w:val="24"/>
          <w:szCs w:val="24"/>
        </w:rPr>
        <w:t>Phe-Val-Arg</w:t>
      </w:r>
      <w:r>
        <w:rPr>
          <w:rFonts w:hint="eastAsia" w:ascii="宋体" w:hAnsi="宋体" w:cs="宋体"/>
          <w:sz w:val="24"/>
          <w:szCs w:val="24"/>
        </w:rPr>
        <w:t>）与产色物质结合（如对硝基苯胺</w:t>
      </w:r>
      <w:r>
        <w:rPr>
          <w:rFonts w:ascii="宋体" w:hAnsi="宋体" w:cs="宋体"/>
          <w:sz w:val="24"/>
          <w:szCs w:val="24"/>
        </w:rPr>
        <w:t>PNA</w:t>
      </w:r>
      <w:r>
        <w:rPr>
          <w:rFonts w:hint="eastAsia" w:ascii="宋体" w:hAnsi="宋体" w:cs="宋体"/>
          <w:sz w:val="24"/>
          <w:szCs w:val="24"/>
        </w:rPr>
        <w:t>）连接形成酶的特异性底物，由于待测样本中存在或反应过程中产生了有活性的酶，底物被水解并释放产色物质，使反应体系发生颜色变化，通过比色的方法检测其颜色变化程度，并与酶活性或待测物含量成一定的比例关系。</w:t>
      </w:r>
    </w:p>
    <w:p>
      <w:pPr>
        <w:spacing w:line="360" w:lineRule="auto"/>
        <w:outlineLvl w:val="1"/>
        <w:rPr>
          <w:rFonts w:ascii="宋体"/>
          <w:sz w:val="24"/>
          <w:szCs w:val="24"/>
        </w:rPr>
      </w:pPr>
      <w:bookmarkStart w:id="9" w:name="_Toc440453636"/>
      <w:r>
        <w:rPr>
          <w:rFonts w:ascii="宋体" w:hAnsi="宋体" w:cs="宋体"/>
          <w:sz w:val="24"/>
          <w:szCs w:val="24"/>
        </w:rPr>
        <w:t xml:space="preserve">3.3  </w:t>
      </w:r>
      <w:r>
        <w:rPr>
          <w:rFonts w:hint="eastAsia" w:ascii="宋体" w:hAnsi="宋体" w:cs="宋体"/>
          <w:sz w:val="24"/>
          <w:szCs w:val="24"/>
        </w:rPr>
        <w:t>免疫比浊法</w:t>
      </w:r>
      <w:r>
        <w:rPr>
          <w:rFonts w:ascii="宋体" w:hAnsi="宋体" w:cs="宋体"/>
          <w:sz w:val="24"/>
          <w:szCs w:val="24"/>
        </w:rPr>
        <w:t xml:space="preserve">  Immuno-turbidimetric assay</w:t>
      </w:r>
      <w:bookmarkEnd w:id="9"/>
    </w:p>
    <w:p>
      <w:pPr>
        <w:spacing w:line="360" w:lineRule="auto"/>
        <w:ind w:firstLine="523" w:firstLineChars="218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利用抗原与抗体之间特异性结合的特点，使待测物与标记物有其特异性抗体的微粒结合，使得反应体系的浊度发生变化，通过检测其光强度的变化定量待测物的方法。</w:t>
      </w:r>
    </w:p>
    <w:p>
      <w:pPr>
        <w:numPr>
          <w:ilvl w:val="1"/>
          <w:numId w:val="3"/>
        </w:numPr>
        <w:spacing w:line="360" w:lineRule="auto"/>
        <w:outlineLvl w:val="1"/>
        <w:rPr>
          <w:rFonts w:ascii="宋体"/>
          <w:color w:val="333333"/>
          <w:sz w:val="24"/>
          <w:szCs w:val="24"/>
          <w:shd w:val="clear" w:color="auto" w:fill="FFFFFF"/>
        </w:rPr>
      </w:pPr>
      <w:r>
        <w:rPr>
          <w:rFonts w:ascii="宋体" w:hAnsi="宋体" w:cs="宋体"/>
          <w:sz w:val="24"/>
          <w:szCs w:val="24"/>
        </w:rPr>
        <w:t xml:space="preserve"> </w:t>
      </w:r>
      <w:bookmarkStart w:id="10" w:name="_Toc440453637"/>
      <w:r>
        <w:rPr>
          <w:rFonts w:hint="eastAsia" w:ascii="宋体" w:hAnsi="宋体" w:cs="宋体"/>
          <w:sz w:val="24"/>
          <w:szCs w:val="24"/>
        </w:rPr>
        <w:t>凝血酶原时间</w:t>
      </w:r>
      <w:r>
        <w:rPr>
          <w:rFonts w:ascii="宋体" w:hAnsi="宋体" w:cs="宋体"/>
          <w:sz w:val="24"/>
          <w:szCs w:val="24"/>
        </w:rPr>
        <w:t>(PROTHROMBIN TIME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PT</w:t>
      </w:r>
      <w:bookmarkEnd w:id="10"/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在缺乏血小板的血浆中加入过量的组织因子（兔脑渗出液）后，凝血酶原转化为凝血酶，导致血浆凝固所需的时间。</w:t>
      </w:r>
    </w:p>
    <w:p>
      <w:pPr>
        <w:numPr>
          <w:ilvl w:val="1"/>
          <w:numId w:val="3"/>
        </w:numPr>
        <w:spacing w:line="360" w:lineRule="auto"/>
        <w:outlineLvl w:val="1"/>
        <w:rPr>
          <w:rFonts w:ascii="宋体"/>
          <w:sz w:val="24"/>
          <w:szCs w:val="24"/>
        </w:rPr>
      </w:pP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</w:t>
      </w:r>
      <w:bookmarkStart w:id="11" w:name="_Toc440453638"/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活化部分凝血酶时间（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ACTIVATED PARTIAL THROMBOPLASTIN TIME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，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APTT</w:t>
      </w:r>
      <w:bookmarkEnd w:id="11"/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）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用于筛查内源性</w:t>
      </w:r>
      <w:r>
        <w:fldChar w:fldCharType="begin"/>
      </w:r>
      <w:r>
        <w:instrText xml:space="preserve"> HYPERLINK "http://www.wiki8.com/ningxue_109216/" \o "医学百科：凝血" </w:instrText>
      </w:r>
      <w:r>
        <w:fldChar w:fldCharType="separate"/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凝血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fldChar w:fldCharType="end"/>
      </w:r>
      <w:r>
        <w:fldChar w:fldCharType="begin"/>
      </w:r>
      <w:r>
        <w:instrText xml:space="preserve"> HYPERLINK "http://www.wiki8.com/xitong_106439/" \o "医学百科：系统" </w:instrText>
      </w:r>
      <w:r>
        <w:fldChar w:fldCharType="separate"/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系统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是否正常的较</w:t>
      </w:r>
      <w:r>
        <w:fldChar w:fldCharType="begin"/>
      </w:r>
      <w:r>
        <w:instrText xml:space="preserve"> HYPERLINK "http://www.wiki8.com/mingan_148593/" \o "医学百科：敏感" </w:instrText>
      </w:r>
      <w:r>
        <w:fldChar w:fldCharType="separate"/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t>敏感</w:t>
      </w:r>
      <w:r>
        <w:rPr>
          <w:rStyle w:val="24"/>
          <w:rFonts w:hint="eastAsia" w:ascii="宋体" w:hAnsi="宋体" w:cs="宋体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的试验。</w:t>
      </w:r>
    </w:p>
    <w:p>
      <w:pPr>
        <w:numPr>
          <w:ilvl w:val="1"/>
          <w:numId w:val="3"/>
        </w:numPr>
        <w:spacing w:line="360" w:lineRule="auto"/>
        <w:outlineLvl w:val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</w:t>
      </w:r>
      <w:bookmarkStart w:id="12" w:name="_Toc440453639"/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纤维蛋白原（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FIBRINOGEN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，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FIB</w:t>
      </w:r>
      <w:bookmarkEnd w:id="12"/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）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Style w:val="23"/>
          <w:rFonts w:hint="eastAsia" w:ascii="宋体" w:hAnsi="宋体" w:cs="宋体"/>
          <w:i w:val="0"/>
          <w:iCs w:val="0"/>
          <w:color w:val="000000"/>
          <w:sz w:val="24"/>
          <w:szCs w:val="24"/>
          <w:shd w:val="clear" w:color="auto" w:fill="FFFFFF"/>
        </w:rPr>
        <w:t>纤维蛋白原是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一种由肝脏合成的具有凝血功能的蛋白质。纤维蛋白是在凝血过程中，凝血酶切除血纤蛋白原中的血纤肽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A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和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B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而生成的单体蛋白质。简单地说，就是一种与凝血有关物质。</w:t>
      </w:r>
    </w:p>
    <w:p>
      <w:pPr>
        <w:numPr>
          <w:ilvl w:val="1"/>
          <w:numId w:val="3"/>
        </w:numPr>
        <w:spacing w:line="360" w:lineRule="auto"/>
        <w:outlineLvl w:val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bookmarkStart w:id="13" w:name="_Toc440453640"/>
      <w:r>
        <w:rPr>
          <w:rFonts w:hint="eastAsia" w:ascii="宋体" w:hAnsi="宋体" w:cs="宋体"/>
          <w:sz w:val="24"/>
          <w:szCs w:val="24"/>
        </w:rPr>
        <w:t>凝血酶时间（</w:t>
      </w:r>
      <w:r>
        <w:rPr>
          <w:rFonts w:ascii="宋体" w:hAnsi="宋体" w:cs="宋体"/>
          <w:sz w:val="24"/>
          <w:szCs w:val="24"/>
        </w:rPr>
        <w:t>THROMBIN TIME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T</w:t>
      </w:r>
      <w:bookmarkEnd w:id="13"/>
      <w:r>
        <w:rPr>
          <w:rFonts w:ascii="宋体" w:hAnsi="宋体" w:cs="宋体"/>
          <w:sz w:val="24"/>
          <w:szCs w:val="24"/>
        </w:rPr>
        <w:t>T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在血浆中加入标准化的</w:t>
      </w:r>
      <w:r>
        <w:rPr>
          <w:rStyle w:val="23"/>
          <w:rFonts w:hint="eastAsia" w:ascii="宋体" w:hAnsi="宋体" w:cs="宋体"/>
          <w:i w:val="0"/>
          <w:iCs w:val="0"/>
          <w:color w:val="000000"/>
          <w:sz w:val="24"/>
          <w:szCs w:val="24"/>
          <w:shd w:val="clear" w:color="auto" w:fill="FFFFFF"/>
        </w:rPr>
        <w:t>凝血酶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后血液凝固的</w:t>
      </w:r>
      <w:r>
        <w:rPr>
          <w:rStyle w:val="23"/>
          <w:rFonts w:hint="eastAsia" w:ascii="宋体" w:hAnsi="宋体" w:cs="宋体"/>
          <w:i w:val="0"/>
          <w:iCs w:val="0"/>
          <w:color w:val="000000"/>
          <w:sz w:val="24"/>
          <w:szCs w:val="24"/>
          <w:shd w:val="clear" w:color="auto" w:fill="FFFFFF"/>
        </w:rPr>
        <w:t>时间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。</w:t>
      </w: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14" w:name="_Toc440453641"/>
      <w:bookmarkStart w:id="15" w:name="_Toc440453422"/>
      <w:r>
        <w:rPr>
          <w:rFonts w:ascii="黑体" w:hAnsi="宋体" w:eastAsia="黑体" w:cs="黑体"/>
          <w:b/>
          <w:bCs/>
          <w:sz w:val="24"/>
          <w:szCs w:val="24"/>
        </w:rPr>
        <w:t xml:space="preserve">4 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概述</w:t>
      </w:r>
      <w:bookmarkEnd w:id="14"/>
      <w:bookmarkEnd w:id="15"/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hint="eastAsia" w:ascii="Arial" w:hAnsi="Arial" w:cs="宋体"/>
          <w:sz w:val="24"/>
          <w:szCs w:val="24"/>
          <w:shd w:val="clear" w:color="auto" w:fill="FFFFFF"/>
        </w:rPr>
        <w:t>血凝仪是用于凝血、抗凝、纤维蛋白原溶解系统检测的一类仪器，可为出血性和血栓性疾病的诊断及鉴别诊断、抗凝及溶栓治疗的监测及疗效观察提供有价值的指标。血凝仪依据测试方法分为凝固法、发色底物法和免疫比浊法，按照不同的自动化程度分为半自动血凝仪和全自动血凝仪，半自动血凝仪根据可同时检测样品的数量分为单通道和多通道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hint="eastAsia" w:ascii="Arial" w:hAnsi="Arial" w:cs="宋体"/>
          <w:sz w:val="24"/>
          <w:szCs w:val="24"/>
          <w:shd w:val="clear" w:color="auto" w:fill="FFFFFF"/>
        </w:rPr>
        <w:t>半自动血凝仪一般由检测单元、控制单元、数据处理、显示与打印单元组成。全自动血凝仪一般由自动进样单元、检测单元、控制单元、数据处理、显示与打印单元组成。</w:t>
      </w:r>
    </w:p>
    <w:p>
      <w:pPr>
        <w:spacing w:line="360" w:lineRule="auto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16" w:name="_Toc440453642"/>
      <w:bookmarkStart w:id="17" w:name="_Toc440453423"/>
      <w:r>
        <w:rPr>
          <w:rFonts w:ascii="黑体" w:hAnsi="宋体" w:eastAsia="黑体" w:cs="黑体"/>
          <w:b/>
          <w:bCs/>
          <w:sz w:val="24"/>
          <w:szCs w:val="24"/>
        </w:rPr>
        <w:t xml:space="preserve">5. 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计量特性</w:t>
      </w:r>
      <w:bookmarkEnd w:id="16"/>
      <w:bookmarkEnd w:id="17"/>
    </w:p>
    <w:p>
      <w:pPr>
        <w:adjustRightInd w:val="0"/>
        <w:snapToGrid w:val="0"/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血凝仪</w:t>
      </w:r>
      <w:r>
        <w:rPr>
          <w:rFonts w:hint="eastAsia" w:ascii="宋体" w:hAnsi="宋体" w:cs="宋体"/>
          <w:color w:val="000000"/>
          <w:sz w:val="24"/>
          <w:szCs w:val="24"/>
        </w:rPr>
        <w:t>的计量特性见下表</w:t>
      </w:r>
    </w:p>
    <w:p>
      <w:pPr>
        <w:spacing w:line="360" w:lineRule="auto"/>
        <w:jc w:val="center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血凝仪</w:t>
      </w:r>
      <w:r>
        <w:rPr>
          <w:rFonts w:hint="eastAsia" w:ascii="宋体" w:hAnsi="宋体" w:cs="宋体"/>
          <w:sz w:val="24"/>
          <w:szCs w:val="24"/>
        </w:rPr>
        <w:t>检测项目的技术指标</w:t>
      </w:r>
    </w:p>
    <w:tbl>
      <w:tblPr>
        <w:tblStyle w:val="19"/>
        <w:tblW w:w="0" w:type="auto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2573"/>
        <w:gridCol w:w="2203"/>
        <w:gridCol w:w="22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06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血凝仪检测项目</w:t>
            </w:r>
          </w:p>
        </w:tc>
        <w:tc>
          <w:tcPr>
            <w:tcW w:w="2573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示值范围</w:t>
            </w:r>
          </w:p>
        </w:tc>
        <w:tc>
          <w:tcPr>
            <w:tcW w:w="220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示值误差（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295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重复性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6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PT</w:t>
            </w:r>
          </w:p>
        </w:tc>
        <w:tc>
          <w:tcPr>
            <w:tcW w:w="2573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(20</w:t>
            </w:r>
            <w:r>
              <w:rPr>
                <w:rFonts w:hint="eastAsia" w:cs="宋体"/>
                <w:color w:val="000000"/>
                <w:sz w:val="24"/>
                <w:szCs w:val="24"/>
              </w:rPr>
              <w:t>～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50)s</w:t>
            </w:r>
          </w:p>
        </w:tc>
        <w:tc>
          <w:tcPr>
            <w:tcW w:w="22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验收时按客户和生产厂家双方达成的技术协议，复校时按用户的规定给出</w:t>
            </w:r>
          </w:p>
        </w:tc>
        <w:tc>
          <w:tcPr>
            <w:tcW w:w="229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06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APTT</w:t>
            </w:r>
          </w:p>
        </w:tc>
        <w:tc>
          <w:tcPr>
            <w:tcW w:w="2573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(40</w:t>
            </w:r>
            <w:r>
              <w:rPr>
                <w:rFonts w:hint="eastAsia" w:cs="宋体"/>
                <w:color w:val="000000"/>
                <w:sz w:val="24"/>
                <w:szCs w:val="24"/>
              </w:rPr>
              <w:t>～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120)s</w:t>
            </w:r>
          </w:p>
        </w:tc>
        <w:tc>
          <w:tcPr>
            <w:tcW w:w="22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06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FIB</w:t>
            </w:r>
          </w:p>
        </w:tc>
        <w:tc>
          <w:tcPr>
            <w:tcW w:w="2573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(0.900</w:t>
            </w:r>
            <w:r>
              <w:rPr>
                <w:rFonts w:hint="eastAsia" w:cs="宋体"/>
                <w:color w:val="000000"/>
                <w:sz w:val="24"/>
                <w:szCs w:val="24"/>
              </w:rPr>
              <w:t>～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2.5)g</w:t>
            </w:r>
          </w:p>
        </w:tc>
        <w:tc>
          <w:tcPr>
            <w:tcW w:w="22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6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TT</w:t>
            </w:r>
          </w:p>
        </w:tc>
        <w:tc>
          <w:tcPr>
            <w:tcW w:w="2573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(15</w:t>
            </w:r>
            <w:r>
              <w:rPr>
                <w:rFonts w:hint="eastAsia" w:cs="宋体"/>
                <w:color w:val="000000"/>
                <w:sz w:val="24"/>
                <w:szCs w:val="24"/>
              </w:rPr>
              <w:t>～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50)s</w:t>
            </w:r>
          </w:p>
        </w:tc>
        <w:tc>
          <w:tcPr>
            <w:tcW w:w="22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10.0%</w:t>
            </w:r>
          </w:p>
        </w:tc>
      </w:tr>
    </w:tbl>
    <w:p>
      <w:pPr>
        <w:spacing w:line="360" w:lineRule="auto"/>
        <w:rPr>
          <w:rFonts w:ascii="仿宋_GB2312" w:hAnsi="宋体" w:eastAsia="仿宋_GB2312"/>
          <w:sz w:val="22"/>
          <w:szCs w:val="22"/>
        </w:rPr>
      </w:pPr>
      <w:r>
        <w:rPr>
          <w:rFonts w:hint="eastAsia" w:ascii="仿宋_GB2312" w:hAnsi="宋体" w:eastAsia="仿宋_GB2312" w:cs="仿宋_GB2312"/>
          <w:sz w:val="22"/>
          <w:szCs w:val="22"/>
        </w:rPr>
        <w:t>注</w:t>
      </w:r>
      <w:r>
        <w:rPr>
          <w:rFonts w:ascii="仿宋_GB2312" w:hAnsi="宋体" w:eastAsia="仿宋_GB2312" w:cs="仿宋_GB2312"/>
          <w:sz w:val="22"/>
          <w:szCs w:val="22"/>
        </w:rPr>
        <w:t>1</w:t>
      </w:r>
      <w:r>
        <w:rPr>
          <w:rFonts w:hint="eastAsia" w:ascii="仿宋_GB2312" w:hAnsi="宋体" w:eastAsia="仿宋_GB2312" w:cs="仿宋_GB2312"/>
          <w:sz w:val="22"/>
          <w:szCs w:val="22"/>
        </w:rPr>
        <w:t>：以上指标针对不同试剂生产厂家、不同批次的产品会有所变化；</w:t>
      </w:r>
    </w:p>
    <w:p>
      <w:pPr>
        <w:spacing w:line="360" w:lineRule="auto"/>
        <w:rPr>
          <w:rFonts w:ascii="仿宋_GB2312" w:hAnsi="宋体" w:eastAsia="仿宋_GB2312"/>
          <w:sz w:val="22"/>
          <w:szCs w:val="22"/>
        </w:rPr>
      </w:pPr>
      <w:r>
        <w:rPr>
          <w:rFonts w:hint="eastAsia" w:ascii="仿宋_GB2312" w:hAnsi="宋体" w:eastAsia="仿宋_GB2312" w:cs="仿宋_GB2312"/>
          <w:sz w:val="22"/>
          <w:szCs w:val="22"/>
        </w:rPr>
        <w:t>注</w:t>
      </w:r>
      <w:r>
        <w:rPr>
          <w:rFonts w:ascii="仿宋_GB2312" w:hAnsi="宋体" w:eastAsia="仿宋_GB2312" w:cs="仿宋_GB2312"/>
          <w:sz w:val="22"/>
          <w:szCs w:val="22"/>
        </w:rPr>
        <w:t>2</w:t>
      </w:r>
      <w:r>
        <w:rPr>
          <w:rFonts w:hint="eastAsia" w:ascii="仿宋_GB2312" w:hAnsi="宋体" w:eastAsia="仿宋_GB2312" w:cs="仿宋_GB2312"/>
          <w:sz w:val="22"/>
          <w:szCs w:val="22"/>
        </w:rPr>
        <w:t>：以上指标不做合格判定依据，仅供校准及不确定度评定时参考。</w:t>
      </w:r>
    </w:p>
    <w:p>
      <w:pPr>
        <w:spacing w:line="360" w:lineRule="auto"/>
        <w:outlineLvl w:val="0"/>
        <w:rPr>
          <w:rFonts w:ascii="宋体"/>
          <w:b/>
          <w:bCs/>
          <w:sz w:val="24"/>
          <w:szCs w:val="24"/>
        </w:rPr>
      </w:pPr>
      <w:bookmarkStart w:id="18" w:name="_Toc440453424"/>
      <w:bookmarkStart w:id="19" w:name="_Toc440453643"/>
      <w:r>
        <w:rPr>
          <w:rFonts w:ascii="宋体" w:hAnsi="宋体" w:cs="宋体"/>
          <w:b/>
          <w:bCs/>
          <w:sz w:val="24"/>
          <w:szCs w:val="24"/>
        </w:rPr>
        <w:t xml:space="preserve">6.  </w:t>
      </w:r>
      <w:r>
        <w:rPr>
          <w:rFonts w:hint="eastAsia" w:ascii="宋体" w:hAnsi="宋体" w:cs="宋体"/>
          <w:b/>
          <w:bCs/>
          <w:sz w:val="24"/>
          <w:szCs w:val="24"/>
        </w:rPr>
        <w:t>校准条件</w:t>
      </w:r>
      <w:bookmarkEnd w:id="18"/>
      <w:bookmarkEnd w:id="19"/>
    </w:p>
    <w:p>
      <w:pPr>
        <w:adjustRightInd w:val="0"/>
        <w:snapToGrid w:val="0"/>
        <w:spacing w:line="360" w:lineRule="auto"/>
        <w:outlineLvl w:val="1"/>
        <w:rPr>
          <w:rFonts w:ascii="宋体"/>
          <w:sz w:val="24"/>
          <w:szCs w:val="24"/>
        </w:rPr>
      </w:pPr>
      <w:bookmarkStart w:id="20" w:name="_Toc440453644"/>
      <w:r>
        <w:rPr>
          <w:rFonts w:ascii="宋体" w:hAnsi="宋体" w:cs="宋体"/>
          <w:sz w:val="24"/>
          <w:szCs w:val="24"/>
        </w:rPr>
        <w:t xml:space="preserve">6.1  </w:t>
      </w:r>
      <w:r>
        <w:rPr>
          <w:rFonts w:hint="eastAsia" w:ascii="宋体" w:hAnsi="宋体" w:cs="宋体"/>
          <w:sz w:val="24"/>
          <w:szCs w:val="24"/>
        </w:rPr>
        <w:t>环境条件</w:t>
      </w:r>
      <w:bookmarkEnd w:id="20"/>
    </w:p>
    <w:p>
      <w:pPr>
        <w:adjustRightInd w:val="0"/>
        <w:snapToGrid w:val="0"/>
        <w:spacing w:line="360" w:lineRule="auto"/>
        <w:ind w:firstLine="600" w:firstLineChars="2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环境温度：（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～</w:t>
      </w:r>
      <w:r>
        <w:rPr>
          <w:rFonts w:ascii="宋体" w:hAnsi="宋体" w:cs="宋体"/>
          <w:sz w:val="24"/>
          <w:szCs w:val="24"/>
        </w:rPr>
        <w:t>35</w:t>
      </w:r>
      <w:r>
        <w:rPr>
          <w:rFonts w:hint="eastAsia" w:ascii="宋体" w:hAnsi="宋体" w:cs="宋体"/>
          <w:sz w:val="24"/>
          <w:szCs w:val="24"/>
        </w:rPr>
        <w:t>）℃；</w:t>
      </w:r>
    </w:p>
    <w:p>
      <w:pPr>
        <w:adjustRightInd w:val="0"/>
        <w:snapToGrid w:val="0"/>
        <w:spacing w:line="360" w:lineRule="auto"/>
        <w:ind w:firstLine="600" w:firstLineChars="2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相对湿度：≤</w:t>
      </w:r>
      <w:r>
        <w:rPr>
          <w:rFonts w:ascii="宋体" w:hAnsi="宋体" w:cs="宋体"/>
          <w:sz w:val="24"/>
          <w:szCs w:val="24"/>
        </w:rPr>
        <w:t>80%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600" w:firstLineChars="2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供电电源：电压（</w:t>
      </w:r>
      <w:r>
        <w:rPr>
          <w:rFonts w:ascii="宋体" w:hAnsi="宋体" w:cs="宋体"/>
          <w:sz w:val="24"/>
          <w:szCs w:val="24"/>
        </w:rPr>
        <w:t>220</w:t>
      </w:r>
      <w:r>
        <w:rPr>
          <w:rFonts w:hint="eastAsia" w:ascii="宋体" w:hAnsi="宋体" w:cs="宋体"/>
          <w:sz w:val="24"/>
          <w:szCs w:val="24"/>
        </w:rPr>
        <w:t>±</w:t>
      </w:r>
      <w:r>
        <w:rPr>
          <w:rFonts w:ascii="宋体" w:hAnsi="宋体" w:cs="宋体"/>
          <w:sz w:val="24"/>
          <w:szCs w:val="24"/>
        </w:rPr>
        <w:t>22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</w:t>
      </w:r>
      <w:r>
        <w:rPr>
          <w:rFonts w:hint="eastAsia" w:ascii="宋体" w:hAnsi="宋体" w:cs="宋体"/>
          <w:sz w:val="24"/>
          <w:szCs w:val="24"/>
        </w:rPr>
        <w:t>，频率（</w:t>
      </w:r>
      <w:r>
        <w:rPr>
          <w:rFonts w:ascii="宋体" w:hAnsi="宋体" w:cs="宋体"/>
          <w:sz w:val="24"/>
          <w:szCs w:val="24"/>
        </w:rPr>
        <w:t>50</w:t>
      </w:r>
      <w:r>
        <w:rPr>
          <w:rFonts w:hint="eastAsia" w:ascii="宋体" w:hAnsi="宋体" w:cs="宋体"/>
          <w:sz w:val="24"/>
          <w:szCs w:val="24"/>
        </w:rPr>
        <w:t>±</w:t>
      </w:r>
      <w:r>
        <w:rPr>
          <w:rFonts w:ascii="宋体" w:hAnsi="宋体" w:cs="宋体"/>
          <w:sz w:val="24"/>
          <w:szCs w:val="24"/>
        </w:rPr>
        <w:t>0.5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Hz</w:t>
      </w:r>
      <w:r>
        <w:rPr>
          <w:rFonts w:hint="eastAsia" w:ascii="宋体" w:hAnsi="宋体" w:cs="宋体"/>
          <w:sz w:val="24"/>
          <w:szCs w:val="24"/>
        </w:rPr>
        <w:t>，仪器接地良好；</w:t>
      </w:r>
    </w:p>
    <w:p>
      <w:pPr>
        <w:autoSpaceDE w:val="0"/>
        <w:autoSpaceDN w:val="0"/>
        <w:adjustRightInd w:val="0"/>
        <w:spacing w:line="360" w:lineRule="auto"/>
        <w:ind w:firstLine="600" w:firstLineChars="250"/>
        <w:jc w:val="left"/>
        <w:rPr>
          <w:rFonts w:ascii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周围无强电磁场干扰</w:t>
      </w:r>
      <w:r>
        <w:rPr>
          <w:rFonts w:hint="eastAsia" w:ascii="宋体" w:hAnsi="宋体" w:cs="宋体"/>
          <w:kern w:val="0"/>
          <w:sz w:val="24"/>
          <w:szCs w:val="24"/>
        </w:rPr>
        <w:t>，无影响校准系统正常工作的机械振动。</w:t>
      </w:r>
      <w:bookmarkStart w:id="21" w:name="_Toc325970846"/>
      <w:bookmarkStart w:id="22" w:name="_Toc402725163"/>
      <w:bookmarkStart w:id="23" w:name="_Toc402725322"/>
      <w:bookmarkStart w:id="24" w:name="_Toc402726454"/>
      <w:bookmarkStart w:id="25" w:name="_Toc427918660"/>
      <w:bookmarkStart w:id="26" w:name="_Toc416709847"/>
      <w:bookmarkStart w:id="27" w:name="_Toc416190247"/>
    </w:p>
    <w:p>
      <w:pPr>
        <w:autoSpaceDE w:val="0"/>
        <w:autoSpaceDN w:val="0"/>
        <w:adjustRightInd w:val="0"/>
        <w:spacing w:line="360" w:lineRule="auto"/>
        <w:jc w:val="left"/>
        <w:outlineLvl w:val="1"/>
        <w:rPr>
          <w:rFonts w:ascii="宋体"/>
          <w:color w:val="000000"/>
          <w:spacing w:val="2"/>
          <w:kern w:val="0"/>
          <w:position w:val="-1"/>
          <w:sz w:val="24"/>
          <w:szCs w:val="24"/>
        </w:rPr>
      </w:pPr>
      <w:bookmarkStart w:id="28" w:name="_Toc440453645"/>
      <w:r>
        <w:rPr>
          <w:rFonts w:ascii="宋体" w:hAnsi="宋体" w:cs="宋体"/>
          <w:sz w:val="24"/>
          <w:szCs w:val="24"/>
        </w:rPr>
        <w:t xml:space="preserve">6.2 </w:t>
      </w:r>
      <w:r>
        <w:rPr>
          <w:rFonts w:ascii="宋体" w:hAnsi="宋体" w:cs="宋体"/>
          <w:color w:val="FF0000"/>
          <w:sz w:val="24"/>
          <w:szCs w:val="24"/>
        </w:rPr>
        <w:t xml:space="preserve"> </w:t>
      </w:r>
      <w:bookmarkEnd w:id="21"/>
      <w:bookmarkEnd w:id="22"/>
      <w:bookmarkEnd w:id="23"/>
      <w:bookmarkEnd w:id="24"/>
      <w:r>
        <w:rPr>
          <w:rFonts w:hint="eastAsia" w:ascii="宋体" w:hAnsi="宋体" w:cs="宋体"/>
          <w:sz w:val="24"/>
          <w:szCs w:val="24"/>
        </w:rPr>
        <w:t>标准物质</w:t>
      </w:r>
      <w:bookmarkEnd w:id="25"/>
      <w:bookmarkEnd w:id="26"/>
      <w:bookmarkEnd w:id="27"/>
      <w:bookmarkEnd w:id="28"/>
    </w:p>
    <w:p>
      <w:pPr>
        <w:autoSpaceDE w:val="0"/>
        <w:autoSpaceDN w:val="0"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</w:rPr>
        <w:t>由于目前国内还没有可溯源的血凝仪标准物质，校准时使用了美国伯乐公司生产的血凝质控物，通过使用不同批次的血凝质控物对同一台血凝仪进行测量比对实验，其</w:t>
      </w:r>
      <w:r>
        <w:rPr>
          <w:rFonts w:ascii="宋体" w:hAnsi="宋体" w:cs="宋体"/>
          <w:kern w:val="0"/>
          <w:sz w:val="24"/>
          <w:szCs w:val="24"/>
        </w:rPr>
        <w:t>PT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APTT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FIB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TT</w:t>
      </w:r>
      <w:r>
        <w:rPr>
          <w:rFonts w:hint="eastAsia" w:ascii="宋体" w:hAnsi="宋体" w:cs="宋体"/>
          <w:kern w:val="0"/>
          <w:sz w:val="24"/>
          <w:szCs w:val="24"/>
        </w:rPr>
        <w:t>四个项目的</w:t>
      </w:r>
      <w:r>
        <w:rPr>
          <w:rFonts w:ascii="宋体" w:hAnsi="宋体" w:cs="宋体"/>
          <w:kern w:val="0"/>
          <w:sz w:val="24"/>
          <w:szCs w:val="24"/>
        </w:rPr>
        <w:t>En</w:t>
      </w:r>
      <w:r>
        <w:rPr>
          <w:rFonts w:hint="eastAsia" w:ascii="宋体" w:hAnsi="宋体" w:cs="宋体"/>
          <w:kern w:val="0"/>
          <w:sz w:val="24"/>
          <w:szCs w:val="24"/>
        </w:rPr>
        <w:t>值均小于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spacing w:line="360" w:lineRule="auto"/>
        <w:outlineLvl w:val="0"/>
        <w:rPr>
          <w:rFonts w:ascii="宋体"/>
          <w:b/>
          <w:bCs/>
          <w:sz w:val="24"/>
          <w:szCs w:val="24"/>
        </w:rPr>
      </w:pPr>
      <w:bookmarkStart w:id="29" w:name="_Toc440453646"/>
      <w:bookmarkStart w:id="30" w:name="_Toc440453425"/>
      <w:r>
        <w:rPr>
          <w:rFonts w:ascii="宋体" w:hAnsi="宋体" w:cs="宋体"/>
          <w:b/>
          <w:bCs/>
          <w:sz w:val="24"/>
          <w:szCs w:val="24"/>
        </w:rPr>
        <w:t xml:space="preserve">7.  </w:t>
      </w:r>
      <w:r>
        <w:rPr>
          <w:rFonts w:hint="eastAsia" w:ascii="宋体" w:hAnsi="宋体" w:cs="宋体"/>
          <w:b/>
          <w:bCs/>
          <w:sz w:val="24"/>
          <w:szCs w:val="24"/>
        </w:rPr>
        <w:t>校准项目和校准方法</w:t>
      </w:r>
      <w:bookmarkEnd w:id="29"/>
      <w:bookmarkEnd w:id="30"/>
    </w:p>
    <w:p>
      <w:pPr>
        <w:spacing w:line="360" w:lineRule="auto"/>
        <w:outlineLvl w:val="1"/>
        <w:rPr>
          <w:rFonts w:ascii="宋体"/>
          <w:color w:val="000000"/>
          <w:sz w:val="24"/>
          <w:szCs w:val="24"/>
        </w:rPr>
      </w:pPr>
      <w:bookmarkStart w:id="31" w:name="_Toc440453647"/>
      <w:r>
        <w:rPr>
          <w:rFonts w:ascii="宋体" w:hAnsi="宋体" w:cs="宋体"/>
          <w:color w:val="000000"/>
          <w:sz w:val="24"/>
          <w:szCs w:val="24"/>
        </w:rPr>
        <w:t xml:space="preserve">7.1  </w:t>
      </w:r>
      <w:r>
        <w:rPr>
          <w:rFonts w:hint="eastAsia" w:ascii="宋体" w:hAnsi="宋体" w:cs="宋体"/>
          <w:color w:val="000000"/>
          <w:sz w:val="24"/>
          <w:szCs w:val="24"/>
        </w:rPr>
        <w:t>外观及工作正常性检查</w:t>
      </w:r>
      <w:bookmarkEnd w:id="31"/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目视检查血凝仪的外观及附件，应具有下列标识：名称、型号、制造厂名（或公司名）、出厂编号及相应的警示标志等，主机及配件齐全，应附有制造厂的说明书。</w:t>
      </w:r>
      <w:r>
        <w:rPr>
          <w:rFonts w:hint="eastAsia" w:ascii="宋体" w:hAnsi="宋体" w:cs="宋体"/>
          <w:sz w:val="24"/>
          <w:szCs w:val="24"/>
        </w:rPr>
        <w:t>通电后显示功能正常，数字显示器应显示清晰。</w:t>
      </w:r>
    </w:p>
    <w:p>
      <w:pPr>
        <w:autoSpaceDE w:val="0"/>
        <w:autoSpaceDN w:val="0"/>
        <w:adjustRightInd w:val="0"/>
        <w:spacing w:line="360" w:lineRule="auto"/>
        <w:jc w:val="left"/>
        <w:outlineLvl w:val="1"/>
        <w:rPr>
          <w:rFonts w:ascii="宋体"/>
          <w:kern w:val="0"/>
          <w:sz w:val="24"/>
          <w:szCs w:val="24"/>
        </w:rPr>
      </w:pPr>
      <w:bookmarkStart w:id="32" w:name="_Toc440453648"/>
      <w:r>
        <w:rPr>
          <w:rFonts w:ascii="宋体" w:hAnsi="宋体" w:cs="宋体"/>
          <w:color w:val="000000"/>
          <w:spacing w:val="2"/>
          <w:kern w:val="0"/>
          <w:position w:val="-1"/>
          <w:sz w:val="24"/>
          <w:szCs w:val="24"/>
        </w:rPr>
        <w:t xml:space="preserve">7.2  </w:t>
      </w:r>
      <w:r>
        <w:rPr>
          <w:rFonts w:hint="eastAsia" w:ascii="Arial" w:hAnsi="Arial" w:cs="宋体"/>
          <w:sz w:val="24"/>
          <w:szCs w:val="24"/>
          <w:shd w:val="clear" w:color="auto" w:fill="FFFFFF"/>
        </w:rPr>
        <w:t>血凝仪的</w:t>
      </w:r>
      <w:r>
        <w:rPr>
          <w:rFonts w:hint="eastAsia" w:ascii="宋体" w:hAnsi="宋体" w:cs="宋体"/>
          <w:kern w:val="0"/>
          <w:sz w:val="24"/>
          <w:szCs w:val="24"/>
        </w:rPr>
        <w:t>示值范围、示值误差与重复性</w:t>
      </w:r>
      <w:bookmarkEnd w:id="32"/>
      <w:r>
        <w:rPr>
          <w:rFonts w:ascii="宋体" w:hAnsi="宋体" w:cs="宋体"/>
          <w:kern w:val="0"/>
          <w:sz w:val="24"/>
          <w:szCs w:val="24"/>
        </w:rPr>
        <w:t xml:space="preserve">  </w:t>
      </w:r>
    </w:p>
    <w:p>
      <w:pPr>
        <w:spacing w:line="360" w:lineRule="auto"/>
        <w:ind w:firstLine="480" w:firstLineChars="200"/>
        <w:rPr>
          <w:rFonts w:ascii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按照仪器说明书的要求对仪器进行预热，将血凝质控物按照要求稀释后放置</w:t>
      </w:r>
      <w:r>
        <w:rPr>
          <w:rFonts w:ascii="宋体" w:hAnsi="宋体" w:cs="宋体"/>
          <w:kern w:val="0"/>
          <w:sz w:val="24"/>
          <w:szCs w:val="24"/>
        </w:rPr>
        <w:t>20</w:t>
      </w:r>
      <w:r>
        <w:rPr>
          <w:rFonts w:hint="eastAsia" w:ascii="宋体" w:hAnsi="宋体" w:cs="宋体"/>
          <w:kern w:val="0"/>
          <w:sz w:val="24"/>
          <w:szCs w:val="24"/>
        </w:rPr>
        <w:t>～</w:t>
      </w:r>
      <w:r>
        <w:rPr>
          <w:rFonts w:ascii="宋体" w:hAnsi="宋体" w:cs="宋体"/>
          <w:kern w:val="0"/>
          <w:sz w:val="24"/>
          <w:szCs w:val="24"/>
        </w:rPr>
        <w:t>30</w:t>
      </w:r>
      <w:r>
        <w:rPr>
          <w:rFonts w:hint="eastAsia" w:ascii="宋体" w:hAnsi="宋体" w:cs="宋体"/>
          <w:kern w:val="0"/>
          <w:sz w:val="24"/>
          <w:szCs w:val="24"/>
        </w:rPr>
        <w:t>分钟，然后将溶液充分混匀，待仪器稳定后，用</w:t>
      </w:r>
      <w:r>
        <w:rPr>
          <w:rFonts w:hint="eastAsia" w:ascii="Arial" w:hAnsi="Arial" w:cs="宋体"/>
          <w:sz w:val="24"/>
          <w:szCs w:val="24"/>
          <w:shd w:val="clear" w:color="auto" w:fill="FFFFFF"/>
        </w:rPr>
        <w:t>血凝仪测量</w:t>
      </w:r>
      <w:r>
        <w:rPr>
          <w:rFonts w:hint="eastAsia" w:ascii="宋体" w:hAnsi="宋体" w:cs="宋体"/>
          <w:kern w:val="0"/>
          <w:sz w:val="24"/>
          <w:szCs w:val="24"/>
        </w:rPr>
        <w:t>稀释后的质控液，每个项目重复测量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kern w:val="0"/>
          <w:sz w:val="24"/>
          <w:szCs w:val="24"/>
        </w:rPr>
        <w:t>次，按照公式（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）计算示值测量结果，按照公式（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）计算测量重复性：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      </w:t>
      </w:r>
      <w:r>
        <w:rPr>
          <w:rFonts w:hint="eastAsia" w:ascii="宋体" w:hAnsi="宋体" w:cs="宋体"/>
          <w:kern w:val="0"/>
          <w:position w:val="-10"/>
          <w:sz w:val="24"/>
          <w:szCs w:val="24"/>
        </w:rPr>
        <w:object>
          <v:shape id="_x0000_i1025" o:spt="75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rFonts w:ascii="宋体" w:hAnsi="宋体" w:cs="宋体"/>
          <w:kern w:val="0"/>
          <w:sz w:val="24"/>
          <w:szCs w:val="24"/>
        </w:rPr>
        <w:t xml:space="preserve">           </w:t>
      </w:r>
      <w:r>
        <w:rPr>
          <w:rFonts w:hint="eastAsia" w:ascii="宋体" w:hAnsi="宋体" w:cs="宋体"/>
          <w:position w:val="-30"/>
          <w:sz w:val="24"/>
          <w:szCs w:val="24"/>
        </w:rPr>
        <w:object>
          <v:shape id="_x0000_i1026" o:spt="75" type="#_x0000_t75" style="height:36.75pt;width:57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5">
            <o:LockedField>false</o:LockedField>
          </o:OLEObject>
        </w:object>
      </w:r>
      <w:r>
        <w:rPr>
          <w:rFonts w:ascii="宋体" w:hAnsi="宋体" w:cs="宋体"/>
          <w:kern w:val="0"/>
          <w:sz w:val="24"/>
          <w:szCs w:val="24"/>
        </w:rPr>
        <w:t xml:space="preserve">              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pacing w:line="360" w:lineRule="auto"/>
        <w:ind w:firstLine="2640" w:firstLineChars="1100"/>
        <w:jc w:val="left"/>
        <w:rPr>
          <w:rFonts w:ascii="宋体"/>
          <w:kern w:val="0"/>
          <w:sz w:val="24"/>
          <w:szCs w:val="24"/>
        </w:rPr>
      </w:pPr>
      <w:r>
        <w:rPr>
          <w:rFonts w:ascii="宋体"/>
          <w:kern w:val="0"/>
          <w:position w:val="-24"/>
          <w:sz w:val="24"/>
          <w:szCs w:val="24"/>
        </w:rPr>
        <w:pict>
          <v:shape id="_x0000_i1027" o:spt="75" type="#_x0000_t75" style="height:26.25pt;width:80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position w:val="-24"/>
          <w:sz w:val="24"/>
          <w:szCs w:val="24"/>
        </w:rPr>
        <w:t xml:space="preserve">         </w:t>
      </w:r>
      <w:r>
        <w:rPr>
          <w:rFonts w:hint="eastAsia" w:ascii="宋体" w:cs="宋体"/>
          <w:kern w:val="0"/>
          <w:position w:val="-24"/>
          <w:sz w:val="24"/>
          <w:szCs w:val="24"/>
        </w:rPr>
        <w:t>（</w:t>
      </w:r>
      <w:r>
        <w:rPr>
          <w:rFonts w:ascii="宋体" w:cs="宋体"/>
          <w:kern w:val="0"/>
          <w:position w:val="-24"/>
          <w:sz w:val="24"/>
          <w:szCs w:val="24"/>
        </w:rPr>
        <w:t>2</w:t>
      </w:r>
      <w:r>
        <w:rPr>
          <w:rFonts w:hint="eastAsia" w:ascii="宋体" w:cs="宋体"/>
          <w:kern w:val="0"/>
          <w:position w:val="-24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式中：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28" o:spt="75" type="#_x0000_t75" style="height:17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8" DrawAspect="Content" ObjectID="_1468075727" r:id="rId18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</w:rPr>
        <w:t>血凝仪示值平均值，</w:t>
      </w:r>
      <w:r>
        <w:rPr>
          <w:kern w:val="0"/>
          <w:sz w:val="24"/>
          <w:szCs w:val="24"/>
        </w:rPr>
        <w:t>s</w:t>
      </w:r>
      <w:r>
        <w:rPr>
          <w:rFonts w:hint="eastAsia" w:cs="宋体"/>
          <w:kern w:val="0"/>
          <w:sz w:val="24"/>
          <w:szCs w:val="24"/>
        </w:rPr>
        <w:t>或者</w:t>
      </w:r>
      <w:r>
        <w:rPr>
          <w:kern w:val="0"/>
          <w:sz w:val="24"/>
          <w:szCs w:val="24"/>
        </w:rPr>
        <w:t>g/L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spacing w:line="360" w:lineRule="auto"/>
        <w:ind w:left="4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i/>
          <w:iCs/>
          <w:sz w:val="24"/>
          <w:szCs w:val="24"/>
        </w:rPr>
        <w:t>x</w:t>
      </w:r>
      <w:r>
        <w:rPr>
          <w:i/>
          <w:iCs/>
          <w:sz w:val="24"/>
          <w:szCs w:val="24"/>
          <w:vertAlign w:val="subscript"/>
        </w:rPr>
        <w:t>s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</w:rPr>
        <w:t>血凝质控物标称值，</w:t>
      </w:r>
      <w:r>
        <w:rPr>
          <w:kern w:val="0"/>
          <w:sz w:val="24"/>
          <w:szCs w:val="24"/>
        </w:rPr>
        <w:t>s</w:t>
      </w:r>
      <w:r>
        <w:rPr>
          <w:rFonts w:hint="eastAsia" w:cs="宋体"/>
          <w:kern w:val="0"/>
          <w:sz w:val="24"/>
          <w:szCs w:val="24"/>
        </w:rPr>
        <w:t>或者</w:t>
      </w:r>
      <w:r>
        <w:rPr>
          <w:kern w:val="0"/>
          <w:sz w:val="24"/>
          <w:szCs w:val="24"/>
        </w:rPr>
        <w:t>g/L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 xml:space="preserve">      </w:t>
      </w:r>
    </w:p>
    <w:p>
      <w:pPr>
        <w:autoSpaceDE w:val="0"/>
        <w:autoSpaceDN w:val="0"/>
        <w:adjustRightInd w:val="0"/>
        <w:spacing w:line="360" w:lineRule="auto"/>
        <w:ind w:firstLine="1200" w:firstLineChars="500"/>
        <w:jc w:val="lef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kern w:val="0"/>
          <w:position w:val="-6"/>
          <w:sz w:val="24"/>
          <w:szCs w:val="24"/>
        </w:rPr>
        <w:object>
          <v:shape id="_x0000_i1029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8" r:id="rId20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</w:rPr>
        <w:t>血凝仪示值的相对误差，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   </w:t>
      </w:r>
      <w:r>
        <w:rPr>
          <w:rFonts w:ascii="宋体"/>
          <w:kern w:val="0"/>
          <w:position w:val="-6"/>
          <w:sz w:val="24"/>
          <w:szCs w:val="24"/>
        </w:rPr>
        <w:pict>
          <v:shape id="_x0000_i1030" o:spt="75" type="#_x0000_t75" style="height:9pt;width:9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— </w:t>
      </w:r>
      <w:r>
        <w:rPr>
          <w:rFonts w:hint="eastAsia" w:ascii="宋体" w:hAnsi="宋体" w:cs="宋体"/>
          <w:kern w:val="0"/>
          <w:sz w:val="24"/>
          <w:szCs w:val="24"/>
        </w:rPr>
        <w:t>血凝仪示值重复性，％；</w:t>
      </w:r>
    </w:p>
    <w:p>
      <w:pPr>
        <w:autoSpaceDE w:val="0"/>
        <w:autoSpaceDN w:val="0"/>
        <w:adjustRightInd w:val="0"/>
        <w:spacing w:line="360" w:lineRule="auto"/>
        <w:ind w:firstLine="1440" w:firstLineChars="600"/>
        <w:jc w:val="left"/>
        <w:rPr>
          <w:rFonts w:ascii="宋体"/>
          <w:kern w:val="0"/>
          <w:sz w:val="24"/>
          <w:szCs w:val="24"/>
        </w:rPr>
      </w:pPr>
      <w:r>
        <w:rPr>
          <w:rFonts w:ascii="宋体"/>
          <w:kern w:val="0"/>
          <w:position w:val="-12"/>
          <w:sz w:val="24"/>
          <w:szCs w:val="24"/>
        </w:rPr>
        <w:pict>
          <v:shape id="_x0000_i1031" o:spt="75" type="#_x0000_t75" style="height:17.25pt;width:21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4"/>
        </w:rPr>
        <w:t>—</w:t>
      </w:r>
      <w:r>
        <w:rPr>
          <w:rFonts w:hint="eastAsia" w:ascii="宋体" w:hAnsi="宋体" w:cs="宋体"/>
          <w:kern w:val="0"/>
          <w:sz w:val="24"/>
          <w:szCs w:val="24"/>
        </w:rPr>
        <w:t>血凝仪测量三次的最大值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kern w:val="0"/>
          <w:sz w:val="24"/>
          <w:szCs w:val="24"/>
        </w:rPr>
        <w:t>s</w:t>
      </w:r>
      <w:r>
        <w:rPr>
          <w:rFonts w:hint="eastAsia" w:cs="宋体"/>
          <w:kern w:val="0"/>
          <w:sz w:val="24"/>
          <w:szCs w:val="24"/>
        </w:rPr>
        <w:t>或者</w:t>
      </w:r>
      <w:r>
        <w:rPr>
          <w:kern w:val="0"/>
          <w:sz w:val="24"/>
          <w:szCs w:val="24"/>
        </w:rPr>
        <w:t>g/L</w:t>
      </w:r>
      <w:r>
        <w:rPr>
          <w:rFonts w:hint="eastAsia" w:ascii="宋体" w:hAnsi="宋体" w:cs="宋体"/>
          <w:kern w:val="0"/>
          <w:sz w:val="24"/>
          <w:szCs w:val="24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1200" w:firstLineChars="50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/>
          <w:kern w:val="0"/>
          <w:position w:val="-12"/>
          <w:sz w:val="24"/>
          <w:szCs w:val="24"/>
        </w:rPr>
        <w:pict>
          <v:shape id="_x0000_i1032" o:spt="75" type="#_x0000_t75" style="height:17.25pt;width:19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4"/>
        </w:rPr>
        <w:t>—</w:t>
      </w:r>
      <w:r>
        <w:rPr>
          <w:rFonts w:hint="eastAsia" w:ascii="宋体" w:hAnsi="宋体" w:cs="宋体"/>
          <w:kern w:val="0"/>
          <w:sz w:val="24"/>
          <w:szCs w:val="24"/>
        </w:rPr>
        <w:t>血凝仪测量三次的最小值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kern w:val="0"/>
          <w:sz w:val="24"/>
          <w:szCs w:val="24"/>
        </w:rPr>
        <w:t>s</w:t>
      </w:r>
      <w:r>
        <w:rPr>
          <w:rFonts w:hint="eastAsia" w:cs="宋体"/>
          <w:kern w:val="0"/>
          <w:sz w:val="24"/>
          <w:szCs w:val="24"/>
        </w:rPr>
        <w:t>或者</w:t>
      </w:r>
      <w:r>
        <w:rPr>
          <w:kern w:val="0"/>
          <w:sz w:val="24"/>
          <w:szCs w:val="24"/>
        </w:rPr>
        <w:t>g/L</w:t>
      </w:r>
      <w:r>
        <w:rPr>
          <w:rFonts w:hint="eastAsia" w:ascii="宋体" w:hAnsi="宋体" w:cs="宋体"/>
          <w:kern w:val="0"/>
          <w:sz w:val="24"/>
          <w:szCs w:val="24"/>
        </w:rPr>
        <w:t>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       </w:t>
      </w:r>
      <w:r>
        <w:rPr>
          <w:i/>
          <w:iCs/>
          <w:kern w:val="0"/>
          <w:sz w:val="24"/>
          <w:szCs w:val="24"/>
        </w:rPr>
        <w:t xml:space="preserve">  C </w:t>
      </w:r>
      <w:r>
        <w:rPr>
          <w:rFonts w:ascii="宋体" w:hAnsi="宋体" w:cs="宋体"/>
          <w:kern w:val="0"/>
          <w:sz w:val="24"/>
          <w:szCs w:val="24"/>
        </w:rPr>
        <w:t xml:space="preserve">— </w:t>
      </w:r>
      <w:r>
        <w:rPr>
          <w:rFonts w:hint="eastAsia" w:ascii="宋体" w:hAnsi="宋体" w:cs="宋体"/>
          <w:kern w:val="0"/>
          <w:sz w:val="24"/>
          <w:szCs w:val="24"/>
        </w:rPr>
        <w:t>极差系数</w:t>
      </w:r>
      <w:r>
        <w:rPr>
          <w:rFonts w:hint="eastAsia" w:cs="宋体"/>
          <w:sz w:val="24"/>
          <w:szCs w:val="24"/>
        </w:rPr>
        <w:t>，当测量次数为</w:t>
      </w:r>
      <w:r>
        <w:rPr>
          <w:sz w:val="24"/>
          <w:szCs w:val="24"/>
        </w:rPr>
        <w:t>3</w:t>
      </w:r>
      <w:r>
        <w:rPr>
          <w:rFonts w:hint="eastAsia" w:cs="宋体"/>
          <w:sz w:val="24"/>
          <w:szCs w:val="24"/>
        </w:rPr>
        <w:t>次时，其值为</w:t>
      </w:r>
      <w:r>
        <w:rPr>
          <w:rFonts w:ascii="宋体" w:hAnsi="宋体" w:cs="宋体"/>
          <w:sz w:val="24"/>
          <w:szCs w:val="24"/>
        </w:rPr>
        <w:t>1.69</w:t>
      </w:r>
      <w:r>
        <w:rPr>
          <w:rFonts w:hint="eastAsia" w:cs="宋体"/>
          <w:sz w:val="24"/>
          <w:szCs w:val="24"/>
        </w:rPr>
        <w:t>。</w:t>
      </w:r>
      <w:r>
        <w:rPr>
          <w:rFonts w:ascii="宋体" w:hAnsi="宋体" w:cs="宋体"/>
          <w:kern w:val="0"/>
          <w:sz w:val="24"/>
          <w:szCs w:val="24"/>
        </w:rPr>
        <w:t xml:space="preserve">    </w:t>
      </w:r>
    </w:p>
    <w:p>
      <w:pPr>
        <w:spacing w:line="360" w:lineRule="auto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33" w:name="_Toc440453649"/>
      <w:bookmarkStart w:id="34" w:name="_Toc440453426"/>
      <w:r>
        <w:rPr>
          <w:rFonts w:ascii="黑体" w:hAnsi="宋体" w:eastAsia="黑体" w:cs="黑体"/>
          <w:b/>
          <w:bCs/>
          <w:sz w:val="24"/>
          <w:szCs w:val="24"/>
        </w:rPr>
        <w:t xml:space="preserve">8. 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校准结果</w:t>
      </w:r>
      <w:bookmarkEnd w:id="33"/>
      <w:bookmarkEnd w:id="34"/>
    </w:p>
    <w:p>
      <w:pPr>
        <w:spacing w:line="360" w:lineRule="auto"/>
        <w:jc w:val="left"/>
        <w:outlineLvl w:val="1"/>
        <w:rPr>
          <w:rFonts w:ascii="宋体"/>
          <w:kern w:val="0"/>
          <w:sz w:val="24"/>
          <w:szCs w:val="24"/>
        </w:rPr>
      </w:pPr>
      <w:bookmarkStart w:id="35" w:name="_Toc440453650"/>
      <w:r>
        <w:rPr>
          <w:rFonts w:ascii="宋体" w:hAnsi="宋体" w:cs="宋体"/>
          <w:sz w:val="24"/>
          <w:szCs w:val="24"/>
        </w:rPr>
        <w:t xml:space="preserve">8.1  </w:t>
      </w:r>
      <w:r>
        <w:rPr>
          <w:rFonts w:hint="eastAsia" w:ascii="宋体" w:hAnsi="宋体" w:cs="宋体"/>
          <w:sz w:val="24"/>
          <w:szCs w:val="24"/>
        </w:rPr>
        <w:t>校准记录</w:t>
      </w:r>
      <w:bookmarkEnd w:id="35"/>
    </w:p>
    <w:p>
      <w:pPr>
        <w:spacing w:line="480" w:lineRule="exact"/>
        <w:ind w:left="359" w:leftChars="171" w:firstLine="120" w:firstLineChars="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校准记录应尽可能详尽地记载测量数据和计算结果，记录格式见附录</w:t>
      </w: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480" w:lineRule="exact"/>
        <w:outlineLvl w:val="1"/>
        <w:rPr>
          <w:rFonts w:ascii="宋体"/>
          <w:sz w:val="24"/>
          <w:szCs w:val="24"/>
        </w:rPr>
      </w:pPr>
      <w:bookmarkStart w:id="36" w:name="_Toc440453651"/>
      <w:r>
        <w:rPr>
          <w:rFonts w:ascii="宋体" w:hAnsi="宋体" w:cs="宋体"/>
          <w:sz w:val="24"/>
          <w:szCs w:val="24"/>
        </w:rPr>
        <w:t xml:space="preserve">8.2  </w:t>
      </w:r>
      <w:r>
        <w:rPr>
          <w:rFonts w:hint="eastAsia" w:ascii="宋体" w:hAnsi="宋体" w:cs="宋体"/>
          <w:sz w:val="24"/>
          <w:szCs w:val="24"/>
        </w:rPr>
        <w:t>校准证书</w:t>
      </w:r>
      <w:bookmarkEnd w:id="36"/>
    </w:p>
    <w:p>
      <w:pPr>
        <w:tabs>
          <w:tab w:val="left" w:pos="908"/>
        </w:tabs>
        <w:spacing w:line="480" w:lineRule="exact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校准证书由封面和校准数据组成，经校准的仪器应出具校准证书，校准证书应包括的信息及推荐的校准证书内页格式见附录</w:t>
      </w:r>
      <w:r>
        <w:rPr>
          <w:rFonts w:ascii="宋体" w:hAnsi="宋体" w:cs="宋体"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。校准项目可根据被校仪器的预期用途选择使用，对校准规范的偏离，应在校准证书中注明。</w:t>
      </w:r>
    </w:p>
    <w:p>
      <w:pPr>
        <w:spacing w:line="360" w:lineRule="auto"/>
        <w:outlineLvl w:val="0"/>
        <w:rPr>
          <w:rFonts w:ascii="宋体"/>
          <w:b/>
          <w:bCs/>
          <w:sz w:val="24"/>
          <w:szCs w:val="24"/>
        </w:rPr>
      </w:pPr>
      <w:bookmarkStart w:id="37" w:name="_Toc440453427"/>
      <w:bookmarkStart w:id="38" w:name="_Toc440453652"/>
      <w:r>
        <w:rPr>
          <w:rFonts w:ascii="宋体" w:hAnsi="宋体" w:cs="宋体"/>
          <w:b/>
          <w:bCs/>
          <w:sz w:val="24"/>
          <w:szCs w:val="24"/>
        </w:rPr>
        <w:t xml:space="preserve">9.  </w:t>
      </w:r>
      <w:r>
        <w:rPr>
          <w:rFonts w:hint="eastAsia" w:ascii="宋体" w:hAnsi="宋体" w:cs="宋体"/>
          <w:b/>
          <w:bCs/>
          <w:sz w:val="24"/>
          <w:szCs w:val="24"/>
        </w:rPr>
        <w:t>复校时间间隔</w:t>
      </w:r>
      <w:bookmarkEnd w:id="37"/>
      <w:bookmarkEnd w:id="38"/>
    </w:p>
    <w:p>
      <w:pPr>
        <w:spacing w:line="480" w:lineRule="exact"/>
        <w:ind w:firstLine="600" w:firstLineChars="2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血凝仪的复校时间间隔，建议不超过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年。如果仪器经维修、更换重要部件或对仪器性能有怀疑时，应随时校准。</w:t>
      </w:r>
    </w:p>
    <w:p>
      <w:pPr>
        <w:tabs>
          <w:tab w:val="center" w:pos="9360"/>
          <w:tab w:val="center" w:pos="9450"/>
          <w:tab w:val="right" w:leader="dot" w:pos="11340"/>
          <w:tab w:val="center" w:pos="14742"/>
        </w:tabs>
        <w:spacing w:line="360" w:lineRule="auto"/>
        <w:ind w:firstLine="523" w:firstLineChars="218"/>
        <w:rPr>
          <w:rFonts w:ascii="宋体"/>
          <w:b/>
          <w:bCs/>
          <w:sz w:val="24"/>
          <w:szCs w:val="24"/>
        </w:rPr>
        <w:sectPr>
          <w:footerReference r:id="rId6" w:type="default"/>
          <w:pgSz w:w="11906" w:h="16838"/>
          <w:pgMar w:top="1247" w:right="1134" w:bottom="1440" w:left="184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 w:val="24"/>
          <w:szCs w:val="24"/>
        </w:rPr>
        <w:t>由于复校时间间隔的长短是由仪器的使用情况、使用者、仪器本身质量等诸因素所决定的，因此，送校单位可根据实际使用情况自主决定复校时间间隔。</w:t>
      </w:r>
    </w:p>
    <w:p>
      <w:pPr>
        <w:spacing w:line="480" w:lineRule="exact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39" w:name="_Toc440453428"/>
      <w:bookmarkStart w:id="40" w:name="_Toc440453653"/>
      <w:r>
        <w:rPr>
          <w:rFonts w:hint="eastAsia" w:ascii="黑体" w:hAnsi="宋体" w:eastAsia="黑体" w:cs="黑体"/>
          <w:b/>
          <w:bCs/>
          <w:sz w:val="28"/>
          <w:szCs w:val="28"/>
        </w:rPr>
        <w:t>附录</w:t>
      </w:r>
      <w:r>
        <w:rPr>
          <w:rFonts w:ascii="黑体" w:hAnsi="宋体" w:eastAsia="黑体" w:cs="黑体"/>
          <w:b/>
          <w:bCs/>
          <w:sz w:val="28"/>
          <w:szCs w:val="28"/>
        </w:rPr>
        <w:t>A</w:t>
      </w:r>
      <w:bookmarkEnd w:id="39"/>
      <w:bookmarkEnd w:id="40"/>
    </w:p>
    <w:p>
      <w:pPr>
        <w:spacing w:line="48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 w:cs="黑体"/>
          <w:b/>
          <w:bCs/>
          <w:sz w:val="32"/>
          <w:szCs w:val="32"/>
        </w:rPr>
        <w:t>血凝仪校准原始记录格式</w:t>
      </w:r>
    </w:p>
    <w:p>
      <w:pPr>
        <w:spacing w:line="480" w:lineRule="exact"/>
      </w:pPr>
    </w:p>
    <w:p>
      <w:pPr>
        <w:spacing w:line="60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记录编号：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证书编号：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第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页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共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页</w:t>
      </w:r>
    </w:p>
    <w:p>
      <w:pPr>
        <w:spacing w:line="60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送校单位：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地</w:t>
      </w:r>
      <w:r>
        <w:rPr>
          <w:sz w:val="24"/>
          <w:szCs w:val="24"/>
        </w:rPr>
        <w:t xml:space="preserve">    </w:t>
      </w:r>
      <w:r>
        <w:rPr>
          <w:rFonts w:hint="eastAsia" w:cs="宋体"/>
          <w:sz w:val="24"/>
          <w:szCs w:val="24"/>
        </w:rPr>
        <w:t>址：</w:t>
      </w:r>
      <w:r>
        <w:rPr>
          <w:sz w:val="24"/>
          <w:szCs w:val="24"/>
          <w:u w:val="single"/>
        </w:rPr>
        <w:t xml:space="preserve">                             </w:t>
      </w:r>
    </w:p>
    <w:p>
      <w:pPr>
        <w:spacing w:line="600" w:lineRule="exact"/>
        <w:rPr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仪器名称：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生产厂家：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      </w:t>
      </w:r>
      <w:r>
        <w:rPr>
          <w:sz w:val="24"/>
          <w:szCs w:val="24"/>
        </w:rPr>
        <w:t xml:space="preserve"> </w:t>
      </w:r>
    </w:p>
    <w:p>
      <w:pPr>
        <w:spacing w:line="600" w:lineRule="exact"/>
        <w:rPr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型号</w:t>
      </w:r>
      <w:r>
        <w:rPr>
          <w:sz w:val="24"/>
          <w:szCs w:val="24"/>
        </w:rPr>
        <w:t>/</w:t>
      </w:r>
      <w:r>
        <w:rPr>
          <w:rFonts w:hint="eastAsia" w:cs="宋体"/>
          <w:sz w:val="24"/>
          <w:szCs w:val="24"/>
        </w:rPr>
        <w:t>规格：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出厂编号：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      </w:t>
      </w:r>
      <w:r>
        <w:rPr>
          <w:sz w:val="24"/>
          <w:szCs w:val="24"/>
        </w:rPr>
        <w:t xml:space="preserve"> </w:t>
      </w:r>
    </w:p>
    <w:p>
      <w:pPr>
        <w:spacing w:line="60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校准技术依据：</w:t>
      </w:r>
      <w:r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校准日期：</w:t>
      </w:r>
      <w:r>
        <w:rPr>
          <w:sz w:val="24"/>
          <w:szCs w:val="24"/>
          <w:u w:val="single"/>
        </w:rPr>
        <w:t xml:space="preserve">        </w:t>
      </w:r>
      <w:r>
        <w:rPr>
          <w:rFonts w:hint="eastAsia" w:cs="宋体"/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 </w:t>
      </w:r>
      <w:r>
        <w:rPr>
          <w:rFonts w:hint="eastAsia" w:cs="宋体"/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 w:cs="宋体"/>
          <w:sz w:val="24"/>
          <w:szCs w:val="24"/>
        </w:rPr>
        <w:t>日</w:t>
      </w:r>
      <w:r>
        <w:rPr>
          <w:sz w:val="24"/>
          <w:szCs w:val="24"/>
        </w:rPr>
        <w:t xml:space="preserve">              </w:t>
      </w:r>
    </w:p>
    <w:p>
      <w:pPr>
        <w:spacing w:line="60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主要测量设备：</w:t>
      </w:r>
      <w:r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测量范围：</w:t>
      </w:r>
      <w:r>
        <w:rPr>
          <w:sz w:val="24"/>
          <w:szCs w:val="24"/>
          <w:u w:val="single"/>
        </w:rPr>
        <w:t xml:space="preserve">                            </w:t>
      </w:r>
    </w:p>
    <w:p>
      <w:pPr>
        <w:spacing w:line="600" w:lineRule="exact"/>
        <w:rPr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编</w:t>
      </w:r>
      <w:r>
        <w:rPr>
          <w:sz w:val="24"/>
          <w:szCs w:val="24"/>
        </w:rPr>
        <w:t xml:space="preserve">    </w:t>
      </w:r>
      <w:r>
        <w:rPr>
          <w:rFonts w:hint="eastAsia" w:cs="宋体"/>
          <w:sz w:val="24"/>
          <w:szCs w:val="24"/>
        </w:rPr>
        <w:t>号：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最大允差</w:t>
      </w:r>
      <w:r>
        <w:rPr>
          <w:sz w:val="24"/>
          <w:szCs w:val="24"/>
        </w:rPr>
        <w:t>/</w:t>
      </w:r>
      <w:r>
        <w:rPr>
          <w:rFonts w:hint="eastAsia" w:cs="宋体"/>
          <w:sz w:val="24"/>
          <w:szCs w:val="24"/>
        </w:rPr>
        <w:t>准确度等级</w:t>
      </w:r>
      <w:r>
        <w:rPr>
          <w:sz w:val="24"/>
          <w:szCs w:val="24"/>
        </w:rPr>
        <w:t>/</w:t>
      </w:r>
      <w:r>
        <w:rPr>
          <w:rFonts w:hint="eastAsia" w:cs="宋体"/>
          <w:sz w:val="24"/>
          <w:szCs w:val="24"/>
        </w:rPr>
        <w:t>不确定度：</w:t>
      </w:r>
      <w:r>
        <w:rPr>
          <w:sz w:val="24"/>
          <w:szCs w:val="24"/>
          <w:u w:val="single"/>
        </w:rPr>
        <w:t xml:space="preserve">                 </w:t>
      </w:r>
    </w:p>
    <w:p>
      <w:pPr>
        <w:spacing w:line="600" w:lineRule="exact"/>
        <w:rPr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证书编号</w:t>
      </w:r>
      <w:r>
        <w:rPr>
          <w:sz w:val="24"/>
          <w:szCs w:val="24"/>
          <w:u w:val="single"/>
        </w:rPr>
        <w:t xml:space="preserve">                           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有效期至：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</w:t>
      </w:r>
    </w:p>
    <w:p>
      <w:pPr>
        <w:spacing w:line="60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环境温度：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 w:cs="宋体"/>
          <w:sz w:val="24"/>
          <w:szCs w:val="24"/>
        </w:rPr>
        <w:t>℃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环境湿度：</w:t>
      </w:r>
      <w:r>
        <w:rPr>
          <w:sz w:val="24"/>
          <w:szCs w:val="24"/>
          <w:u w:val="single"/>
        </w:rPr>
        <w:t xml:space="preserve">        </w:t>
      </w:r>
      <w:r>
        <w:rPr>
          <w:rFonts w:hint="eastAsia" w:cs="宋体"/>
          <w:sz w:val="24"/>
          <w:szCs w:val="24"/>
        </w:rPr>
        <w:t>﹪</w:t>
      </w:r>
      <w:r>
        <w:rPr>
          <w:sz w:val="24"/>
          <w:szCs w:val="24"/>
        </w:rPr>
        <w:t xml:space="preserve">RH  </w:t>
      </w:r>
    </w:p>
    <w:p>
      <w:pPr>
        <w:spacing w:line="600" w:lineRule="exact"/>
        <w:rPr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校准员：</w:t>
      </w:r>
      <w:r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核验员：</w:t>
      </w:r>
      <w:r>
        <w:rPr>
          <w:sz w:val="24"/>
          <w:szCs w:val="24"/>
          <w:u w:val="single"/>
        </w:rPr>
        <w:t xml:space="preserve">                  </w:t>
      </w:r>
    </w:p>
    <w:p>
      <w:pPr>
        <w:spacing w:line="60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一、外观检查：□正常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□不正常</w:t>
      </w:r>
    </w:p>
    <w:p>
      <w:pPr>
        <w:spacing w:line="600" w:lineRule="exact"/>
        <w:rPr>
          <w:kern w:val="0"/>
          <w:sz w:val="24"/>
          <w:szCs w:val="24"/>
        </w:rPr>
      </w:pPr>
      <w:r>
        <w:rPr>
          <w:rFonts w:hint="eastAsia" w:cs="宋体"/>
          <w:sz w:val="24"/>
          <w:szCs w:val="24"/>
        </w:rPr>
        <w:t>二、示值测量结果与重复性：</w:t>
      </w:r>
    </w:p>
    <w:tbl>
      <w:tblPr>
        <w:tblStyle w:val="19"/>
        <w:tblpPr w:leftFromText="180" w:rightFromText="180" w:vertAnchor="text" w:horzAnchor="page" w:tblpX="1403" w:tblpY="489"/>
        <w:tblOverlap w:val="never"/>
        <w:tblW w:w="95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999"/>
        <w:gridCol w:w="1008"/>
        <w:gridCol w:w="1044"/>
        <w:gridCol w:w="948"/>
        <w:gridCol w:w="948"/>
        <w:gridCol w:w="1085"/>
        <w:gridCol w:w="1063"/>
        <w:gridCol w:w="12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8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校准项目</w:t>
            </w:r>
          </w:p>
        </w:tc>
        <w:tc>
          <w:tcPr>
            <w:tcW w:w="999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标称值</w:t>
            </w:r>
          </w:p>
        </w:tc>
        <w:tc>
          <w:tcPr>
            <w:tcW w:w="30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测量值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spacing w:line="600" w:lineRule="exact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平均值</w:t>
            </w:r>
          </w:p>
        </w:tc>
        <w:tc>
          <w:tcPr>
            <w:tcW w:w="108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示值误差（</w:t>
            </w:r>
            <w:r>
              <w:rPr>
                <w:kern w:val="0"/>
                <w:sz w:val="24"/>
                <w:szCs w:val="24"/>
              </w:rPr>
              <w:t>%</w:t>
            </w:r>
            <w:r>
              <w:rPr>
                <w:rFonts w:hint="eastAsia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06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重复性</w:t>
            </w:r>
          </w:p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（</w:t>
            </w:r>
            <w:r>
              <w:rPr>
                <w:kern w:val="0"/>
                <w:sz w:val="24"/>
                <w:szCs w:val="24"/>
              </w:rPr>
              <w:t>%</w:t>
            </w:r>
            <w:r>
              <w:rPr>
                <w:rFonts w:hint="eastAsia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257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不确定度</w:t>
            </w:r>
            <w:r>
              <w:rPr>
                <w:i/>
                <w:iCs/>
                <w:kern w:val="0"/>
                <w:sz w:val="24"/>
                <w:szCs w:val="24"/>
              </w:rPr>
              <w:t>U</w:t>
            </w:r>
            <w:r>
              <w:rPr>
                <w:i/>
                <w:iCs/>
                <w:kern w:val="0"/>
                <w:sz w:val="24"/>
                <w:szCs w:val="24"/>
                <w:vertAlign w:val="subscript"/>
              </w:rPr>
              <w:t>rel</w:t>
            </w:r>
          </w:p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（</w:t>
            </w:r>
            <w:r>
              <w:rPr>
                <w:i/>
                <w:iCs/>
                <w:kern w:val="0"/>
                <w:sz w:val="24"/>
                <w:szCs w:val="24"/>
              </w:rPr>
              <w:t>k</w:t>
            </w:r>
            <w:r>
              <w:rPr>
                <w:rFonts w:hint="eastAsia" w:cs="宋体"/>
                <w:kern w:val="0"/>
                <w:sz w:val="24"/>
                <w:szCs w:val="24"/>
              </w:rPr>
              <w:t>＝</w:t>
            </w:r>
            <w:r>
              <w:rPr>
                <w:kern w:val="0"/>
                <w:sz w:val="24"/>
                <w:szCs w:val="24"/>
              </w:rPr>
              <w:t>2</w:t>
            </w:r>
            <w:r>
              <w:rPr>
                <w:rFonts w:hint="eastAsia" w:cs="宋体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88" w:type="dxa"/>
            <w:vMerge w:val="continue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第</w:t>
            </w:r>
            <w:r>
              <w:rPr>
                <w:kern w:val="0"/>
                <w:sz w:val="24"/>
                <w:szCs w:val="24"/>
              </w:rPr>
              <w:t>1</w:t>
            </w:r>
            <w:r>
              <w:rPr>
                <w:rFonts w:hint="eastAsia" w:cs="宋体"/>
                <w:kern w:val="0"/>
                <w:sz w:val="24"/>
                <w:szCs w:val="24"/>
              </w:rPr>
              <w:t>次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第</w:t>
            </w:r>
            <w:r>
              <w:rPr>
                <w:kern w:val="0"/>
                <w:sz w:val="24"/>
                <w:szCs w:val="24"/>
              </w:rPr>
              <w:t>2</w:t>
            </w:r>
            <w:r>
              <w:rPr>
                <w:rFonts w:hint="eastAsia" w:cs="宋体"/>
                <w:kern w:val="0"/>
                <w:sz w:val="24"/>
                <w:szCs w:val="24"/>
              </w:rPr>
              <w:t>次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第</w:t>
            </w:r>
            <w:r>
              <w:rPr>
                <w:kern w:val="0"/>
                <w:sz w:val="24"/>
                <w:szCs w:val="24"/>
              </w:rPr>
              <w:t>3</w:t>
            </w:r>
            <w:r>
              <w:rPr>
                <w:rFonts w:hint="eastAsia" w:cs="宋体"/>
                <w:kern w:val="0"/>
                <w:sz w:val="24"/>
                <w:szCs w:val="24"/>
              </w:rPr>
              <w:t>次</w:t>
            </w:r>
          </w:p>
        </w:tc>
        <w:tc>
          <w:tcPr>
            <w:tcW w:w="94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8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PT(s)</w:t>
            </w:r>
          </w:p>
        </w:tc>
        <w:tc>
          <w:tcPr>
            <w:tcW w:w="999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APTT(s)</w:t>
            </w:r>
          </w:p>
        </w:tc>
        <w:tc>
          <w:tcPr>
            <w:tcW w:w="999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FIB(g/L)</w:t>
            </w:r>
          </w:p>
        </w:tc>
        <w:tc>
          <w:tcPr>
            <w:tcW w:w="999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TT(s)</w:t>
            </w:r>
          </w:p>
        </w:tc>
        <w:tc>
          <w:tcPr>
            <w:tcW w:w="999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>
      <w:pPr>
        <w:spacing w:line="480" w:lineRule="exact"/>
        <w:rPr>
          <w:rFonts w:ascii="黑体" w:hAnsi="宋体" w:eastAsia="黑体"/>
          <w:b/>
          <w:bCs/>
          <w:sz w:val="28"/>
          <w:szCs w:val="28"/>
        </w:rPr>
        <w:sectPr>
          <w:footerReference r:id="rId7" w:type="default"/>
          <w:pgSz w:w="11906" w:h="16838"/>
          <w:pgMar w:top="1247" w:right="1134" w:bottom="1440" w:left="1848" w:header="851" w:footer="992" w:gutter="0"/>
          <w:pgNumType w:start="6"/>
          <w:cols w:space="425" w:num="1"/>
          <w:docGrid w:type="lines" w:linePitch="312" w:charSpace="0"/>
        </w:sectPr>
      </w:pPr>
    </w:p>
    <w:p>
      <w:pPr>
        <w:spacing w:line="480" w:lineRule="exact"/>
        <w:outlineLvl w:val="0"/>
        <w:rPr>
          <w:rFonts w:ascii="黑体" w:hAnsi="宋体" w:eastAsia="黑体"/>
          <w:b/>
          <w:bCs/>
          <w:sz w:val="24"/>
          <w:szCs w:val="24"/>
        </w:rPr>
      </w:pPr>
      <w:bookmarkStart w:id="41" w:name="_Toc440453429"/>
      <w:bookmarkStart w:id="42" w:name="_Toc440453654"/>
      <w:r>
        <w:rPr>
          <w:rFonts w:hint="eastAsia" w:ascii="黑体" w:hAnsi="宋体" w:eastAsia="黑体" w:cs="黑体"/>
          <w:b/>
          <w:bCs/>
          <w:sz w:val="28"/>
          <w:szCs w:val="28"/>
        </w:rPr>
        <w:t>附录</w:t>
      </w:r>
      <w:r>
        <w:rPr>
          <w:rFonts w:ascii="黑体" w:hAnsi="宋体" w:eastAsia="黑体" w:cs="黑体"/>
          <w:b/>
          <w:bCs/>
          <w:sz w:val="28"/>
          <w:szCs w:val="28"/>
        </w:rPr>
        <w:t>B</w:t>
      </w:r>
      <w:bookmarkEnd w:id="41"/>
      <w:bookmarkEnd w:id="42"/>
    </w:p>
    <w:p>
      <w:pPr>
        <w:spacing w:line="480" w:lineRule="exact"/>
        <w:jc w:val="center"/>
        <w:rPr>
          <w:rFonts w:ascii="黑体" w:eastAsia="黑体"/>
          <w:b/>
          <w:bCs/>
          <w:sz w:val="28"/>
          <w:szCs w:val="28"/>
        </w:rPr>
      </w:pPr>
      <w:r>
        <w:rPr>
          <w:rFonts w:hint="eastAsia" w:ascii="黑体" w:eastAsia="黑体" w:cs="黑体"/>
          <w:b/>
          <w:bCs/>
          <w:sz w:val="28"/>
          <w:szCs w:val="28"/>
        </w:rPr>
        <w:t>校准证书的内容</w:t>
      </w:r>
    </w:p>
    <w:p>
      <w:pPr>
        <w:spacing w:line="480" w:lineRule="exact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spacing w:line="4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B.1  </w:t>
      </w:r>
      <w:r>
        <w:rPr>
          <w:rFonts w:hint="eastAsia" w:ascii="宋体" w:hAnsi="宋体" w:cs="宋体"/>
          <w:sz w:val="24"/>
          <w:szCs w:val="24"/>
        </w:rPr>
        <w:t>校准证书至少包括以下信息：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标题：“校准证书”；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实验室名称和地址；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进行校准的地点（如果不在实验室内进行校准）；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校准证书编号，页码及总页数的标识；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校准单位校准专用章；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送校单位的名称和地址：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被校仪器的描述和明确标识：仪器的制造单位、名称、型号及出厂编号；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校准日期；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校准所依据的技术规范的名称及代号；</w:t>
      </w:r>
    </w:p>
    <w:p>
      <w:pPr>
        <w:numPr>
          <w:ilvl w:val="0"/>
          <w:numId w:val="4"/>
        </w:numPr>
        <w:tabs>
          <w:tab w:val="left" w:pos="908"/>
          <w:tab w:val="left" w:pos="945"/>
          <w:tab w:val="clear" w:pos="1212"/>
        </w:tabs>
        <w:spacing w:line="480" w:lineRule="exact"/>
        <w:ind w:left="945" w:hanging="453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本次校准所用的主要计量标准器具（包括标准物质）的名称、测量范围、不确定度或准确度等级或最大允许误差、证书编号及有效期；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校准时的环境温度、相对湿度；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校准结果及其测量不确定度的说明；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校准人与核验人的签名；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校准证书批准人的签名与职务；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校准结果仅对被校对象有效的声明；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未经实验室书面批准，不得部分复制证书的声明。</w:t>
      </w:r>
    </w:p>
    <w:p>
      <w:pPr>
        <w:tabs>
          <w:tab w:val="left" w:pos="908"/>
        </w:tabs>
        <w:spacing w:line="480" w:lineRule="exact"/>
        <w:ind w:left="492"/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br w:type="page"/>
      </w:r>
      <w:r>
        <w:rPr>
          <w:rFonts w:ascii="宋体" w:hAnsi="宋体" w:cs="宋体"/>
          <w:sz w:val="24"/>
          <w:szCs w:val="24"/>
        </w:rPr>
        <w:t xml:space="preserve">B.2  </w:t>
      </w:r>
      <w:r>
        <w:rPr>
          <w:rFonts w:hint="eastAsia" w:ascii="宋体" w:hAnsi="宋体" w:cs="宋体"/>
          <w:sz w:val="24"/>
          <w:szCs w:val="24"/>
        </w:rPr>
        <w:t>校准证书（内页）格式。</w:t>
      </w:r>
    </w:p>
    <w:p>
      <w:pPr>
        <w:rPr>
          <w:rFonts w:ascii="宋体"/>
          <w:sz w:val="24"/>
          <w:szCs w:val="24"/>
        </w:rPr>
      </w:pPr>
    </w:p>
    <w:p>
      <w:pPr>
        <w:numPr>
          <w:ilvl w:val="1"/>
          <w:numId w:val="4"/>
        </w:numPr>
        <w:tabs>
          <w:tab w:val="left" w:pos="900"/>
          <w:tab w:val="clear" w:pos="840"/>
        </w:tabs>
        <w:spacing w:line="360" w:lineRule="auto"/>
        <w:ind w:left="900" w:hanging="48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外观检查：</w:t>
      </w:r>
    </w:p>
    <w:p>
      <w:pPr>
        <w:numPr>
          <w:ilvl w:val="1"/>
          <w:numId w:val="4"/>
        </w:numPr>
        <w:tabs>
          <w:tab w:val="left" w:pos="900"/>
          <w:tab w:val="clear" w:pos="840"/>
        </w:tabs>
        <w:spacing w:line="360" w:lineRule="auto"/>
        <w:ind w:left="900" w:hanging="480"/>
        <w:rPr>
          <w:rFonts w:ascii="宋体"/>
          <w:sz w:val="24"/>
          <w:szCs w:val="24"/>
        </w:rPr>
      </w:pPr>
      <w:r>
        <w:rPr>
          <w:rFonts w:hint="eastAsia" w:cs="宋体"/>
          <w:kern w:val="0"/>
          <w:sz w:val="24"/>
          <w:szCs w:val="24"/>
        </w:rPr>
        <w:t>示值测量结果与重复性：</w:t>
      </w:r>
    </w:p>
    <w:tbl>
      <w:tblPr>
        <w:tblStyle w:val="19"/>
        <w:tblW w:w="8642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248"/>
        <w:gridCol w:w="1337"/>
        <w:gridCol w:w="1591"/>
        <w:gridCol w:w="1428"/>
        <w:gridCol w:w="1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9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bookmarkStart w:id="43" w:name="_Toc420513149"/>
            <w:bookmarkStart w:id="44" w:name="_Toc413164189"/>
            <w:r>
              <w:rPr>
                <w:rFonts w:hint="eastAsia" w:cs="宋体"/>
                <w:kern w:val="0"/>
                <w:sz w:val="24"/>
                <w:szCs w:val="24"/>
              </w:rPr>
              <w:t>校准项目</w:t>
            </w:r>
          </w:p>
        </w:tc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标称值</w:t>
            </w:r>
          </w:p>
        </w:tc>
        <w:tc>
          <w:tcPr>
            <w:tcW w:w="1337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测量值</w:t>
            </w:r>
          </w:p>
        </w:tc>
        <w:tc>
          <w:tcPr>
            <w:tcW w:w="159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示值误差（</w:t>
            </w:r>
            <w:r>
              <w:rPr>
                <w:kern w:val="0"/>
                <w:sz w:val="24"/>
                <w:szCs w:val="24"/>
              </w:rPr>
              <w:t>%</w:t>
            </w:r>
            <w:r>
              <w:rPr>
                <w:rFonts w:hint="eastAsia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重复性（</w:t>
            </w:r>
            <w:r>
              <w:rPr>
                <w:kern w:val="0"/>
                <w:sz w:val="24"/>
                <w:szCs w:val="24"/>
              </w:rPr>
              <w:t>%</w:t>
            </w:r>
            <w:r>
              <w:rPr>
                <w:rFonts w:hint="eastAsia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  <w:vertAlign w:val="subscript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不确定度</w:t>
            </w:r>
            <w:r>
              <w:rPr>
                <w:i/>
                <w:iCs/>
                <w:kern w:val="0"/>
                <w:sz w:val="24"/>
                <w:szCs w:val="24"/>
              </w:rPr>
              <w:t>U</w:t>
            </w:r>
            <w:r>
              <w:rPr>
                <w:i/>
                <w:iCs/>
                <w:kern w:val="0"/>
                <w:sz w:val="24"/>
                <w:szCs w:val="24"/>
                <w:vertAlign w:val="subscript"/>
              </w:rPr>
              <w:t>rel</w:t>
            </w:r>
          </w:p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（</w:t>
            </w:r>
            <w:r>
              <w:rPr>
                <w:i/>
                <w:iCs/>
                <w:kern w:val="0"/>
                <w:sz w:val="24"/>
                <w:szCs w:val="24"/>
              </w:rPr>
              <w:t>k</w:t>
            </w:r>
            <w:r>
              <w:rPr>
                <w:rFonts w:hint="eastAsia" w:cs="宋体"/>
                <w:kern w:val="0"/>
                <w:sz w:val="24"/>
                <w:szCs w:val="24"/>
              </w:rPr>
              <w:t>＝</w:t>
            </w:r>
            <w:r>
              <w:rPr>
                <w:kern w:val="0"/>
                <w:sz w:val="24"/>
                <w:szCs w:val="24"/>
              </w:rPr>
              <w:t>2</w:t>
            </w:r>
            <w:r>
              <w:rPr>
                <w:rFonts w:hint="eastAsia" w:cs="宋体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39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PT(s)</w:t>
            </w:r>
          </w:p>
        </w:tc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39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APTT(s)</w:t>
            </w:r>
          </w:p>
        </w:tc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39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FIB(g/L)</w:t>
            </w:r>
          </w:p>
        </w:tc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39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TT(s)</w:t>
            </w:r>
          </w:p>
        </w:tc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</w:p>
    <w:p>
      <w:pPr>
        <w:spacing w:line="360" w:lineRule="auto"/>
        <w:jc w:val="center"/>
        <w:rPr>
          <w:sz w:val="24"/>
          <w:szCs w:val="24"/>
        </w:rPr>
      </w:pPr>
      <w:r>
        <w:rPr>
          <w:rFonts w:ascii="黑体" w:hAnsi="宋体" w:eastAsia="黑体" w:cs="黑体"/>
          <w:b/>
          <w:bCs/>
          <w:sz w:val="24"/>
          <w:szCs w:val="24"/>
        </w:rPr>
        <w:t xml:space="preserve">       </w:t>
      </w:r>
      <w:r>
        <w:rPr>
          <w:sz w:val="24"/>
          <w:szCs w:val="24"/>
        </w:rPr>
        <w:t>_______________________________________</w:t>
      </w: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4"/>
          <w:szCs w:val="24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jc w:val="left"/>
        <w:outlineLvl w:val="0"/>
        <w:rPr>
          <w:rFonts w:ascii="黑体" w:hAnsi="宋体" w:eastAsia="黑体" w:cs="黑体"/>
          <w:b/>
          <w:bCs/>
          <w:sz w:val="28"/>
          <w:szCs w:val="28"/>
        </w:rPr>
      </w:pPr>
      <w:r>
        <w:rPr>
          <w:rFonts w:ascii="黑体" w:hAnsi="宋体" w:eastAsia="黑体"/>
          <w:b/>
          <w:bCs/>
          <w:sz w:val="28"/>
          <w:szCs w:val="28"/>
        </w:rPr>
        <w:br w:type="page"/>
      </w:r>
      <w:bookmarkStart w:id="45" w:name="_Toc440453655"/>
      <w:bookmarkStart w:id="46" w:name="_Toc440453430"/>
      <w:r>
        <w:rPr>
          <w:rFonts w:hint="eastAsia" w:ascii="黑体" w:hAnsi="宋体" w:eastAsia="黑体" w:cs="黑体"/>
          <w:b/>
          <w:bCs/>
          <w:sz w:val="28"/>
          <w:szCs w:val="28"/>
        </w:rPr>
        <w:t>附录</w:t>
      </w:r>
      <w:r>
        <w:rPr>
          <w:rFonts w:ascii="黑体" w:hAnsi="宋体" w:eastAsia="黑体" w:cs="黑体"/>
          <w:b/>
          <w:bCs/>
          <w:sz w:val="28"/>
          <w:szCs w:val="28"/>
        </w:rPr>
        <w:t>C</w:t>
      </w:r>
      <w:bookmarkEnd w:id="43"/>
      <w:bookmarkEnd w:id="45"/>
      <w:bookmarkEnd w:id="46"/>
      <w:r>
        <w:rPr>
          <w:rFonts w:ascii="黑体" w:hAnsi="宋体" w:eastAsia="黑体" w:cs="黑体"/>
          <w:b/>
          <w:bCs/>
          <w:sz w:val="28"/>
          <w:szCs w:val="28"/>
        </w:rPr>
        <w:t xml:space="preserve">  </w:t>
      </w:r>
    </w:p>
    <w:p>
      <w:pPr>
        <w:spacing w:line="360" w:lineRule="auto"/>
        <w:jc w:val="center"/>
        <w:rPr>
          <w:rFonts w:eastAsia="黑体"/>
          <w:b/>
          <w:bCs/>
          <w:sz w:val="32"/>
          <w:szCs w:val="32"/>
        </w:rPr>
      </w:pPr>
      <w:bookmarkStart w:id="47" w:name="_Toc420513150"/>
      <w:r>
        <w:rPr>
          <w:rFonts w:hint="eastAsia" w:eastAsia="黑体" w:cs="黑体"/>
          <w:b/>
          <w:bCs/>
          <w:sz w:val="32"/>
          <w:szCs w:val="32"/>
        </w:rPr>
        <w:t>血凝仪示值误差测量不确定度评定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>
        <w:rPr>
          <w:rFonts w:ascii="黑体" w:eastAsia="黑体" w:cs="黑体"/>
          <w:b/>
          <w:bCs/>
          <w:sz w:val="24"/>
          <w:szCs w:val="24"/>
        </w:rPr>
        <w:t xml:space="preserve"> 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概述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1.1</w:t>
      </w:r>
      <w:r>
        <w:rPr>
          <w:rFonts w:hint="eastAsia" w:hAnsi="宋体" w:cs="宋体"/>
          <w:sz w:val="24"/>
          <w:szCs w:val="24"/>
        </w:rPr>
        <w:t>测量依据：</w:t>
      </w:r>
      <w:r>
        <w:rPr>
          <w:rFonts w:hAnsi="宋体"/>
          <w:sz w:val="24"/>
          <w:szCs w:val="24"/>
        </w:rPr>
        <w:t xml:space="preserve"> XJL/QCJGXX</w:t>
      </w:r>
      <w:r>
        <w:rPr>
          <w:rFonts w:hint="eastAsia" w:hAnsi="宋体" w:cs="宋体"/>
          <w:sz w:val="24"/>
          <w:szCs w:val="24"/>
        </w:rPr>
        <w:t>－</w:t>
      </w:r>
      <w:r>
        <w:rPr>
          <w:rFonts w:hAnsi="宋体"/>
          <w:sz w:val="24"/>
          <w:szCs w:val="24"/>
        </w:rPr>
        <w:t>2015</w:t>
      </w:r>
      <w:r>
        <w:rPr>
          <w:rFonts w:hint="eastAsia" w:hAnsi="宋体" w:cs="宋体"/>
          <w:sz w:val="24"/>
          <w:szCs w:val="24"/>
        </w:rPr>
        <w:t>《血凝分析仪校准规范》。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1.2</w:t>
      </w:r>
      <w:r>
        <w:rPr>
          <w:rFonts w:hint="eastAsia" w:hAnsi="宋体" w:cs="宋体"/>
          <w:sz w:val="24"/>
          <w:szCs w:val="24"/>
        </w:rPr>
        <w:t>环境条件：</w:t>
      </w:r>
      <w:r>
        <w:rPr>
          <w:rFonts w:hint="eastAsia" w:cs="宋体"/>
          <w:sz w:val="24"/>
          <w:szCs w:val="24"/>
        </w:rPr>
        <w:t>环境：（</w:t>
      </w:r>
      <w:r>
        <w:rPr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～</w:t>
      </w:r>
      <w:r>
        <w:rPr>
          <w:rFonts w:ascii="宋体" w:hAnsi="宋体" w:cs="宋体"/>
          <w:sz w:val="24"/>
          <w:szCs w:val="24"/>
        </w:rPr>
        <w:t>35</w:t>
      </w:r>
      <w:r>
        <w:rPr>
          <w:rFonts w:hint="eastAsia" w:cs="宋体"/>
          <w:sz w:val="24"/>
          <w:szCs w:val="24"/>
        </w:rPr>
        <w:t>）℃，相对湿度：≤</w:t>
      </w:r>
      <w:r>
        <w:rPr>
          <w:sz w:val="24"/>
          <w:szCs w:val="24"/>
        </w:rPr>
        <w:t>80%</w:t>
      </w:r>
      <w:r>
        <w:rPr>
          <w:rFonts w:hint="eastAsia" w:hAnsi="宋体" w:cs="宋体"/>
          <w:sz w:val="24"/>
          <w:szCs w:val="24"/>
        </w:rPr>
        <w:t>。</w:t>
      </w:r>
    </w:p>
    <w:p>
      <w:pPr>
        <w:spacing w:line="360" w:lineRule="auto"/>
        <w:rPr>
          <w:kern w:val="0"/>
          <w:sz w:val="24"/>
          <w:szCs w:val="24"/>
        </w:rPr>
      </w:pPr>
      <w:r>
        <w:rPr>
          <w:sz w:val="24"/>
          <w:szCs w:val="24"/>
        </w:rPr>
        <w:t>1.3</w:t>
      </w:r>
      <w:r>
        <w:rPr>
          <w:rFonts w:hint="eastAsia" w:hAnsi="宋体" w:cs="宋体"/>
          <w:sz w:val="24"/>
          <w:szCs w:val="24"/>
        </w:rPr>
        <w:t>测量标准：美国伯乐公司生产的血凝质控物，</w:t>
      </w:r>
      <w:r>
        <w:rPr>
          <w:rFonts w:ascii="宋体" w:hAnsi="宋体" w:cs="宋体"/>
          <w:sz w:val="24"/>
          <w:szCs w:val="24"/>
        </w:rPr>
        <w:t>MPE</w:t>
      </w:r>
      <w:r>
        <w:rPr>
          <w:rFonts w:hint="eastAsia" w:ascii="宋体" w:hAnsi="宋体" w:cs="宋体"/>
          <w:sz w:val="24"/>
          <w:szCs w:val="24"/>
        </w:rPr>
        <w:t>分别为</w:t>
      </w:r>
      <w:r>
        <w:rPr>
          <w:kern w:val="0"/>
          <w:sz w:val="24"/>
          <w:szCs w:val="24"/>
        </w:rPr>
        <w:t>PT</w:t>
      </w:r>
      <w:r>
        <w:rPr>
          <w:rFonts w:hint="eastAsia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</w:rPr>
        <w:t>±</w:t>
      </w:r>
      <w:r>
        <w:rPr>
          <w:kern w:val="0"/>
          <w:sz w:val="24"/>
          <w:szCs w:val="24"/>
        </w:rPr>
        <w:t>7.4s</w:t>
      </w:r>
      <w:r>
        <w:rPr>
          <w:rFonts w:hint="eastAsia" w:cs="宋体"/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>APTT</w:t>
      </w:r>
      <w:r>
        <w:rPr>
          <w:rFonts w:hint="eastAsia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</w:rPr>
        <w:t>±</w:t>
      </w:r>
      <w:r>
        <w:rPr>
          <w:kern w:val="0"/>
          <w:sz w:val="24"/>
          <w:szCs w:val="24"/>
        </w:rPr>
        <w:t>12s</w:t>
      </w:r>
      <w:r>
        <w:rPr>
          <w:rFonts w:hint="eastAsia" w:cs="宋体"/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>FIB</w:t>
      </w:r>
      <w:r>
        <w:rPr>
          <w:rFonts w:hint="eastAsia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</w:rPr>
        <w:t>±</w:t>
      </w:r>
      <w:r>
        <w:rPr>
          <w:rFonts w:ascii="宋体" w:hAnsi="宋体" w:cs="宋体"/>
          <w:kern w:val="0"/>
          <w:sz w:val="24"/>
          <w:szCs w:val="24"/>
        </w:rPr>
        <w:t>0.23g/L</w:t>
      </w:r>
      <w:r>
        <w:rPr>
          <w:rFonts w:hint="eastAsia" w:ascii="宋体" w:hAnsi="宋体" w:cs="宋体"/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>TT</w:t>
      </w:r>
      <w:r>
        <w:rPr>
          <w:rFonts w:hint="eastAsia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</w:rPr>
        <w:t>±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kern w:val="0"/>
          <w:sz w:val="24"/>
          <w:szCs w:val="24"/>
        </w:rPr>
        <w:t>.3s</w:t>
      </w:r>
      <w:r>
        <w:rPr>
          <w:rFonts w:hint="eastAsia" w:cs="宋体"/>
          <w:kern w:val="0"/>
          <w:sz w:val="24"/>
          <w:szCs w:val="24"/>
        </w:rPr>
        <w:t>。</w:t>
      </w:r>
    </w:p>
    <w:p>
      <w:pPr>
        <w:spacing w:line="360" w:lineRule="auto"/>
        <w:rPr>
          <w:rFonts w:hAnsi="宋体"/>
          <w:sz w:val="24"/>
          <w:szCs w:val="24"/>
        </w:rPr>
      </w:pPr>
      <w:r>
        <w:rPr>
          <w:sz w:val="24"/>
          <w:szCs w:val="24"/>
        </w:rPr>
        <w:t>1.4</w:t>
      </w:r>
      <w:r>
        <w:rPr>
          <w:rFonts w:hint="eastAsia" w:hAnsi="宋体" w:cs="宋体"/>
          <w:sz w:val="24"/>
          <w:szCs w:val="24"/>
        </w:rPr>
        <w:t>被测对象：血凝分析仪。</w:t>
      </w:r>
    </w:p>
    <w:p>
      <w:pPr>
        <w:spacing w:line="360" w:lineRule="auto"/>
        <w:jc w:val="left"/>
        <w:rPr>
          <w:rFonts w:hAnsi="宋体"/>
          <w:sz w:val="24"/>
          <w:szCs w:val="24"/>
        </w:rPr>
      </w:pPr>
      <w:r>
        <w:rPr>
          <w:sz w:val="24"/>
          <w:szCs w:val="24"/>
        </w:rPr>
        <w:t>1.5</w:t>
      </w:r>
      <w:r>
        <w:rPr>
          <w:rFonts w:hint="eastAsia" w:hAnsi="宋体" w:cs="宋体"/>
          <w:sz w:val="24"/>
          <w:szCs w:val="24"/>
        </w:rPr>
        <w:t>测量方法：</w:t>
      </w:r>
      <w:r>
        <w:rPr>
          <w:rFonts w:hint="eastAsia" w:ascii="宋体" w:hAnsi="宋体" w:cs="宋体"/>
          <w:kern w:val="0"/>
          <w:sz w:val="24"/>
          <w:szCs w:val="24"/>
        </w:rPr>
        <w:t>按照仪器说明书的要求对仪器进行预热，将血凝质控物按照要求稀释后放置</w:t>
      </w:r>
      <w:r>
        <w:rPr>
          <w:rFonts w:ascii="宋体" w:hAnsi="宋体" w:cs="宋体"/>
          <w:kern w:val="0"/>
          <w:sz w:val="24"/>
          <w:szCs w:val="24"/>
        </w:rPr>
        <w:t>20</w:t>
      </w:r>
      <w:r>
        <w:rPr>
          <w:rFonts w:hint="eastAsia" w:ascii="宋体" w:hAnsi="宋体" w:cs="宋体"/>
          <w:kern w:val="0"/>
          <w:sz w:val="24"/>
          <w:szCs w:val="24"/>
        </w:rPr>
        <w:t>～</w:t>
      </w:r>
      <w:r>
        <w:rPr>
          <w:rFonts w:ascii="宋体" w:hAnsi="宋体" w:cs="宋体"/>
          <w:kern w:val="0"/>
          <w:sz w:val="24"/>
          <w:szCs w:val="24"/>
        </w:rPr>
        <w:t>30</w:t>
      </w:r>
      <w:r>
        <w:rPr>
          <w:rFonts w:hint="eastAsia" w:ascii="宋体" w:hAnsi="宋体" w:cs="宋体"/>
          <w:kern w:val="0"/>
          <w:sz w:val="24"/>
          <w:szCs w:val="24"/>
        </w:rPr>
        <w:t>分钟，然后将溶液充分混匀，待仪器稳定后，用</w:t>
      </w:r>
      <w:r>
        <w:rPr>
          <w:rFonts w:hint="eastAsia" w:ascii="Arial" w:hAnsi="Arial" w:cs="宋体"/>
          <w:sz w:val="24"/>
          <w:szCs w:val="24"/>
          <w:shd w:val="clear" w:color="auto" w:fill="FFFFFF"/>
        </w:rPr>
        <w:t>血凝仪测量</w:t>
      </w:r>
      <w:r>
        <w:rPr>
          <w:rFonts w:hint="eastAsia" w:ascii="宋体" w:hAnsi="宋体" w:cs="宋体"/>
          <w:kern w:val="0"/>
          <w:sz w:val="24"/>
          <w:szCs w:val="24"/>
        </w:rPr>
        <w:t>稀释后的质控液，每种试剂重复测量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kern w:val="0"/>
          <w:sz w:val="24"/>
          <w:szCs w:val="24"/>
        </w:rPr>
        <w:t>次。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1.6</w:t>
      </w:r>
      <w:r>
        <w:rPr>
          <w:rFonts w:hint="eastAsia" w:hAnsi="宋体" w:cs="宋体"/>
          <w:sz w:val="24"/>
          <w:szCs w:val="24"/>
        </w:rPr>
        <w:t>评定结果的使用：对符合上述条件的测量结果，一般可直接使用本不确定度的评定结果，其他可使用本不确定度的评定方法。</w:t>
      </w:r>
    </w:p>
    <w:bookmarkEnd w:id="44"/>
    <w:bookmarkEnd w:id="47"/>
    <w:p>
      <w:pPr>
        <w:spacing w:line="480" w:lineRule="exact"/>
        <w:rPr>
          <w:rFonts w:ascii="黑体" w:hAnsi="宋体" w:eastAsia="黑体"/>
          <w:b/>
          <w:bCs/>
          <w:sz w:val="24"/>
          <w:szCs w:val="24"/>
        </w:rPr>
      </w:pPr>
      <w:r>
        <w:rPr>
          <w:rFonts w:ascii="黑体" w:hAnsi="宋体" w:eastAsia="黑体" w:cs="黑体"/>
          <w:b/>
          <w:bCs/>
          <w:sz w:val="24"/>
          <w:szCs w:val="24"/>
        </w:rPr>
        <w:t xml:space="preserve">2 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测量的数学模型</w:t>
      </w:r>
    </w:p>
    <w:p>
      <w:pPr>
        <w:spacing w:line="480" w:lineRule="exact"/>
        <w:rPr>
          <w:rFonts w:ascii="宋体"/>
          <w:sz w:val="24"/>
          <w:szCs w:val="24"/>
        </w:rPr>
      </w:pPr>
      <w:r>
        <w:rPr>
          <w:rFonts w:ascii="黑体" w:hAnsi="宋体" w:eastAsia="黑体" w:cs="黑体"/>
          <w:sz w:val="24"/>
          <w:szCs w:val="24"/>
        </w:rPr>
        <w:t>2</w:t>
      </w:r>
      <w:r>
        <w:rPr>
          <w:rFonts w:hint="eastAsia" w:ascii="黑体" w:hAnsi="宋体" w:eastAsia="黑体" w:cs="黑体"/>
          <w:sz w:val="24"/>
          <w:szCs w:val="24"/>
        </w:rPr>
        <w:t>．</w:t>
      </w:r>
      <w:r>
        <w:rPr>
          <w:rFonts w:ascii="黑体" w:hAnsi="宋体" w:eastAsia="黑体" w:cs="黑体"/>
          <w:sz w:val="24"/>
          <w:szCs w:val="24"/>
        </w:rPr>
        <w:t>1</w:t>
      </w:r>
      <w:r>
        <w:rPr>
          <w:rFonts w:hint="eastAsia" w:ascii="黑体" w:hAnsi="宋体" w:eastAsia="黑体" w:cs="黑体"/>
          <w:sz w:val="24"/>
          <w:szCs w:val="24"/>
        </w:rPr>
        <w:t>测量的数学模型</w:t>
      </w:r>
      <w:r>
        <w:rPr>
          <w:rFonts w:ascii="宋体" w:hAnsi="宋体" w:cs="宋体"/>
          <w:sz w:val="24"/>
          <w:szCs w:val="24"/>
        </w:rPr>
        <w:t xml:space="preserve">    </w:t>
      </w:r>
    </w:p>
    <w:p>
      <w:pPr>
        <w:spacing w:line="480" w:lineRule="exact"/>
        <w:ind w:firstLine="1200" w:firstLineChars="5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　　　　</w:t>
      </w:r>
      <w:r>
        <w:rPr>
          <w:rFonts w:hint="eastAsia" w:ascii="宋体" w:hAnsi="宋体" w:cs="宋体"/>
          <w:position w:val="-30"/>
          <w:sz w:val="24"/>
          <w:szCs w:val="24"/>
        </w:rPr>
        <w:object>
          <v:shape id="_x0000_i1033" o:spt="75" type="#_x0000_t75" style="height:36.75pt;width:57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29" r:id="rId25">
            <o:LockedField>false</o:LockedField>
          </o:OLEObject>
        </w:object>
      </w:r>
    </w:p>
    <w:p>
      <w:pPr>
        <w:tabs>
          <w:tab w:val="left" w:pos="720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式中</w:t>
      </w:r>
      <w:r>
        <w:rPr>
          <w:rFonts w:ascii="宋体" w:hAnsi="宋体" w:cs="宋体"/>
          <w:sz w:val="24"/>
          <w:szCs w:val="24"/>
        </w:rPr>
        <w:t>: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4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0" r:id="rId27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</w:rPr>
        <w:t>血凝仪示值的相对误差</w:t>
      </w:r>
    </w:p>
    <w:p>
      <w:pPr>
        <w:tabs>
          <w:tab w:val="left" w:pos="720"/>
        </w:tabs>
        <w:spacing w:line="480" w:lineRule="exact"/>
        <w:ind w:firstLine="720" w:firstLine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5" o:spt="75" type="#_x0000_t75" style="height:17.25pt;width:9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1" r:id="rId29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</w:rPr>
        <w:t>血凝仪测量值的平均值</w:t>
      </w:r>
      <w:r>
        <w:rPr>
          <w:rFonts w:ascii="宋体" w:hAnsi="宋体" w:cs="宋体"/>
          <w:sz w:val="24"/>
          <w:szCs w:val="24"/>
        </w:rPr>
        <w:t>;</w:t>
      </w:r>
    </w:p>
    <w:p>
      <w:pPr>
        <w:tabs>
          <w:tab w:val="left" w:pos="720"/>
        </w:tabs>
        <w:spacing w:line="480" w:lineRule="exact"/>
        <w:ind w:firstLine="73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position w:val="-12"/>
          <w:sz w:val="24"/>
          <w:szCs w:val="24"/>
        </w:rPr>
        <w:object>
          <v:shape id="_x0000_i103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2" r:id="rId31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</w:rPr>
        <w:t>血凝质控物的标准值　</w:t>
      </w:r>
    </w:p>
    <w:p>
      <w:pPr>
        <w:spacing w:line="480" w:lineRule="exact"/>
        <w:rPr>
          <w:rFonts w:ascii="宋体"/>
          <w:sz w:val="24"/>
          <w:szCs w:val="24"/>
          <w:vertAlign w:val="subscript"/>
        </w:rPr>
      </w:pPr>
      <w:r>
        <w:rPr>
          <w:rFonts w:ascii="宋体" w:hAnsi="宋体" w:cs="宋体"/>
          <w:sz w:val="24"/>
          <w:szCs w:val="24"/>
        </w:rPr>
        <w:t>2.2</w:t>
      </w:r>
      <w:r>
        <w:rPr>
          <w:rFonts w:hint="eastAsia" w:ascii="宋体" w:hAnsi="宋体" w:cs="宋体"/>
          <w:sz w:val="24"/>
          <w:szCs w:val="24"/>
        </w:rPr>
        <w:t>灵敏系数</w:t>
      </w:r>
    </w:p>
    <w:p>
      <w:pPr>
        <w:spacing w:line="480" w:lineRule="exact"/>
        <w:ind w:firstLine="48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灵敏系数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position w:val="-30"/>
          <w:sz w:val="24"/>
          <w:szCs w:val="24"/>
        </w:rPr>
        <w:object>
          <v:shape id="_x0000_i1037" o:spt="75" type="#_x0000_t75" style="height:33.75pt;width:6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3" r:id="rId33">
            <o:LockedField>false</o:LockedField>
          </o:OLEObject>
        </w:object>
      </w:r>
    </w:p>
    <w:p>
      <w:pPr>
        <w:spacing w:line="4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</w:t>
      </w:r>
    </w:p>
    <w:p>
      <w:pPr>
        <w:spacing w:line="4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</w:t>
      </w:r>
      <w:r>
        <w:rPr>
          <w:rFonts w:hint="eastAsia" w:ascii="宋体" w:hAnsi="宋体" w:cs="宋体"/>
          <w:position w:val="-30"/>
          <w:sz w:val="24"/>
          <w:szCs w:val="24"/>
        </w:rPr>
        <w:object>
          <v:shape id="_x0000_i1038" o:spt="75" type="#_x0000_t75" style="height:36pt;width:104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8" DrawAspect="Content" ObjectID="_1468075734" r:id="rId35">
            <o:LockedField>false</o:LockedField>
          </o:OLEObject>
        </w:object>
      </w:r>
    </w:p>
    <w:p>
      <w:pPr>
        <w:spacing w:line="4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2.3 </w:t>
      </w:r>
      <w:r>
        <w:rPr>
          <w:rFonts w:hint="eastAsia" w:ascii="宋体" w:hAnsi="宋体" w:cs="宋体"/>
          <w:sz w:val="24"/>
          <w:szCs w:val="24"/>
        </w:rPr>
        <w:t>传播律公式</w:t>
      </w:r>
    </w:p>
    <w:p>
      <w:pPr>
        <w:tabs>
          <w:tab w:val="left" w:pos="720"/>
        </w:tabs>
        <w:spacing w:line="480" w:lineRule="exact"/>
        <w:ind w:firstLine="48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因为各输入量彼此独立各不相关，所以</w:t>
      </w:r>
    </w:p>
    <w:p>
      <w:pPr>
        <w:tabs>
          <w:tab w:val="left" w:pos="720"/>
        </w:tabs>
        <w:spacing w:line="480" w:lineRule="exact"/>
        <w:ind w:firstLine="948" w:firstLineChars="39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position w:val="-12"/>
          <w:sz w:val="24"/>
          <w:szCs w:val="24"/>
        </w:rPr>
        <w:object>
          <v:shape id="_x0000_i1039" o:spt="75" type="#_x0000_t75" style="height:20.25pt;width:13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9" DrawAspect="Content" ObjectID="_1468075735" r:id="rId37">
            <o:LockedField>false</o:LockedField>
          </o:OLEObject>
        </w:object>
      </w:r>
    </w:p>
    <w:p>
      <w:pPr>
        <w:tabs>
          <w:tab w:val="left" w:pos="720"/>
        </w:tabs>
        <w:spacing w:line="480" w:lineRule="exac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由于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40" o:spt="75" type="#_x0000_t75" style="height:17.25pt;width:32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0" DrawAspect="Content" ObjectID="_1468075736" r:id="rId39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和</w:t>
      </w:r>
      <w:r>
        <w:rPr>
          <w:rFonts w:hint="eastAsia" w:ascii="宋体" w:hAnsi="宋体" w:cs="宋体"/>
          <w:position w:val="-12"/>
          <w:sz w:val="24"/>
          <w:szCs w:val="24"/>
        </w:rPr>
        <w:object>
          <v:shape id="_x0000_i1041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1" DrawAspect="Content" ObjectID="_1468075737" r:id="rId41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分别是它的相对不确定度形式，所以传播律公式为</w:t>
      </w:r>
    </w:p>
    <w:p>
      <w:pPr>
        <w:tabs>
          <w:tab w:val="left" w:pos="720"/>
        </w:tabs>
        <w:spacing w:line="4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position w:val="-12"/>
          <w:sz w:val="24"/>
          <w:szCs w:val="24"/>
        </w:rPr>
        <w:object>
          <v:shape id="_x0000_i1042" o:spt="75" type="#_x0000_t75" style="height:20.25pt;width:131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2" DrawAspect="Content" ObjectID="_1468075738" r:id="rId43">
            <o:LockedField>false</o:LockedField>
          </o:OLEObject>
        </w:object>
      </w:r>
    </w:p>
    <w:p>
      <w:pPr>
        <w:spacing w:line="360" w:lineRule="auto"/>
        <w:rPr>
          <w:rFonts w:ascii="黑体" w:hAnsi="宋体" w:eastAsia="黑体"/>
          <w:b/>
          <w:bCs/>
          <w:sz w:val="24"/>
          <w:szCs w:val="24"/>
        </w:rPr>
      </w:pPr>
      <w:r>
        <w:rPr>
          <w:rFonts w:ascii="黑体" w:hAnsi="宋体" w:eastAsia="黑体" w:cs="黑体"/>
          <w:b/>
          <w:bCs/>
          <w:sz w:val="24"/>
          <w:szCs w:val="24"/>
        </w:rPr>
        <w:t xml:space="preserve">3 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全部输入量的标准不确定度评定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3.1  </w:t>
      </w:r>
      <w:r>
        <w:rPr>
          <w:rFonts w:hint="eastAsia" w:ascii="宋体" w:hAnsi="宋体" w:cs="宋体"/>
          <w:sz w:val="24"/>
          <w:szCs w:val="24"/>
        </w:rPr>
        <w:t>测量重复性引入的标准不确定度分量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43" o:spt="75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3" DrawAspect="Content" ObjectID="_1468075739" r:id="rId45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的评定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对一台血凝分析仪，用按要求稀释后的血凝质控物连续进行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次测量，测得值如表</w:t>
      </w:r>
      <w:r>
        <w:rPr>
          <w:rFonts w:ascii="宋体" w:hAnsi="宋体" w:cs="宋体"/>
          <w:sz w:val="24"/>
          <w:szCs w:val="24"/>
        </w:rPr>
        <w:t>C.1</w:t>
      </w:r>
      <w:r>
        <w:rPr>
          <w:rFonts w:hint="eastAsia" w:ascii="宋体" w:hAnsi="宋体" w:cs="宋体"/>
          <w:sz w:val="24"/>
          <w:szCs w:val="24"/>
        </w:rPr>
        <w:t>所示。</w:t>
      </w:r>
    </w:p>
    <w:p>
      <w:pPr>
        <w:spacing w:line="360" w:lineRule="auto"/>
        <w:ind w:firstLine="480" w:firstLineChars="200"/>
        <w:jc w:val="center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C.1  </w:t>
      </w:r>
      <w:r>
        <w:rPr>
          <w:rFonts w:hint="eastAsia" w:ascii="宋体" w:hAnsi="宋体" w:cs="宋体"/>
          <w:sz w:val="24"/>
          <w:szCs w:val="24"/>
        </w:rPr>
        <w:t>重复性测量结果</w:t>
      </w:r>
    </w:p>
    <w:tbl>
      <w:tblPr>
        <w:tblStyle w:val="19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10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校准项目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position w:val="-6"/>
                <w:sz w:val="24"/>
                <w:szCs w:val="24"/>
              </w:rPr>
              <w:object>
                <v:shape id="_x0000_i1044" o:spt="75" type="#_x0000_t75" style="height:17.25pt;width:9.75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0" r:id="rId4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PT(s)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38.7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39.1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38.8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38.9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38.9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39.2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39.1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39.2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39.0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39.3</w:t>
            </w:r>
          </w:p>
        </w:tc>
        <w:tc>
          <w:tcPr>
            <w:tcW w:w="109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APTT(s)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67.4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67.3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67.5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68.1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68.4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67.8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68.1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68.0</w:t>
            </w:r>
          </w:p>
        </w:tc>
        <w:tc>
          <w:tcPr>
            <w:tcW w:w="109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FIB(g/L)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1.20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1.19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1.20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1.19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1.21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1.22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1.19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1.20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1.22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1.20</w:t>
            </w:r>
          </w:p>
        </w:tc>
        <w:tc>
          <w:tcPr>
            <w:tcW w:w="109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TT(s)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23.3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23.3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23.4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23.5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23.4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23.4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23.4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23.3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23.5</w:t>
            </w:r>
          </w:p>
        </w:tc>
        <w:tc>
          <w:tcPr>
            <w:tcW w:w="71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23.5</w:t>
            </w:r>
          </w:p>
        </w:tc>
        <w:tc>
          <w:tcPr>
            <w:tcW w:w="109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23.4</w:t>
            </w:r>
          </w:p>
        </w:tc>
      </w:tr>
    </w:tbl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平均值按照下式进行计算：</w:t>
      </w:r>
    </w:p>
    <w:p>
      <w:pPr>
        <w:ind w:firstLine="3600" w:firstLineChars="1500"/>
        <w:rPr>
          <w:rFonts w:ascii="宋体"/>
          <w:sz w:val="24"/>
          <w:szCs w:val="24"/>
        </w:rPr>
      </w:pPr>
      <w:r>
        <w:rPr>
          <w:rFonts w:ascii="宋体"/>
          <w:position w:val="-28"/>
          <w:sz w:val="24"/>
          <w:szCs w:val="24"/>
        </w:rPr>
        <w:pict>
          <v:shape id="_x0000_i1045" o:spt="75" type="#_x0000_t75" style="height:27.75pt;width:56.2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                  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单次实验标准差按照下式进行计算：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360" w:lineRule="auto"/>
        <w:ind w:firstLine="2880" w:firstLineChars="1200"/>
        <w:rPr>
          <w:rFonts w:ascii="宋体"/>
          <w:sz w:val="24"/>
          <w:szCs w:val="24"/>
        </w:rPr>
      </w:pPr>
      <w:r>
        <w:rPr>
          <w:rFonts w:ascii="宋体"/>
          <w:position w:val="-26"/>
          <w:sz w:val="24"/>
          <w:szCs w:val="24"/>
        </w:rPr>
        <w:pict>
          <v:shape id="_x0000_i1046" o:spt="75" type="#_x0000_t75" style="height:51.75pt;width:81.7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误差采用相对形式</w:t>
      </w:r>
      <w:r>
        <w:rPr>
          <w:rFonts w:hint="eastAsia" w:ascii="宋体" w:hAnsi="宋体" w:cs="宋体"/>
          <w:position w:val="-26"/>
          <w:sz w:val="24"/>
          <w:szCs w:val="24"/>
        </w:rPr>
        <w:object>
          <v:shape id="_x0000_i1047" o:spt="75" type="#_x0000_t75" style="height:32.25pt;width:56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7" DrawAspect="Content" ObjectID="_1468075741" r:id="rId51">
            <o:LockedField>false</o:LockedField>
          </o:OLEObject>
        </w:objec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由于实际情况是在重复条件下连续测量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次，并以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次测量的平均值为测量结果，则可得到：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</w:t>
      </w:r>
      <w:r>
        <w:rPr>
          <w:rFonts w:hint="eastAsia" w:ascii="宋体" w:hAnsi="宋体" w:cs="宋体"/>
          <w:position w:val="-28"/>
          <w:sz w:val="24"/>
          <w:szCs w:val="24"/>
        </w:rPr>
        <w:object>
          <v:shape id="_x0000_i1048" o:spt="75" type="#_x0000_t75" style="height:33.75pt;width:68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8" DrawAspect="Content" ObjectID="_1468075742" r:id="rId53">
            <o:LockedField>false</o:LockedField>
          </o:OLEObject>
        </w:objec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最后的计算结果见表</w:t>
      </w:r>
      <w:r>
        <w:rPr>
          <w:rFonts w:ascii="宋体" w:hAnsi="宋体" w:cs="宋体"/>
          <w:sz w:val="24"/>
          <w:szCs w:val="24"/>
        </w:rPr>
        <w:t>C.2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jc w:val="center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C.2 </w:t>
      </w:r>
      <w:r>
        <w:rPr>
          <w:rFonts w:hint="eastAsia" w:ascii="宋体" w:hAnsi="宋体" w:cs="宋体"/>
          <w:position w:val="-12"/>
          <w:sz w:val="24"/>
          <w:szCs w:val="24"/>
        </w:rPr>
        <w:object>
          <v:shape id="_x0000_i1049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9" DrawAspect="Content" ObjectID="_1468075743" r:id="rId55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的计算结果</w:t>
      </w:r>
    </w:p>
    <w:tbl>
      <w:tblPr>
        <w:tblStyle w:val="19"/>
        <w:tblW w:w="8591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2176"/>
        <w:gridCol w:w="2340"/>
        <w:gridCol w:w="2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15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校准项目</w:t>
            </w:r>
          </w:p>
        </w:tc>
        <w:tc>
          <w:tcPr>
            <w:tcW w:w="2176" w:type="dxa"/>
          </w:tcPr>
          <w:p>
            <w:pPr>
              <w:spacing w:line="48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</w:t>
            </w:r>
          </w:p>
        </w:tc>
        <w:tc>
          <w:tcPr>
            <w:tcW w:w="2340" w:type="dxa"/>
            <w:tcBorders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position w:val="-12"/>
                <w:sz w:val="24"/>
                <w:szCs w:val="24"/>
              </w:rPr>
              <w:object>
                <v:shape id="_x0000_i1050" o:spt="75" type="#_x0000_t75" style="height:18pt;width:34.5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44" r:id="rId57">
                  <o:LockedField>false</o:LockedField>
                </o:OLEObject>
              </w:object>
            </w:r>
          </w:p>
        </w:tc>
        <w:tc>
          <w:tcPr>
            <w:tcW w:w="2160" w:type="dxa"/>
            <w:tcBorders>
              <w:lef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position w:val="-12"/>
                <w:sz w:val="24"/>
                <w:szCs w:val="24"/>
              </w:rPr>
              <w:object>
                <v:shape id="_x0000_i1051" o:spt="75" type="#_x0000_t75" style="height:18pt;width:36.75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45" r:id="rId5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1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PT(s)</w:t>
            </w:r>
          </w:p>
        </w:tc>
        <w:tc>
          <w:tcPr>
            <w:tcW w:w="2176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0.193s</w:t>
            </w:r>
          </w:p>
        </w:tc>
        <w:tc>
          <w:tcPr>
            <w:tcW w:w="2340" w:type="dxa"/>
            <w:tcBorders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0.49%</w:t>
            </w:r>
          </w:p>
        </w:tc>
        <w:tc>
          <w:tcPr>
            <w:tcW w:w="2160" w:type="dxa"/>
            <w:tcBorders>
              <w:lef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0.29%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1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APTT(s)</w:t>
            </w:r>
          </w:p>
        </w:tc>
        <w:tc>
          <w:tcPr>
            <w:tcW w:w="2176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0.347s</w:t>
            </w:r>
          </w:p>
        </w:tc>
        <w:tc>
          <w:tcPr>
            <w:tcW w:w="2340" w:type="dxa"/>
            <w:tcBorders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0.51%</w:t>
            </w:r>
          </w:p>
        </w:tc>
        <w:tc>
          <w:tcPr>
            <w:tcW w:w="2160" w:type="dxa"/>
            <w:tcBorders>
              <w:lef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0.30%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1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FIB(g/L)</w:t>
            </w:r>
          </w:p>
        </w:tc>
        <w:tc>
          <w:tcPr>
            <w:tcW w:w="2176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0.011</w:t>
            </w:r>
            <w:r>
              <w:rPr>
                <w:kern w:val="0"/>
                <w:sz w:val="24"/>
                <w:szCs w:val="24"/>
              </w:rPr>
              <w:t>g/L</w:t>
            </w:r>
          </w:p>
        </w:tc>
        <w:tc>
          <w:tcPr>
            <w:tcW w:w="2340" w:type="dxa"/>
            <w:tcBorders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0.92%</w:t>
            </w:r>
          </w:p>
        </w:tc>
        <w:tc>
          <w:tcPr>
            <w:tcW w:w="2160" w:type="dxa"/>
            <w:tcBorders>
              <w:lef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0.53%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1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TT(s)</w:t>
            </w:r>
          </w:p>
        </w:tc>
        <w:tc>
          <w:tcPr>
            <w:tcW w:w="2176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0.082s</w:t>
            </w:r>
          </w:p>
        </w:tc>
        <w:tc>
          <w:tcPr>
            <w:tcW w:w="2340" w:type="dxa"/>
            <w:tcBorders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0.35%</w:t>
            </w:r>
          </w:p>
        </w:tc>
        <w:tc>
          <w:tcPr>
            <w:tcW w:w="2160" w:type="dxa"/>
            <w:tcBorders>
              <w:lef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0.20%</w:t>
            </w:r>
          </w:p>
        </w:tc>
      </w:tr>
    </w:tbl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3.2 </w:t>
      </w:r>
      <w:r>
        <w:rPr>
          <w:rFonts w:hint="eastAsia" w:ascii="宋体" w:hAnsi="宋体" w:cs="宋体"/>
          <w:sz w:val="24"/>
          <w:szCs w:val="24"/>
        </w:rPr>
        <w:t>标准物质定值引入的标准不确定度分量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52" o:spt="75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2" DrawAspect="Content" ObjectID="_1468075746" r:id="rId61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的评定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标准物质定值引入的</w:t>
      </w:r>
      <w:r>
        <w:rPr>
          <w:rFonts w:hint="eastAsia" w:cs="宋体"/>
          <w:sz w:val="24"/>
          <w:szCs w:val="24"/>
        </w:rPr>
        <w:t>不确定度主要来源于血凝质控物的最大允许误差，按均匀分布处理，最大允许误差由</w:t>
      </w:r>
      <w:r>
        <w:rPr>
          <w:rFonts w:hint="eastAsia" w:hAnsi="宋体" w:cs="宋体"/>
          <w:sz w:val="24"/>
          <w:szCs w:val="24"/>
        </w:rPr>
        <w:t>血凝质控物</w:t>
      </w:r>
      <w:r>
        <w:rPr>
          <w:rFonts w:hint="eastAsia" w:ascii="宋体" w:hAnsi="宋体" w:cs="宋体"/>
          <w:sz w:val="24"/>
          <w:szCs w:val="24"/>
        </w:rPr>
        <w:t>出厂说明书给出，并转换成相对形式，因此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53" o:spt="75" type="#_x0000_t75" style="height:14.25pt;width:8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3" DrawAspect="Content" ObjectID="_1468075747" r:id="rId63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 xml:space="preserve">                       </w:t>
      </w:r>
      <w:r>
        <w:rPr>
          <w:rFonts w:hint="eastAsia" w:ascii="宋体" w:hAnsi="宋体" w:cs="宋体"/>
          <w:position w:val="-28"/>
          <w:sz w:val="24"/>
          <w:szCs w:val="24"/>
        </w:rPr>
        <w:object>
          <v:shape id="_x0000_i1054" o:spt="75" type="#_x0000_t75" style="height:34.5pt;width:9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4" DrawAspect="Content" ObjectID="_1468075748" r:id="rId65">
            <o:LockedField>false</o:LockedField>
          </o:OLEObject>
        </w:object>
      </w:r>
    </w:p>
    <w:p>
      <w:pPr>
        <w:jc w:val="center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C.3  </w:t>
      </w:r>
      <w:r>
        <w:rPr>
          <w:rFonts w:hint="eastAsia" w:ascii="宋体" w:hAnsi="宋体" w:cs="宋体"/>
          <w:position w:val="-12"/>
          <w:sz w:val="24"/>
          <w:szCs w:val="24"/>
        </w:rPr>
        <w:object>
          <v:shape id="_x0000_i1055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5" DrawAspect="Content" ObjectID="_1468075749" r:id="rId67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计算结果</w:t>
      </w:r>
    </w:p>
    <w:tbl>
      <w:tblPr>
        <w:tblStyle w:val="19"/>
        <w:tblW w:w="8823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3"/>
        <w:gridCol w:w="2205"/>
        <w:gridCol w:w="2100"/>
        <w:gridCol w:w="22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校准项目</w:t>
            </w:r>
          </w:p>
        </w:tc>
        <w:tc>
          <w:tcPr>
            <w:tcW w:w="2205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4"/>
                <w:sz w:val="24"/>
                <w:szCs w:val="24"/>
              </w:rPr>
              <w:object>
                <v:shape id="_x0000_i1056" o:spt="75" type="#_x0000_t75" style="height:12.75pt;width:29.2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0" r:id="rId69">
                  <o:LockedField>false</o:LockedField>
                </o:OLEObject>
              </w:object>
            </w:r>
          </w:p>
        </w:tc>
        <w:tc>
          <w:tcPr>
            <w:tcW w:w="2100" w:type="dxa"/>
          </w:tcPr>
          <w:p>
            <w:pPr>
              <w:tabs>
                <w:tab w:val="left" w:pos="257"/>
                <w:tab w:val="center" w:pos="1001"/>
              </w:tabs>
              <w:spacing w:line="480" w:lineRule="exact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sz w:val="24"/>
                <w:szCs w:val="24"/>
              </w:rPr>
              <w:t>测量平均值</w:t>
            </w:r>
            <w:r>
              <w:rPr>
                <w:rFonts w:ascii="宋体"/>
                <w:position w:val="-6"/>
                <w:sz w:val="24"/>
                <w:szCs w:val="24"/>
              </w:rPr>
              <w:object>
                <v:shape id="_x0000_i1057" o:spt="75" type="#_x0000_t75" style="height:17.25pt;width:9.75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1" r:id="rId71">
                  <o:LockedField>false</o:LockedField>
                </o:OLEObject>
              </w:object>
            </w:r>
          </w:p>
        </w:tc>
        <w:tc>
          <w:tcPr>
            <w:tcW w:w="2205" w:type="dxa"/>
            <w:tcBorders>
              <w:lef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position w:val="-12"/>
                <w:sz w:val="24"/>
                <w:szCs w:val="24"/>
              </w:rPr>
              <w:object>
                <v:shape id="_x0000_i1058" o:spt="75" type="#_x0000_t75" style="height:18pt;width:37.5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2" r:id="rId7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PT(s)</w:t>
            </w:r>
          </w:p>
        </w:tc>
        <w:tc>
          <w:tcPr>
            <w:tcW w:w="2205" w:type="dxa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±</w:t>
            </w:r>
            <w:r>
              <w:rPr>
                <w:kern w:val="0"/>
                <w:sz w:val="24"/>
                <w:szCs w:val="24"/>
              </w:rPr>
              <w:t>7.4s</w:t>
            </w:r>
          </w:p>
        </w:tc>
        <w:tc>
          <w:tcPr>
            <w:tcW w:w="210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39.0s</w:t>
            </w:r>
          </w:p>
        </w:tc>
        <w:tc>
          <w:tcPr>
            <w:tcW w:w="220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11.0%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APTT(s)</w:t>
            </w:r>
          </w:p>
        </w:tc>
        <w:tc>
          <w:tcPr>
            <w:tcW w:w="2205" w:type="dxa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±</w:t>
            </w:r>
            <w:r>
              <w:rPr>
                <w:kern w:val="0"/>
                <w:sz w:val="24"/>
                <w:szCs w:val="24"/>
              </w:rPr>
              <w:t>12s</w:t>
            </w:r>
          </w:p>
        </w:tc>
        <w:tc>
          <w:tcPr>
            <w:tcW w:w="210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67.8s</w:t>
            </w:r>
          </w:p>
        </w:tc>
        <w:tc>
          <w:tcPr>
            <w:tcW w:w="220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10.2%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FIB(g/L)</w:t>
            </w:r>
          </w:p>
        </w:tc>
        <w:tc>
          <w:tcPr>
            <w:tcW w:w="2205" w:type="dxa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±</w:t>
            </w:r>
            <w:r>
              <w:rPr>
                <w:rFonts w:ascii="宋体" w:hAnsi="宋体" w:cs="宋体"/>
                <w:sz w:val="24"/>
                <w:szCs w:val="24"/>
              </w:rPr>
              <w:t>0.23g/L</w:t>
            </w:r>
          </w:p>
        </w:tc>
        <w:tc>
          <w:tcPr>
            <w:tcW w:w="210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1.20s</w:t>
            </w:r>
          </w:p>
        </w:tc>
        <w:tc>
          <w:tcPr>
            <w:tcW w:w="220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11.1%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TT(s)</w:t>
            </w:r>
          </w:p>
        </w:tc>
        <w:tc>
          <w:tcPr>
            <w:tcW w:w="2205" w:type="dxa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±</w:t>
            </w:r>
            <w:r>
              <w:rPr>
                <w:kern w:val="0"/>
                <w:sz w:val="24"/>
                <w:szCs w:val="24"/>
              </w:rPr>
              <w:t>4.3s</w:t>
            </w:r>
          </w:p>
        </w:tc>
        <w:tc>
          <w:tcPr>
            <w:tcW w:w="2100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23.4s</w:t>
            </w:r>
          </w:p>
        </w:tc>
        <w:tc>
          <w:tcPr>
            <w:tcW w:w="220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10.6%</w:t>
            </w:r>
          </w:p>
        </w:tc>
      </w:tr>
    </w:tbl>
    <w:p>
      <w:pPr>
        <w:spacing w:line="360" w:lineRule="auto"/>
        <w:rPr>
          <w:rFonts w:ascii="黑体" w:hAnsi="宋体" w:eastAsia="黑体"/>
          <w:b/>
          <w:bCs/>
          <w:sz w:val="24"/>
          <w:szCs w:val="24"/>
        </w:rPr>
      </w:pPr>
      <w:r>
        <w:rPr>
          <w:rFonts w:ascii="黑体" w:hAnsi="宋体" w:eastAsia="黑体" w:cs="黑体"/>
          <w:b/>
          <w:bCs/>
          <w:sz w:val="24"/>
          <w:szCs w:val="24"/>
        </w:rPr>
        <w:t xml:space="preserve">4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合成标准不确定度的评定</w:t>
      </w:r>
    </w:p>
    <w:p>
      <w:pPr>
        <w:spacing w:line="360" w:lineRule="auto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由于两个输入量彼此独立不相关，所以合成标准不确定度为</w:t>
      </w:r>
    </w:p>
    <w:p>
      <w:pPr>
        <w:spacing w:line="360" w:lineRule="auto"/>
        <w:ind w:firstLine="2520" w:firstLineChars="1050"/>
        <w:rPr>
          <w:rFonts w:ascii="宋体"/>
          <w:sz w:val="24"/>
          <w:szCs w:val="24"/>
        </w:rPr>
      </w:pPr>
      <w:r>
        <w:rPr>
          <w:rFonts w:ascii="宋体"/>
          <w:position w:val="-14"/>
          <w:sz w:val="24"/>
          <w:szCs w:val="24"/>
        </w:rPr>
        <w:object>
          <v:shape id="_x0000_i1059" o:spt="75" type="#_x0000_t75" style="height:23.25pt;width:125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9" DrawAspect="Content" ObjectID="_1468075753" r:id="rId75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计算结果见表</w:t>
      </w:r>
      <w:r>
        <w:rPr>
          <w:rFonts w:ascii="宋体" w:hAnsi="宋体" w:cs="宋体"/>
          <w:sz w:val="24"/>
          <w:szCs w:val="24"/>
        </w:rPr>
        <w:t>C.4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rPr>
          <w:rFonts w:ascii="黑体" w:hAnsi="宋体" w:eastAsia="黑体"/>
          <w:b/>
          <w:bCs/>
          <w:sz w:val="24"/>
          <w:szCs w:val="24"/>
        </w:rPr>
      </w:pPr>
      <w:r>
        <w:rPr>
          <w:rFonts w:ascii="黑体" w:hAnsi="宋体" w:eastAsia="黑体" w:cs="黑体"/>
          <w:b/>
          <w:bCs/>
          <w:sz w:val="24"/>
          <w:szCs w:val="24"/>
        </w:rPr>
        <w:t xml:space="preserve">5 </w:t>
      </w:r>
      <w:r>
        <w:rPr>
          <w:rFonts w:hint="eastAsia" w:ascii="黑体" w:hAnsi="宋体" w:eastAsia="黑体" w:cs="黑体"/>
          <w:b/>
          <w:bCs/>
          <w:sz w:val="24"/>
          <w:szCs w:val="24"/>
        </w:rPr>
        <w:t>扩展不确定度的评定</w:t>
      </w:r>
    </w:p>
    <w:p>
      <w:pPr>
        <w:ind w:firstLine="48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取包含因子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60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0" DrawAspect="Content" ObjectID="_1468075754" r:id="rId77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，则扩展不确定度为</w:t>
      </w:r>
    </w:p>
    <w:p>
      <w:pPr>
        <w:ind w:firstLine="4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</w:t>
      </w:r>
      <w:r>
        <w:rPr>
          <w:rFonts w:hint="eastAsia" w:ascii="宋体" w:hAnsi="宋体" w:cs="宋体"/>
          <w:position w:val="-12"/>
          <w:sz w:val="24"/>
          <w:szCs w:val="24"/>
        </w:rPr>
        <w:object>
          <v:shape id="_x0000_i1061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1" DrawAspect="Content" ObjectID="_1468075755" r:id="rId79">
            <o:LockedField>false</o:LockedField>
          </o:OLEObject>
        </w:object>
      </w:r>
    </w:p>
    <w:p>
      <w:pPr>
        <w:spacing w:line="360" w:lineRule="auto"/>
        <w:ind w:firstLine="48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最后的计算结果见表</w:t>
      </w:r>
      <w:r>
        <w:rPr>
          <w:rFonts w:ascii="宋体" w:hAnsi="宋体" w:cs="宋体"/>
          <w:sz w:val="24"/>
          <w:szCs w:val="24"/>
        </w:rPr>
        <w:t>C.4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</w:t>
      </w:r>
      <w:r>
        <w:rPr>
          <w:rFonts w:hint="eastAsia" w:ascii="宋体" w:hAnsi="宋体" w:cs="宋体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C.4  </w:t>
      </w:r>
      <w:r>
        <w:rPr>
          <w:rFonts w:hint="eastAsia" w:ascii="宋体" w:hAnsi="宋体" w:cs="宋体"/>
          <w:sz w:val="24"/>
          <w:szCs w:val="24"/>
        </w:rPr>
        <w:t>各校准项目测量不确定度计算结果</w:t>
      </w:r>
    </w:p>
    <w:tbl>
      <w:tblPr>
        <w:tblStyle w:val="19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627"/>
        <w:gridCol w:w="1628"/>
        <w:gridCol w:w="1473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校准项目</w:t>
            </w:r>
          </w:p>
        </w:tc>
        <w:tc>
          <w:tcPr>
            <w:tcW w:w="3255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不确定度分量</w:t>
            </w:r>
          </w:p>
        </w:tc>
        <w:tc>
          <w:tcPr>
            <w:tcW w:w="1473" w:type="dxa"/>
            <w:vMerge w:val="restart"/>
            <w:tcBorders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宋体"/>
                <w:position w:val="-12"/>
                <w:sz w:val="24"/>
                <w:szCs w:val="24"/>
              </w:rPr>
              <w:object>
                <v:shape id="_x0000_i1062" o:spt="75" type="#_x0000_t75" style="height:18pt;width:37.5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56" r:id="rId81">
                  <o:LockedField>false</o:LockedField>
                </o:OLEObject>
              </w:object>
            </w:r>
          </w:p>
        </w:tc>
        <w:tc>
          <w:tcPr>
            <w:tcW w:w="1785" w:type="dxa"/>
            <w:vMerge w:val="restart"/>
            <w:tcBorders>
              <w:lef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/>
                <w:i/>
                <w:iCs/>
                <w:vertAlign w:val="subscript"/>
              </w:rPr>
            </w:pPr>
            <w:r>
              <w:rPr>
                <w:rFonts w:hAnsi="宋体"/>
                <w:i/>
                <w:iCs/>
              </w:rPr>
              <w:t>U</w:t>
            </w:r>
            <w:r>
              <w:rPr>
                <w:rFonts w:hAnsi="宋体"/>
                <w:i/>
                <w:iCs/>
                <w:vertAlign w:val="subscript"/>
              </w:rPr>
              <w:t>rel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</w:rPr>
              <w:t>（</w:t>
            </w:r>
            <w:r>
              <w:rPr>
                <w:i/>
                <w:iCs/>
              </w:rPr>
              <w:t>k</w:t>
            </w:r>
            <w:r>
              <w:t>=2</w:t>
            </w:r>
            <w:r>
              <w:rPr>
                <w:rFonts w:hint="eastAsia" w:cs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575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position w:val="-12"/>
                <w:sz w:val="24"/>
                <w:szCs w:val="24"/>
              </w:rPr>
              <w:object>
                <v:shape id="_x0000_i1063" o:spt="75" type="#_x0000_t75" style="height:18pt;width:36.75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57" r:id="rId83">
                  <o:LockedField>false</o:LockedField>
                </o:OLEObject>
              </w:object>
            </w:r>
          </w:p>
        </w:tc>
        <w:tc>
          <w:tcPr>
            <w:tcW w:w="162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/>
                <w:position w:val="-12"/>
                <w:sz w:val="24"/>
                <w:szCs w:val="24"/>
              </w:rPr>
              <w:object>
                <v:shape id="_x0000_i1064" o:spt="75" type="#_x0000_t75" style="height:18pt;width:37.5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58" r:id="rId84">
                  <o:LockedField>false</o:LockedField>
                </o:OLEObject>
              </w:object>
            </w:r>
          </w:p>
        </w:tc>
        <w:tc>
          <w:tcPr>
            <w:tcW w:w="1473" w:type="dxa"/>
            <w:vMerge w:val="continue"/>
            <w:tcBorders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Merge w:val="continue"/>
            <w:tcBorders>
              <w:left w:val="single" w:color="000000" w:sz="2" w:space="0"/>
            </w:tcBorders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PT(s)</w:t>
            </w:r>
          </w:p>
        </w:tc>
        <w:tc>
          <w:tcPr>
            <w:tcW w:w="1627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0.29%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11.0%</w:t>
            </w:r>
          </w:p>
        </w:tc>
        <w:tc>
          <w:tcPr>
            <w:tcW w:w="1473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11.0%</w:t>
            </w:r>
          </w:p>
        </w:tc>
        <w:tc>
          <w:tcPr>
            <w:tcW w:w="1785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APTT(s)</w:t>
            </w:r>
          </w:p>
        </w:tc>
        <w:tc>
          <w:tcPr>
            <w:tcW w:w="1627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0.30%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10.2%</w:t>
            </w:r>
          </w:p>
        </w:tc>
        <w:tc>
          <w:tcPr>
            <w:tcW w:w="1473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10.2%</w:t>
            </w:r>
          </w:p>
        </w:tc>
        <w:tc>
          <w:tcPr>
            <w:tcW w:w="1785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FIB(g/L)</w:t>
            </w:r>
          </w:p>
        </w:tc>
        <w:tc>
          <w:tcPr>
            <w:tcW w:w="1627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0.53%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11.1%</w:t>
            </w:r>
          </w:p>
        </w:tc>
        <w:tc>
          <w:tcPr>
            <w:tcW w:w="1473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11.1%</w:t>
            </w:r>
          </w:p>
        </w:tc>
        <w:tc>
          <w:tcPr>
            <w:tcW w:w="1785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TT(s)</w:t>
            </w:r>
          </w:p>
        </w:tc>
        <w:tc>
          <w:tcPr>
            <w:tcW w:w="1627" w:type="dxa"/>
          </w:tcPr>
          <w:p>
            <w:pPr>
              <w:spacing w:line="4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0.20%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10.6%</w:t>
            </w:r>
          </w:p>
        </w:tc>
        <w:tc>
          <w:tcPr>
            <w:tcW w:w="1473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10.6%</w:t>
            </w:r>
          </w:p>
        </w:tc>
        <w:tc>
          <w:tcPr>
            <w:tcW w:w="1785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22%</w:t>
            </w:r>
          </w:p>
        </w:tc>
      </w:tr>
    </w:tbl>
    <w:p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>
      <w:pPr>
        <w:pStyle w:val="16"/>
      </w:pPr>
    </w:p>
    <w:p>
      <w:pPr>
        <w:spacing w:line="480" w:lineRule="auto"/>
        <w:sectPr>
          <w:footerReference r:id="rId8" w:type="default"/>
          <w:pgSz w:w="11906" w:h="16838"/>
          <w:pgMar w:top="1247" w:right="1134" w:bottom="1440" w:left="1848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80" w:lineRule="auto"/>
      </w:pPr>
      <w:r>
        <w:pict>
          <v:shape id="文本框 47" o:spid="_x0000_s1032" o:spt="202" type="#_x0000_t202" style="position:absolute;left:0pt;margin-left:446.25pt;margin-top:15.6pt;height:127.7pt;width:37.35pt;mso-wrap-distance-bottom:0pt;mso-wrap-distance-left:9pt;mso-wrap-distance-right:9pt;mso-wrap-distance-top:0pt;mso-wrap-style:none;z-index:251661312;mso-width-relative:page;mso-height-relative:page;" stroked="t" coordsize="21600,21600">
            <v:path/>
            <v:fill focussize="0,0"/>
            <v:stroke color="#FFFFFF" dashstyle="dash"/>
            <v:imagedata o:title=""/>
            <o:lock v:ext="edit"/>
            <v:textbox style="layout-flow:vertical;mso-layout-flow-alt:bottom-to-top;">
              <w:txbxContent>
                <w:p>
                  <w:pPr>
                    <w:jc w:val="right"/>
                    <w:rPr>
                      <w:rFonts w:ascii="黑体" w:eastAsia="黑体" w:cs="黑体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黑体" w:eastAsia="黑体" w:cs="黑体"/>
                      <w:b/>
                      <w:bCs/>
                      <w:sz w:val="28"/>
                      <w:szCs w:val="28"/>
                    </w:rPr>
                    <w:t>JJF</w:t>
                  </w:r>
                  <w:r>
                    <w:rPr>
                      <w:rFonts w:hint="eastAsia" w:ascii="黑体" w:eastAsia="黑体" w:cs="黑体"/>
                      <w:b/>
                      <w:bCs/>
                      <w:sz w:val="28"/>
                      <w:szCs w:val="28"/>
                    </w:rPr>
                    <w:t>（新）</w:t>
                  </w:r>
                  <w:r>
                    <w:rPr>
                      <w:rFonts w:ascii="黑体" w:eastAsia="黑体" w:cs="黑体"/>
                      <w:b/>
                      <w:bCs/>
                      <w:sz w:val="28"/>
                      <w:szCs w:val="28"/>
                    </w:rPr>
                    <w:t>24</w:t>
                  </w:r>
                  <w:r>
                    <w:rPr>
                      <w:rFonts w:hint="eastAsia" w:ascii="黑体" w:eastAsia="黑体" w:cs="黑体"/>
                      <w:b/>
                      <w:bCs/>
                      <w:sz w:val="28"/>
                      <w:szCs w:val="28"/>
                    </w:rPr>
                    <w:t>－</w:t>
                  </w:r>
                  <w:r>
                    <w:rPr>
                      <w:rFonts w:ascii="黑体" w:eastAsia="黑体" w:cs="黑体"/>
                      <w:b/>
                      <w:bCs/>
                      <w:sz w:val="28"/>
                      <w:szCs w:val="28"/>
                    </w:rPr>
                    <w:t>2018</w:t>
                  </w:r>
                </w:p>
              </w:txbxContent>
            </v:textbox>
            <w10:wrap type="square"/>
          </v:shape>
        </w:pict>
      </w:r>
    </w:p>
    <w:p>
      <w:pPr>
        <w:spacing w:line="480" w:lineRule="auto"/>
      </w:pPr>
      <w:r>
        <w:pict>
          <v:shape id="文本框 102" o:spid="_x0000_s1033" o:spt="202" type="#_x0000_t202" style="position:absolute;left:0pt;margin-left:456.15pt;margin-top:7.8pt;height:128.75pt;width:37.35pt;mso-wrap-distance-bottom:0pt;mso-wrap-distance-left:9pt;mso-wrap-distance-right:9pt;mso-wrap-distance-top:0pt;mso-wrap-style:none;z-index:251654144;mso-width-relative:page;mso-height-relative:page;" stroked="t" coordsize="21600,21600">
            <v:path/>
            <v:fill focussize="0,0"/>
            <v:stroke color="#FFFFFF" dashstyle="dash"/>
            <v:imagedata o:title=""/>
            <o:lock v:ext="edit"/>
            <v:textbox style="layout-flow:vertical;mso-layout-flow-alt:bottom-to-top;">
              <w:txbxContent>
                <w:p/>
              </w:txbxContent>
            </v:textbox>
            <w10:wrap type="square"/>
          </v:shape>
        </w:pict>
      </w:r>
    </w:p>
    <w:p>
      <w:pPr>
        <w:spacing w:line="480" w:lineRule="auto"/>
        <w:jc w:val="center"/>
      </w:pPr>
    </w:p>
    <w:p>
      <w:pPr>
        <w:spacing w:line="480" w:lineRule="auto"/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                                           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eastAsia="黑体"/>
          <w:sz w:val="28"/>
          <w:szCs w:val="28"/>
        </w:rPr>
      </w:pPr>
    </w:p>
    <w:p>
      <w:pPr>
        <w:rPr>
          <w:rFonts w:eastAsia="黑体"/>
          <w:sz w:val="24"/>
          <w:szCs w:val="24"/>
        </w:rPr>
      </w:pPr>
    </w:p>
    <w:p>
      <w:pPr>
        <w:spacing w:line="360" w:lineRule="exact"/>
        <w:jc w:val="center"/>
        <w:rPr>
          <w:rFonts w:eastAsia="华文中宋"/>
          <w:b/>
          <w:bCs/>
          <w:sz w:val="28"/>
          <w:szCs w:val="28"/>
        </w:rPr>
      </w:pPr>
      <w:r>
        <w:rPr>
          <w:rFonts w:hint="eastAsia" w:eastAsia="华文中宋" w:cs="华文中宋"/>
          <w:b/>
          <w:bCs/>
          <w:sz w:val="28"/>
          <w:szCs w:val="28"/>
        </w:rPr>
        <w:t>新疆维吾尔自治区</w:t>
      </w:r>
    </w:p>
    <w:p>
      <w:pPr>
        <w:spacing w:line="360" w:lineRule="exact"/>
        <w:jc w:val="center"/>
        <w:rPr>
          <w:rFonts w:eastAsia="华文中宋"/>
          <w:sz w:val="28"/>
          <w:szCs w:val="28"/>
        </w:rPr>
      </w:pPr>
      <w:r>
        <w:rPr>
          <w:rFonts w:hint="eastAsia" w:eastAsia="华文中宋" w:cs="华文中宋"/>
          <w:b/>
          <w:bCs/>
          <w:sz w:val="28"/>
          <w:szCs w:val="28"/>
        </w:rPr>
        <w:t>地方计量校准规范</w:t>
      </w:r>
    </w:p>
    <w:p>
      <w:pPr>
        <w:spacing w:line="360" w:lineRule="exact"/>
        <w:jc w:val="center"/>
        <w:rPr>
          <w:rFonts w:eastAsia="黑体"/>
          <w:b/>
          <w:bCs/>
          <w:sz w:val="24"/>
          <w:szCs w:val="24"/>
        </w:rPr>
      </w:pPr>
    </w:p>
    <w:p>
      <w:pPr>
        <w:spacing w:line="360" w:lineRule="exact"/>
        <w:jc w:val="center"/>
        <w:rPr>
          <w:rFonts w:eastAsia="黑体"/>
          <w:b/>
          <w:bCs/>
          <w:sz w:val="24"/>
          <w:szCs w:val="24"/>
        </w:rPr>
      </w:pPr>
      <w:r>
        <w:rPr>
          <w:rFonts w:hint="eastAsia" w:eastAsia="黑体" w:cs="黑体"/>
          <w:b/>
          <w:bCs/>
          <w:sz w:val="24"/>
          <w:szCs w:val="24"/>
        </w:rPr>
        <w:t>血凝分析仪校准规范</w:t>
      </w:r>
    </w:p>
    <w:p>
      <w:pPr>
        <w:spacing w:line="360" w:lineRule="exact"/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黑体" w:eastAsia="黑体" w:cs="黑体"/>
          <w:b/>
          <w:bCs/>
          <w:sz w:val="24"/>
          <w:szCs w:val="24"/>
        </w:rPr>
        <w:t>JJF(</w:t>
      </w:r>
      <w:r>
        <w:rPr>
          <w:rFonts w:hint="eastAsia" w:ascii="黑体" w:eastAsia="黑体" w:cs="黑体"/>
          <w:b/>
          <w:bCs/>
          <w:sz w:val="24"/>
          <w:szCs w:val="24"/>
        </w:rPr>
        <w:t>新</w:t>
      </w:r>
      <w:r>
        <w:rPr>
          <w:rFonts w:ascii="黑体" w:eastAsia="黑体" w:cs="黑体"/>
          <w:b/>
          <w:bCs/>
          <w:sz w:val="24"/>
          <w:szCs w:val="24"/>
        </w:rPr>
        <w:t>)XX</w:t>
      </w:r>
      <w:r>
        <w:rPr>
          <w:rFonts w:hint="eastAsia" w:ascii="黑体" w:eastAsia="黑体" w:cs="黑体"/>
          <w:b/>
          <w:bCs/>
          <w:sz w:val="24"/>
          <w:szCs w:val="24"/>
        </w:rPr>
        <w:t>－</w:t>
      </w:r>
      <w:r>
        <w:rPr>
          <w:rFonts w:ascii="黑体" w:eastAsia="黑体" w:cs="黑体"/>
          <w:b/>
          <w:bCs/>
          <w:sz w:val="24"/>
          <w:szCs w:val="24"/>
        </w:rPr>
        <w:t>XXXX</w:t>
      </w:r>
    </w:p>
    <w:p>
      <w:pPr>
        <w:spacing w:line="360" w:lineRule="exact"/>
        <w:jc w:val="center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</w:rPr>
        <w:t>新疆维吾尔自治区</w:t>
      </w:r>
      <w:r>
        <w:rPr>
          <w:rFonts w:hint="eastAsia" w:ascii="宋体" w:cs="宋体"/>
          <w:b/>
          <w:bCs/>
          <w:sz w:val="24"/>
          <w:szCs w:val="24"/>
        </w:rPr>
        <w:t>市场监督管理局</w:t>
      </w:r>
      <w:r>
        <w:rPr>
          <w:rFonts w:hint="eastAsia" w:cs="宋体"/>
          <w:b/>
          <w:bCs/>
          <w:sz w:val="24"/>
          <w:szCs w:val="24"/>
        </w:rPr>
        <w:t>发布</w:t>
      </w:r>
    </w:p>
    <w:p>
      <w:pPr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*</w:t>
      </w:r>
    </w:p>
    <w:p>
      <w:pPr>
        <w:jc w:val="center"/>
        <w:rPr>
          <w:rFonts w:eastAsia="黑体"/>
          <w:b/>
          <w:bCs/>
          <w:sz w:val="18"/>
          <w:szCs w:val="18"/>
        </w:rPr>
      </w:pPr>
      <w:r>
        <w:rPr>
          <w:rFonts w:hint="eastAsia" w:eastAsia="黑体" w:cs="黑体"/>
          <w:b/>
          <w:bCs/>
          <w:sz w:val="18"/>
          <w:szCs w:val="18"/>
        </w:rPr>
        <w:t>版权所有</w:t>
      </w:r>
      <w:r>
        <w:rPr>
          <w:rFonts w:eastAsia="黑体"/>
          <w:b/>
          <w:bCs/>
          <w:sz w:val="18"/>
          <w:szCs w:val="18"/>
        </w:rPr>
        <w:t xml:space="preserve"> </w:t>
      </w:r>
      <w:r>
        <w:rPr>
          <w:rFonts w:hint="eastAsia" w:eastAsia="黑体" w:cs="黑体"/>
          <w:b/>
          <w:bCs/>
          <w:sz w:val="18"/>
          <w:szCs w:val="18"/>
        </w:rPr>
        <w:t>不得翻印</w:t>
      </w:r>
    </w:p>
    <w:p>
      <w:pPr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*</w:t>
      </w:r>
    </w:p>
    <w:p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880mm×1230mm 16</w:t>
      </w:r>
      <w:r>
        <w:rPr>
          <w:rFonts w:hint="eastAsia" w:cs="宋体"/>
          <w:b/>
          <w:bCs/>
          <w:sz w:val="18"/>
          <w:szCs w:val="18"/>
        </w:rPr>
        <w:t>开本</w:t>
      </w:r>
    </w:p>
    <w:p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2018</w:t>
      </w:r>
      <w:r>
        <w:rPr>
          <w:rFonts w:hint="eastAsia" w:cs="宋体"/>
          <w:b/>
          <w:bCs/>
          <w:sz w:val="18"/>
          <w:szCs w:val="18"/>
        </w:rPr>
        <w:t>年</w:t>
      </w:r>
      <w:r>
        <w:rPr>
          <w:b/>
          <w:bCs/>
          <w:sz w:val="18"/>
          <w:szCs w:val="18"/>
        </w:rPr>
        <w:t>12</w:t>
      </w:r>
      <w:r>
        <w:rPr>
          <w:rFonts w:hint="eastAsia" w:cs="宋体"/>
          <w:b/>
          <w:bCs/>
          <w:sz w:val="18"/>
          <w:szCs w:val="18"/>
        </w:rPr>
        <w:t>月第</w:t>
      </w:r>
      <w:r>
        <w:rPr>
          <w:b/>
          <w:bCs/>
          <w:sz w:val="18"/>
          <w:szCs w:val="18"/>
        </w:rPr>
        <w:t>1</w:t>
      </w:r>
      <w:r>
        <w:rPr>
          <w:rFonts w:hint="eastAsia" w:cs="宋体"/>
          <w:b/>
          <w:bCs/>
          <w:sz w:val="18"/>
          <w:szCs w:val="18"/>
        </w:rPr>
        <w:t>版</w:t>
      </w:r>
      <w:r>
        <w:rPr>
          <w:b/>
          <w:bCs/>
          <w:sz w:val="18"/>
          <w:szCs w:val="18"/>
        </w:rPr>
        <w:t xml:space="preserve">  2018</w:t>
      </w:r>
      <w:r>
        <w:rPr>
          <w:rFonts w:hint="eastAsia" w:cs="宋体"/>
          <w:b/>
          <w:bCs/>
          <w:sz w:val="18"/>
          <w:szCs w:val="18"/>
        </w:rPr>
        <w:t>年</w:t>
      </w:r>
      <w:r>
        <w:rPr>
          <w:b/>
          <w:bCs/>
          <w:sz w:val="18"/>
          <w:szCs w:val="18"/>
        </w:rPr>
        <w:t>12</w:t>
      </w:r>
      <w:r>
        <w:rPr>
          <w:rFonts w:hint="eastAsia" w:cs="宋体"/>
          <w:b/>
          <w:bCs/>
          <w:sz w:val="18"/>
          <w:szCs w:val="18"/>
        </w:rPr>
        <w:t>月第</w:t>
      </w:r>
      <w:r>
        <w:rPr>
          <w:b/>
          <w:bCs/>
          <w:sz w:val="18"/>
          <w:szCs w:val="18"/>
        </w:rPr>
        <w:t>1</w:t>
      </w:r>
      <w:r>
        <w:rPr>
          <w:rFonts w:hint="eastAsia" w:cs="宋体"/>
          <w:b/>
          <w:bCs/>
          <w:sz w:val="18"/>
          <w:szCs w:val="18"/>
        </w:rPr>
        <w:t>次印刷</w:t>
      </w:r>
    </w:p>
    <w:p>
      <w:pPr>
        <w:jc w:val="center"/>
        <w:rPr>
          <w:b/>
          <w:bCs/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印数</w:t>
      </w:r>
      <w:r>
        <w:rPr>
          <w:b/>
          <w:bCs/>
          <w:sz w:val="18"/>
          <w:szCs w:val="18"/>
        </w:rPr>
        <w:t xml:space="preserve">  1-100</w:t>
      </w:r>
    </w:p>
    <w:sectPr>
      <w:headerReference r:id="rId9" w:type="default"/>
      <w:footerReference r:id="rId10" w:type="default"/>
      <w:pgSz w:w="11906" w:h="16838"/>
      <w:pgMar w:top="1247" w:right="1134" w:bottom="1440" w:left="184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2"/>
      </w:rPr>
    </w:pPr>
  </w:p>
  <w:p>
    <w:pPr>
      <w:pStyle w:val="1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top w:val="single" w:color="auto" w:sz="4" w:space="1"/>
      </w:pBdr>
      <w:rPr>
        <w:b/>
        <w:bCs/>
      </w:rPr>
    </w:pPr>
    <w:r>
      <w:rPr>
        <w:rFonts w:hint="eastAsia" w:cs="宋体"/>
        <w:b/>
        <w:bCs/>
      </w:rPr>
      <w:t>新疆维吾尔自治区计量测试研究院受控文件，请妥善保管。</w:t>
    </w:r>
    <w:r>
      <w:rPr>
        <w:b/>
        <w:bCs/>
      </w:rPr>
      <w:t xml:space="preserve">                                             </w:t>
    </w:r>
    <w:r>
      <w:rPr>
        <w:rStyle w:val="22"/>
      </w:rPr>
      <w:fldChar w:fldCharType="begin"/>
    </w:r>
    <w:r>
      <w:rPr>
        <w:rStyle w:val="22"/>
      </w:rPr>
      <w:instrText xml:space="preserve"> PAGE </w:instrText>
    </w:r>
    <w:r>
      <w:rPr>
        <w:rStyle w:val="22"/>
      </w:rPr>
      <w:fldChar w:fldCharType="separate"/>
    </w:r>
    <w:r>
      <w:rPr>
        <w:rStyle w:val="22"/>
      </w:rPr>
      <w:t>II</w:t>
    </w:r>
    <w:r>
      <w:rPr>
        <w:rStyle w:val="22"/>
      </w:rPr>
      <w:fldChar w:fldCharType="end"/>
    </w:r>
  </w:p>
  <w:p>
    <w:pPr>
      <w:pStyle w:val="14"/>
      <w:tabs>
        <w:tab w:val="left" w:pos="6644"/>
        <w:tab w:val="clear" w:pos="4153"/>
        <w:tab w:val="clear" w:pos="8306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top w:val="single" w:color="auto" w:sz="4" w:space="1"/>
      </w:pBdr>
      <w:rPr>
        <w:rFonts w:ascii="宋体"/>
      </w:rPr>
    </w:pPr>
    <w:r>
      <w:rPr>
        <w:b/>
        <w:bCs/>
        <w:kern w:val="0"/>
      </w:rPr>
      <w:t>-</w:t>
    </w:r>
    <w:r>
      <w:rPr>
        <w:rFonts w:hint="eastAsia" w:cs="宋体"/>
        <w:b/>
        <w:bCs/>
      </w:rPr>
      <w:t>新疆维吾尔自治区计量测试研究院受控文件，请妥善保管。</w:t>
    </w:r>
    <w:r>
      <w:rPr>
        <w:b/>
        <w:bCs/>
      </w:rPr>
      <w:t xml:space="preserve">                                           </w:t>
    </w:r>
    <w:r>
      <w:rPr>
        <w:rStyle w:val="22"/>
      </w:rPr>
      <w:fldChar w:fldCharType="begin"/>
    </w:r>
    <w:r>
      <w:rPr>
        <w:rStyle w:val="22"/>
      </w:rPr>
      <w:instrText xml:space="preserve"> PAGE </w:instrText>
    </w:r>
    <w:r>
      <w:rPr>
        <w:rStyle w:val="22"/>
      </w:rPr>
      <w:fldChar w:fldCharType="separate"/>
    </w:r>
    <w:r>
      <w:rPr>
        <w:rStyle w:val="22"/>
      </w:rPr>
      <w:t>4</w:t>
    </w:r>
    <w:r>
      <w:rPr>
        <w:rStyle w:val="22"/>
      </w:rPr>
      <w:fldChar w:fldCharType="end"/>
    </w:r>
  </w:p>
  <w:p>
    <w:pPr>
      <w:pStyle w:val="14"/>
      <w:tabs>
        <w:tab w:val="left" w:pos="6644"/>
        <w:tab w:val="clear" w:pos="4153"/>
        <w:tab w:val="clear" w:pos="8306"/>
      </w:tabs>
    </w:pPr>
    <w: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top w:val="single" w:color="auto" w:sz="4" w:space="1"/>
      </w:pBdr>
      <w:rPr>
        <w:rFonts w:ascii="宋体"/>
      </w:rPr>
    </w:pPr>
    <w:r>
      <w:rPr>
        <w:b/>
        <w:bCs/>
        <w:kern w:val="0"/>
      </w:rPr>
      <w:t>-</w:t>
    </w:r>
    <w:r>
      <w:rPr>
        <w:rFonts w:hint="eastAsia" w:cs="宋体"/>
        <w:b/>
        <w:bCs/>
      </w:rPr>
      <w:t>新疆维吾尔自治区计量测试研究院受控文件，请妥善保管。</w:t>
    </w:r>
    <w:r>
      <w:rPr>
        <w:b/>
        <w:bCs/>
      </w:rPr>
      <w:t xml:space="preserve">                                           5</w:t>
    </w:r>
  </w:p>
  <w:p>
    <w:pPr>
      <w:pStyle w:val="14"/>
      <w:tabs>
        <w:tab w:val="left" w:pos="6644"/>
        <w:tab w:val="clear" w:pos="4153"/>
        <w:tab w:val="clear" w:pos="8306"/>
      </w:tabs>
    </w:pP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inside" w:y="1"/>
      <w:rPr>
        <w:rStyle w:val="22"/>
        <w:rFonts w:ascii="宋体"/>
      </w:rPr>
    </w:pPr>
    <w:r>
      <w:rPr>
        <w:rStyle w:val="22"/>
        <w:rFonts w:ascii="宋体" w:hAnsi="宋体" w:cs="宋体"/>
      </w:rPr>
      <w:fldChar w:fldCharType="begin"/>
    </w:r>
    <w:r>
      <w:rPr>
        <w:rStyle w:val="22"/>
        <w:rFonts w:ascii="宋体" w:hAnsi="宋体" w:cs="宋体"/>
      </w:rPr>
      <w:instrText xml:space="preserve">PAGE  </w:instrText>
    </w:r>
    <w:r>
      <w:rPr>
        <w:rStyle w:val="22"/>
        <w:rFonts w:ascii="宋体" w:hAnsi="宋体" w:cs="宋体"/>
      </w:rPr>
      <w:fldChar w:fldCharType="separate"/>
    </w:r>
    <w:r>
      <w:rPr>
        <w:rStyle w:val="22"/>
        <w:rFonts w:ascii="宋体" w:hAnsi="宋体" w:cs="宋体"/>
      </w:rPr>
      <w:t>5</w:t>
    </w:r>
    <w:r>
      <w:rPr>
        <w:rStyle w:val="22"/>
        <w:rFonts w:ascii="宋体" w:hAnsi="宋体" w:cs="宋体"/>
      </w:rPr>
      <w:fldChar w:fldCharType="end"/>
    </w:r>
  </w:p>
  <w:p>
    <w:pPr>
      <w:pStyle w:val="14"/>
      <w:tabs>
        <w:tab w:val="left" w:pos="551"/>
        <w:tab w:val="clear" w:pos="4153"/>
        <w:tab w:val="clear" w:pos="8306"/>
      </w:tabs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left" w:pos="551"/>
        <w:tab w:val="clear" w:pos="4153"/>
        <w:tab w:val="clear" w:pos="8306"/>
      </w:tabs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rPr>
        <w:rFonts w:ascii="黑体" w:eastAsia="黑体"/>
        <w:sz w:val="21"/>
        <w:szCs w:val="21"/>
      </w:rPr>
    </w:pPr>
    <w:r>
      <w:rPr>
        <w:rFonts w:ascii="黑体" w:hAnsi="宋体" w:eastAsia="黑体" w:cs="黑体"/>
        <w:b/>
        <w:bCs/>
        <w:sz w:val="21"/>
        <w:szCs w:val="21"/>
      </w:rPr>
      <w:t>JJF(</w:t>
    </w:r>
    <w:r>
      <w:rPr>
        <w:rFonts w:hint="eastAsia" w:ascii="黑体" w:hAnsi="宋体" w:eastAsia="黑体" w:cs="黑体"/>
        <w:b/>
        <w:bCs/>
        <w:sz w:val="21"/>
        <w:szCs w:val="21"/>
      </w:rPr>
      <w:t>新</w:t>
    </w:r>
    <w:r>
      <w:rPr>
        <w:rFonts w:ascii="黑体" w:hAnsi="宋体" w:eastAsia="黑体" w:cs="黑体"/>
        <w:b/>
        <w:bCs/>
        <w:sz w:val="21"/>
        <w:szCs w:val="21"/>
      </w:rPr>
      <w:t>)XX-XXXX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209D5"/>
    <w:multiLevelType w:val="multilevel"/>
    <w:tmpl w:val="116209D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BC2422D"/>
    <w:multiLevelType w:val="multilevel"/>
    <w:tmpl w:val="3BC2422D"/>
    <w:lvl w:ilvl="0" w:tentative="0">
      <w:start w:val="1"/>
      <w:numFmt w:val="decimal"/>
      <w:pStyle w:val="61"/>
      <w:lvlText w:val="%1、"/>
      <w:lvlJc w:val="left"/>
      <w:pPr>
        <w:tabs>
          <w:tab w:val="left" w:pos="1155"/>
        </w:tabs>
        <w:ind w:left="115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4B832352"/>
    <w:multiLevelType w:val="multilevel"/>
    <w:tmpl w:val="4B832352"/>
    <w:lvl w:ilvl="0" w:tentative="0">
      <w:start w:val="1"/>
      <w:numFmt w:val="lowerLetter"/>
      <w:lvlText w:val="%1）"/>
      <w:lvlJc w:val="left"/>
      <w:pPr>
        <w:tabs>
          <w:tab w:val="left" w:pos="1212"/>
        </w:tabs>
        <w:ind w:left="1212" w:hanging="720"/>
      </w:pPr>
      <w:rPr>
        <w:rFonts w:hint="default" w:ascii="宋体" w:hAnsi="宋体" w:eastAsia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05B663F"/>
    <w:multiLevelType w:val="multilevel"/>
    <w:tmpl w:val="505B663F"/>
    <w:lvl w:ilvl="0" w:tentative="0">
      <w:start w:val="3"/>
      <w:numFmt w:val="decimal"/>
      <w:lvlText w:val="%1"/>
      <w:lvlJc w:val="left"/>
      <w:pPr>
        <w:tabs>
          <w:tab w:val="left" w:pos="600"/>
        </w:tabs>
        <w:ind w:left="600" w:hanging="600"/>
      </w:pPr>
      <w:rPr>
        <w:rFonts w:hint="default" w:ascii="宋体" w:eastAsia="宋体"/>
        <w:color w:val="auto"/>
      </w:rPr>
    </w:lvl>
    <w:lvl w:ilvl="1" w:tentative="0">
      <w:start w:val="4"/>
      <w:numFmt w:val="decimal"/>
      <w:lvlText w:val="%1.%2"/>
      <w:lvlJc w:val="left"/>
      <w:pPr>
        <w:tabs>
          <w:tab w:val="left" w:pos="600"/>
        </w:tabs>
        <w:ind w:left="600" w:hanging="600"/>
      </w:pPr>
      <w:rPr>
        <w:rFonts w:hint="default" w:ascii="宋体" w:eastAsia="宋体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eastAsia="宋体"/>
        <w:color w:val="aut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ascii="宋体" w:eastAsia="宋体"/>
        <w:color w:val="auto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ascii="宋体" w:eastAsia="宋体"/>
        <w:color w:val="auto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 w:ascii="宋体" w:eastAsia="宋体"/>
        <w:color w:val="aut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ascii="宋体" w:eastAsia="宋体"/>
        <w:color w:val="aut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 w:ascii="宋体" w:eastAsia="宋体"/>
        <w:color w:val="aut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 w:ascii="宋体" w:eastAsia="宋体"/>
        <w:color w:val="auto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5C39"/>
    <w:rsid w:val="00001129"/>
    <w:rsid w:val="0000322C"/>
    <w:rsid w:val="00004428"/>
    <w:rsid w:val="0000509B"/>
    <w:rsid w:val="00005FE8"/>
    <w:rsid w:val="00006A96"/>
    <w:rsid w:val="00011627"/>
    <w:rsid w:val="0001208C"/>
    <w:rsid w:val="000136B1"/>
    <w:rsid w:val="00013A5C"/>
    <w:rsid w:val="0002033E"/>
    <w:rsid w:val="00021FB1"/>
    <w:rsid w:val="00025434"/>
    <w:rsid w:val="0002636E"/>
    <w:rsid w:val="00032942"/>
    <w:rsid w:val="00034AB1"/>
    <w:rsid w:val="00040CFC"/>
    <w:rsid w:val="000422BF"/>
    <w:rsid w:val="0004651C"/>
    <w:rsid w:val="00053885"/>
    <w:rsid w:val="000554B6"/>
    <w:rsid w:val="0006207D"/>
    <w:rsid w:val="00065FE9"/>
    <w:rsid w:val="00066C53"/>
    <w:rsid w:val="0006785A"/>
    <w:rsid w:val="00067B50"/>
    <w:rsid w:val="0007032D"/>
    <w:rsid w:val="00071D8D"/>
    <w:rsid w:val="00074ADE"/>
    <w:rsid w:val="00075D7A"/>
    <w:rsid w:val="00081FED"/>
    <w:rsid w:val="000832A7"/>
    <w:rsid w:val="00084CD2"/>
    <w:rsid w:val="0008673C"/>
    <w:rsid w:val="00086EE8"/>
    <w:rsid w:val="00087131"/>
    <w:rsid w:val="00087190"/>
    <w:rsid w:val="0009185E"/>
    <w:rsid w:val="000971F0"/>
    <w:rsid w:val="000A0278"/>
    <w:rsid w:val="000A2255"/>
    <w:rsid w:val="000A6D2E"/>
    <w:rsid w:val="000B4F9D"/>
    <w:rsid w:val="000B6CB3"/>
    <w:rsid w:val="000C07D1"/>
    <w:rsid w:val="000C285B"/>
    <w:rsid w:val="000C313B"/>
    <w:rsid w:val="000C5A34"/>
    <w:rsid w:val="000D052F"/>
    <w:rsid w:val="000D2A90"/>
    <w:rsid w:val="000D3AFC"/>
    <w:rsid w:val="000D3DA2"/>
    <w:rsid w:val="000D6A4F"/>
    <w:rsid w:val="000D76CC"/>
    <w:rsid w:val="000E2402"/>
    <w:rsid w:val="000E2B8F"/>
    <w:rsid w:val="000E4080"/>
    <w:rsid w:val="000E4AF3"/>
    <w:rsid w:val="000F1DB1"/>
    <w:rsid w:val="000F4827"/>
    <w:rsid w:val="000F5422"/>
    <w:rsid w:val="00101972"/>
    <w:rsid w:val="00102EFD"/>
    <w:rsid w:val="001032F0"/>
    <w:rsid w:val="001058E6"/>
    <w:rsid w:val="00106DBD"/>
    <w:rsid w:val="00107647"/>
    <w:rsid w:val="00112418"/>
    <w:rsid w:val="001142A1"/>
    <w:rsid w:val="00115239"/>
    <w:rsid w:val="001166BB"/>
    <w:rsid w:val="00117AC3"/>
    <w:rsid w:val="001201D7"/>
    <w:rsid w:val="00120BA5"/>
    <w:rsid w:val="0012461B"/>
    <w:rsid w:val="001316A9"/>
    <w:rsid w:val="00131DA5"/>
    <w:rsid w:val="0013465F"/>
    <w:rsid w:val="0013505A"/>
    <w:rsid w:val="00135DEB"/>
    <w:rsid w:val="0013666C"/>
    <w:rsid w:val="00137805"/>
    <w:rsid w:val="001428BE"/>
    <w:rsid w:val="00142C46"/>
    <w:rsid w:val="00146D0A"/>
    <w:rsid w:val="00151297"/>
    <w:rsid w:val="00151DE6"/>
    <w:rsid w:val="00160467"/>
    <w:rsid w:val="00161AD3"/>
    <w:rsid w:val="00165785"/>
    <w:rsid w:val="00165B05"/>
    <w:rsid w:val="00165B7F"/>
    <w:rsid w:val="00171DEC"/>
    <w:rsid w:val="00173525"/>
    <w:rsid w:val="00175DA1"/>
    <w:rsid w:val="001762D8"/>
    <w:rsid w:val="00176AF6"/>
    <w:rsid w:val="00180592"/>
    <w:rsid w:val="001836D9"/>
    <w:rsid w:val="00183E6E"/>
    <w:rsid w:val="0018442F"/>
    <w:rsid w:val="0018510A"/>
    <w:rsid w:val="0018785E"/>
    <w:rsid w:val="00191CC4"/>
    <w:rsid w:val="00193691"/>
    <w:rsid w:val="00193B02"/>
    <w:rsid w:val="0019798E"/>
    <w:rsid w:val="001A0291"/>
    <w:rsid w:val="001A20AB"/>
    <w:rsid w:val="001A63A5"/>
    <w:rsid w:val="001A73DC"/>
    <w:rsid w:val="001B1589"/>
    <w:rsid w:val="001B1DFB"/>
    <w:rsid w:val="001B34B3"/>
    <w:rsid w:val="001B3729"/>
    <w:rsid w:val="001B3999"/>
    <w:rsid w:val="001B4A71"/>
    <w:rsid w:val="001B4F6E"/>
    <w:rsid w:val="001B6945"/>
    <w:rsid w:val="001B6E1A"/>
    <w:rsid w:val="001B7420"/>
    <w:rsid w:val="001C3751"/>
    <w:rsid w:val="001D0B7D"/>
    <w:rsid w:val="001D3D02"/>
    <w:rsid w:val="001D5A7E"/>
    <w:rsid w:val="001E04CA"/>
    <w:rsid w:val="001E0F1D"/>
    <w:rsid w:val="001E4403"/>
    <w:rsid w:val="001E66F8"/>
    <w:rsid w:val="001F1A94"/>
    <w:rsid w:val="001F70B4"/>
    <w:rsid w:val="001F7D37"/>
    <w:rsid w:val="00200830"/>
    <w:rsid w:val="00203C98"/>
    <w:rsid w:val="002065AC"/>
    <w:rsid w:val="002077BF"/>
    <w:rsid w:val="00211BB0"/>
    <w:rsid w:val="002123FA"/>
    <w:rsid w:val="0021343D"/>
    <w:rsid w:val="00216BD1"/>
    <w:rsid w:val="00221FD8"/>
    <w:rsid w:val="00222A2C"/>
    <w:rsid w:val="002239A7"/>
    <w:rsid w:val="00223A54"/>
    <w:rsid w:val="00224C2E"/>
    <w:rsid w:val="00224DFF"/>
    <w:rsid w:val="00224FA0"/>
    <w:rsid w:val="00226307"/>
    <w:rsid w:val="00226A21"/>
    <w:rsid w:val="00226D22"/>
    <w:rsid w:val="00227F66"/>
    <w:rsid w:val="002309F3"/>
    <w:rsid w:val="00231B70"/>
    <w:rsid w:val="00231C7B"/>
    <w:rsid w:val="00233462"/>
    <w:rsid w:val="00235132"/>
    <w:rsid w:val="00237F3E"/>
    <w:rsid w:val="00240F8B"/>
    <w:rsid w:val="00241290"/>
    <w:rsid w:val="00244911"/>
    <w:rsid w:val="00244BF6"/>
    <w:rsid w:val="00246DB4"/>
    <w:rsid w:val="00250417"/>
    <w:rsid w:val="002546DE"/>
    <w:rsid w:val="00255748"/>
    <w:rsid w:val="00257841"/>
    <w:rsid w:val="00260BC2"/>
    <w:rsid w:val="00260BC9"/>
    <w:rsid w:val="00261333"/>
    <w:rsid w:val="00263846"/>
    <w:rsid w:val="00266574"/>
    <w:rsid w:val="0027214A"/>
    <w:rsid w:val="00272366"/>
    <w:rsid w:val="00273526"/>
    <w:rsid w:val="00274ABA"/>
    <w:rsid w:val="00277D51"/>
    <w:rsid w:val="00277FEC"/>
    <w:rsid w:val="0028001E"/>
    <w:rsid w:val="002804B4"/>
    <w:rsid w:val="0028600F"/>
    <w:rsid w:val="0028627C"/>
    <w:rsid w:val="00287700"/>
    <w:rsid w:val="00293610"/>
    <w:rsid w:val="00294707"/>
    <w:rsid w:val="002A021A"/>
    <w:rsid w:val="002A0A1D"/>
    <w:rsid w:val="002A2226"/>
    <w:rsid w:val="002A69F8"/>
    <w:rsid w:val="002A6C7A"/>
    <w:rsid w:val="002A7BEA"/>
    <w:rsid w:val="002A7D87"/>
    <w:rsid w:val="002B0D33"/>
    <w:rsid w:val="002B2149"/>
    <w:rsid w:val="002B2F9C"/>
    <w:rsid w:val="002B32DF"/>
    <w:rsid w:val="002B597C"/>
    <w:rsid w:val="002B7A46"/>
    <w:rsid w:val="002C066A"/>
    <w:rsid w:val="002C1FC9"/>
    <w:rsid w:val="002C303D"/>
    <w:rsid w:val="002C37C9"/>
    <w:rsid w:val="002C5410"/>
    <w:rsid w:val="002C7101"/>
    <w:rsid w:val="002D32DC"/>
    <w:rsid w:val="002D40C7"/>
    <w:rsid w:val="002D4EA6"/>
    <w:rsid w:val="002D52FB"/>
    <w:rsid w:val="002D6C7E"/>
    <w:rsid w:val="002D6C92"/>
    <w:rsid w:val="002D6CA2"/>
    <w:rsid w:val="002E0EC2"/>
    <w:rsid w:val="002E6256"/>
    <w:rsid w:val="002E74B0"/>
    <w:rsid w:val="002F0378"/>
    <w:rsid w:val="002F03F3"/>
    <w:rsid w:val="002F1ED0"/>
    <w:rsid w:val="002F3E80"/>
    <w:rsid w:val="002F3E96"/>
    <w:rsid w:val="002F4114"/>
    <w:rsid w:val="002F582B"/>
    <w:rsid w:val="002F681F"/>
    <w:rsid w:val="00300204"/>
    <w:rsid w:val="003004E9"/>
    <w:rsid w:val="00301966"/>
    <w:rsid w:val="00301AEE"/>
    <w:rsid w:val="00303D86"/>
    <w:rsid w:val="00306EA4"/>
    <w:rsid w:val="00312DAE"/>
    <w:rsid w:val="00313B58"/>
    <w:rsid w:val="003203D5"/>
    <w:rsid w:val="003213AA"/>
    <w:rsid w:val="00321A09"/>
    <w:rsid w:val="00321ACC"/>
    <w:rsid w:val="00322606"/>
    <w:rsid w:val="00325E3F"/>
    <w:rsid w:val="00326578"/>
    <w:rsid w:val="0032777B"/>
    <w:rsid w:val="003278FA"/>
    <w:rsid w:val="00330352"/>
    <w:rsid w:val="00330491"/>
    <w:rsid w:val="00331D96"/>
    <w:rsid w:val="003342DD"/>
    <w:rsid w:val="00336065"/>
    <w:rsid w:val="00336578"/>
    <w:rsid w:val="0034202B"/>
    <w:rsid w:val="00343D3C"/>
    <w:rsid w:val="00343E2E"/>
    <w:rsid w:val="00350431"/>
    <w:rsid w:val="0035054D"/>
    <w:rsid w:val="00353ADF"/>
    <w:rsid w:val="00356B5E"/>
    <w:rsid w:val="00357F17"/>
    <w:rsid w:val="00365EEE"/>
    <w:rsid w:val="00366524"/>
    <w:rsid w:val="00367632"/>
    <w:rsid w:val="00372DDB"/>
    <w:rsid w:val="003763D7"/>
    <w:rsid w:val="00380BF0"/>
    <w:rsid w:val="00380C5F"/>
    <w:rsid w:val="00380F50"/>
    <w:rsid w:val="00381A57"/>
    <w:rsid w:val="0038423E"/>
    <w:rsid w:val="0038424D"/>
    <w:rsid w:val="003923F5"/>
    <w:rsid w:val="00392C7B"/>
    <w:rsid w:val="00393FAC"/>
    <w:rsid w:val="003954C4"/>
    <w:rsid w:val="00397183"/>
    <w:rsid w:val="003A0759"/>
    <w:rsid w:val="003A1A0B"/>
    <w:rsid w:val="003A56E2"/>
    <w:rsid w:val="003B2287"/>
    <w:rsid w:val="003B325E"/>
    <w:rsid w:val="003B3D0A"/>
    <w:rsid w:val="003B7B6F"/>
    <w:rsid w:val="003B7C57"/>
    <w:rsid w:val="003C1808"/>
    <w:rsid w:val="003D026A"/>
    <w:rsid w:val="003D2D70"/>
    <w:rsid w:val="003D547B"/>
    <w:rsid w:val="003D6C63"/>
    <w:rsid w:val="003D76AC"/>
    <w:rsid w:val="003D7955"/>
    <w:rsid w:val="003E387E"/>
    <w:rsid w:val="003E558E"/>
    <w:rsid w:val="003E5F82"/>
    <w:rsid w:val="003E68DA"/>
    <w:rsid w:val="003E775A"/>
    <w:rsid w:val="003F0B93"/>
    <w:rsid w:val="003F159F"/>
    <w:rsid w:val="003F3186"/>
    <w:rsid w:val="003F67FF"/>
    <w:rsid w:val="00401D69"/>
    <w:rsid w:val="00402358"/>
    <w:rsid w:val="004029B3"/>
    <w:rsid w:val="00404DD5"/>
    <w:rsid w:val="00406AB7"/>
    <w:rsid w:val="004102CB"/>
    <w:rsid w:val="004128DA"/>
    <w:rsid w:val="00414926"/>
    <w:rsid w:val="00415DEA"/>
    <w:rsid w:val="00416081"/>
    <w:rsid w:val="00416C21"/>
    <w:rsid w:val="00417865"/>
    <w:rsid w:val="00420171"/>
    <w:rsid w:val="00420DA4"/>
    <w:rsid w:val="0042152F"/>
    <w:rsid w:val="0042254E"/>
    <w:rsid w:val="00424B45"/>
    <w:rsid w:val="00425275"/>
    <w:rsid w:val="00427D52"/>
    <w:rsid w:val="00433ABE"/>
    <w:rsid w:val="0043762D"/>
    <w:rsid w:val="004379EF"/>
    <w:rsid w:val="00437E5F"/>
    <w:rsid w:val="00440372"/>
    <w:rsid w:val="004451DD"/>
    <w:rsid w:val="00446AB3"/>
    <w:rsid w:val="0045661A"/>
    <w:rsid w:val="004566E3"/>
    <w:rsid w:val="00464B5F"/>
    <w:rsid w:val="00464C1F"/>
    <w:rsid w:val="004659C1"/>
    <w:rsid w:val="00466769"/>
    <w:rsid w:val="00467391"/>
    <w:rsid w:val="004676D0"/>
    <w:rsid w:val="004676E5"/>
    <w:rsid w:val="0046796F"/>
    <w:rsid w:val="00467C11"/>
    <w:rsid w:val="00474BB5"/>
    <w:rsid w:val="004755B2"/>
    <w:rsid w:val="00477081"/>
    <w:rsid w:val="0048127C"/>
    <w:rsid w:val="004823C1"/>
    <w:rsid w:val="004946BA"/>
    <w:rsid w:val="004968C1"/>
    <w:rsid w:val="004B1603"/>
    <w:rsid w:val="004B1F91"/>
    <w:rsid w:val="004B332A"/>
    <w:rsid w:val="004B44CA"/>
    <w:rsid w:val="004B45E1"/>
    <w:rsid w:val="004C70DF"/>
    <w:rsid w:val="004D04D3"/>
    <w:rsid w:val="004D0562"/>
    <w:rsid w:val="004D17A4"/>
    <w:rsid w:val="004D5046"/>
    <w:rsid w:val="004D5BC8"/>
    <w:rsid w:val="004D7841"/>
    <w:rsid w:val="004E3C1F"/>
    <w:rsid w:val="004E762A"/>
    <w:rsid w:val="004E7D2E"/>
    <w:rsid w:val="004F0EB4"/>
    <w:rsid w:val="004F6CD5"/>
    <w:rsid w:val="004F7252"/>
    <w:rsid w:val="004F72B8"/>
    <w:rsid w:val="004F757C"/>
    <w:rsid w:val="00500395"/>
    <w:rsid w:val="005037DF"/>
    <w:rsid w:val="00503CE0"/>
    <w:rsid w:val="00505578"/>
    <w:rsid w:val="005065C0"/>
    <w:rsid w:val="00507216"/>
    <w:rsid w:val="00507B54"/>
    <w:rsid w:val="00510941"/>
    <w:rsid w:val="00511F43"/>
    <w:rsid w:val="00511F48"/>
    <w:rsid w:val="00512FD3"/>
    <w:rsid w:val="005130E4"/>
    <w:rsid w:val="005133D9"/>
    <w:rsid w:val="00513ACD"/>
    <w:rsid w:val="0051519E"/>
    <w:rsid w:val="00515337"/>
    <w:rsid w:val="00515383"/>
    <w:rsid w:val="00515810"/>
    <w:rsid w:val="005166F9"/>
    <w:rsid w:val="0051789C"/>
    <w:rsid w:val="0052299F"/>
    <w:rsid w:val="00524779"/>
    <w:rsid w:val="00527540"/>
    <w:rsid w:val="00532411"/>
    <w:rsid w:val="00533040"/>
    <w:rsid w:val="005333DB"/>
    <w:rsid w:val="00534D16"/>
    <w:rsid w:val="005407B9"/>
    <w:rsid w:val="00544238"/>
    <w:rsid w:val="00545764"/>
    <w:rsid w:val="00545EC5"/>
    <w:rsid w:val="00546DC9"/>
    <w:rsid w:val="00551B41"/>
    <w:rsid w:val="005561E2"/>
    <w:rsid w:val="0055747A"/>
    <w:rsid w:val="00561D37"/>
    <w:rsid w:val="00562F99"/>
    <w:rsid w:val="005648C4"/>
    <w:rsid w:val="00565269"/>
    <w:rsid w:val="00566107"/>
    <w:rsid w:val="005662AD"/>
    <w:rsid w:val="0056663E"/>
    <w:rsid w:val="00566781"/>
    <w:rsid w:val="005678AC"/>
    <w:rsid w:val="00571D61"/>
    <w:rsid w:val="00571E82"/>
    <w:rsid w:val="005729C7"/>
    <w:rsid w:val="005805B6"/>
    <w:rsid w:val="00581A03"/>
    <w:rsid w:val="00581EB8"/>
    <w:rsid w:val="005832E9"/>
    <w:rsid w:val="00583BBB"/>
    <w:rsid w:val="00584FFD"/>
    <w:rsid w:val="00587E06"/>
    <w:rsid w:val="005A2C3B"/>
    <w:rsid w:val="005A2F2B"/>
    <w:rsid w:val="005A4DDE"/>
    <w:rsid w:val="005B275D"/>
    <w:rsid w:val="005B49DB"/>
    <w:rsid w:val="005B53AB"/>
    <w:rsid w:val="005B6A2B"/>
    <w:rsid w:val="005B781D"/>
    <w:rsid w:val="005C277A"/>
    <w:rsid w:val="005C3204"/>
    <w:rsid w:val="005C3A25"/>
    <w:rsid w:val="005C45F0"/>
    <w:rsid w:val="005C5CCD"/>
    <w:rsid w:val="005D1032"/>
    <w:rsid w:val="005D125C"/>
    <w:rsid w:val="005D363C"/>
    <w:rsid w:val="005D6E3F"/>
    <w:rsid w:val="005E2224"/>
    <w:rsid w:val="005E2CDC"/>
    <w:rsid w:val="005E4DC0"/>
    <w:rsid w:val="005E6189"/>
    <w:rsid w:val="005E68CA"/>
    <w:rsid w:val="005E6DAD"/>
    <w:rsid w:val="005E6DBF"/>
    <w:rsid w:val="005E7658"/>
    <w:rsid w:val="005F0598"/>
    <w:rsid w:val="005F2FF6"/>
    <w:rsid w:val="005F552E"/>
    <w:rsid w:val="005F5CAD"/>
    <w:rsid w:val="005F6B80"/>
    <w:rsid w:val="00600E22"/>
    <w:rsid w:val="00601283"/>
    <w:rsid w:val="006017DA"/>
    <w:rsid w:val="006036FE"/>
    <w:rsid w:val="00605A22"/>
    <w:rsid w:val="00606A20"/>
    <w:rsid w:val="00611483"/>
    <w:rsid w:val="006134C1"/>
    <w:rsid w:val="0061377E"/>
    <w:rsid w:val="0061455F"/>
    <w:rsid w:val="006229A1"/>
    <w:rsid w:val="00623C93"/>
    <w:rsid w:val="00625380"/>
    <w:rsid w:val="006253DF"/>
    <w:rsid w:val="006265F2"/>
    <w:rsid w:val="00627C1B"/>
    <w:rsid w:val="006318B4"/>
    <w:rsid w:val="00637EA7"/>
    <w:rsid w:val="0064217B"/>
    <w:rsid w:val="00642C22"/>
    <w:rsid w:val="00643AD1"/>
    <w:rsid w:val="00644CBE"/>
    <w:rsid w:val="0064658B"/>
    <w:rsid w:val="006468A7"/>
    <w:rsid w:val="00646A2D"/>
    <w:rsid w:val="006475C1"/>
    <w:rsid w:val="006508FE"/>
    <w:rsid w:val="006544D7"/>
    <w:rsid w:val="0065454A"/>
    <w:rsid w:val="00654BDD"/>
    <w:rsid w:val="0065539F"/>
    <w:rsid w:val="00667120"/>
    <w:rsid w:val="00670893"/>
    <w:rsid w:val="00671091"/>
    <w:rsid w:val="00672348"/>
    <w:rsid w:val="006731AB"/>
    <w:rsid w:val="00676030"/>
    <w:rsid w:val="00677D10"/>
    <w:rsid w:val="00677DD1"/>
    <w:rsid w:val="0068121A"/>
    <w:rsid w:val="00682ED3"/>
    <w:rsid w:val="006837F5"/>
    <w:rsid w:val="006854B4"/>
    <w:rsid w:val="00685B2B"/>
    <w:rsid w:val="00686435"/>
    <w:rsid w:val="00692F20"/>
    <w:rsid w:val="00696675"/>
    <w:rsid w:val="00697026"/>
    <w:rsid w:val="0069724C"/>
    <w:rsid w:val="006A0FA8"/>
    <w:rsid w:val="006A344A"/>
    <w:rsid w:val="006A65E9"/>
    <w:rsid w:val="006A7C43"/>
    <w:rsid w:val="006B1913"/>
    <w:rsid w:val="006B1F69"/>
    <w:rsid w:val="006B22B5"/>
    <w:rsid w:val="006B47D7"/>
    <w:rsid w:val="006B4B4E"/>
    <w:rsid w:val="006B5FEB"/>
    <w:rsid w:val="006B737D"/>
    <w:rsid w:val="006B7E9C"/>
    <w:rsid w:val="006C1641"/>
    <w:rsid w:val="006C298B"/>
    <w:rsid w:val="006C4403"/>
    <w:rsid w:val="006C5347"/>
    <w:rsid w:val="006C60B1"/>
    <w:rsid w:val="006C662E"/>
    <w:rsid w:val="006C74F6"/>
    <w:rsid w:val="006C77EF"/>
    <w:rsid w:val="006C7BED"/>
    <w:rsid w:val="006D14E8"/>
    <w:rsid w:val="006D2679"/>
    <w:rsid w:val="006D671A"/>
    <w:rsid w:val="006D70DF"/>
    <w:rsid w:val="006E239F"/>
    <w:rsid w:val="006E3EA7"/>
    <w:rsid w:val="006E59A8"/>
    <w:rsid w:val="006F0772"/>
    <w:rsid w:val="006F2D7C"/>
    <w:rsid w:val="00703777"/>
    <w:rsid w:val="007112D5"/>
    <w:rsid w:val="00715C39"/>
    <w:rsid w:val="00716A95"/>
    <w:rsid w:val="00717C1C"/>
    <w:rsid w:val="00720095"/>
    <w:rsid w:val="00722208"/>
    <w:rsid w:val="007240DE"/>
    <w:rsid w:val="00724FE7"/>
    <w:rsid w:val="007264D2"/>
    <w:rsid w:val="00730699"/>
    <w:rsid w:val="00732C5C"/>
    <w:rsid w:val="007333D4"/>
    <w:rsid w:val="00734100"/>
    <w:rsid w:val="00734253"/>
    <w:rsid w:val="00734C27"/>
    <w:rsid w:val="00735321"/>
    <w:rsid w:val="007355AF"/>
    <w:rsid w:val="0073569F"/>
    <w:rsid w:val="00735CC7"/>
    <w:rsid w:val="007403D1"/>
    <w:rsid w:val="00742F25"/>
    <w:rsid w:val="00745B59"/>
    <w:rsid w:val="00746801"/>
    <w:rsid w:val="00747271"/>
    <w:rsid w:val="0074746A"/>
    <w:rsid w:val="00752C02"/>
    <w:rsid w:val="00753FE2"/>
    <w:rsid w:val="007563D1"/>
    <w:rsid w:val="00760644"/>
    <w:rsid w:val="00763923"/>
    <w:rsid w:val="0077038F"/>
    <w:rsid w:val="007711B3"/>
    <w:rsid w:val="00771CDA"/>
    <w:rsid w:val="007726A1"/>
    <w:rsid w:val="007730E4"/>
    <w:rsid w:val="00775763"/>
    <w:rsid w:val="007758E2"/>
    <w:rsid w:val="007775E2"/>
    <w:rsid w:val="0078263B"/>
    <w:rsid w:val="00786B80"/>
    <w:rsid w:val="0078717B"/>
    <w:rsid w:val="00787F33"/>
    <w:rsid w:val="00790F1B"/>
    <w:rsid w:val="00790F54"/>
    <w:rsid w:val="00793B9C"/>
    <w:rsid w:val="0079522F"/>
    <w:rsid w:val="00795E19"/>
    <w:rsid w:val="0079674D"/>
    <w:rsid w:val="007A3681"/>
    <w:rsid w:val="007A4D09"/>
    <w:rsid w:val="007A59B0"/>
    <w:rsid w:val="007A5F32"/>
    <w:rsid w:val="007B0AE6"/>
    <w:rsid w:val="007B12AB"/>
    <w:rsid w:val="007B4F10"/>
    <w:rsid w:val="007B5BA2"/>
    <w:rsid w:val="007B6CD4"/>
    <w:rsid w:val="007B7A0F"/>
    <w:rsid w:val="007C1BE7"/>
    <w:rsid w:val="007C1DE6"/>
    <w:rsid w:val="007C2204"/>
    <w:rsid w:val="007C4068"/>
    <w:rsid w:val="007C5C56"/>
    <w:rsid w:val="007D0C91"/>
    <w:rsid w:val="007D2C24"/>
    <w:rsid w:val="007D2C44"/>
    <w:rsid w:val="007D3AEF"/>
    <w:rsid w:val="007D61A1"/>
    <w:rsid w:val="007E3053"/>
    <w:rsid w:val="007E3EEF"/>
    <w:rsid w:val="007E4319"/>
    <w:rsid w:val="007E4D1E"/>
    <w:rsid w:val="007F0E56"/>
    <w:rsid w:val="007F4334"/>
    <w:rsid w:val="007F4B17"/>
    <w:rsid w:val="007F75D5"/>
    <w:rsid w:val="008018BA"/>
    <w:rsid w:val="008044D4"/>
    <w:rsid w:val="008053A5"/>
    <w:rsid w:val="00805B0C"/>
    <w:rsid w:val="008068D2"/>
    <w:rsid w:val="00807345"/>
    <w:rsid w:val="00814168"/>
    <w:rsid w:val="0081563F"/>
    <w:rsid w:val="00815642"/>
    <w:rsid w:val="00816894"/>
    <w:rsid w:val="008179B1"/>
    <w:rsid w:val="00817D0B"/>
    <w:rsid w:val="00820551"/>
    <w:rsid w:val="00824A68"/>
    <w:rsid w:val="00825C5E"/>
    <w:rsid w:val="00826554"/>
    <w:rsid w:val="00827C1C"/>
    <w:rsid w:val="00831B7B"/>
    <w:rsid w:val="00831BFD"/>
    <w:rsid w:val="00834A23"/>
    <w:rsid w:val="00835AF7"/>
    <w:rsid w:val="00837976"/>
    <w:rsid w:val="00840108"/>
    <w:rsid w:val="008408C7"/>
    <w:rsid w:val="00843390"/>
    <w:rsid w:val="008553F7"/>
    <w:rsid w:val="00863F0D"/>
    <w:rsid w:val="00863F17"/>
    <w:rsid w:val="00865F32"/>
    <w:rsid w:val="00871D1F"/>
    <w:rsid w:val="0087275E"/>
    <w:rsid w:val="00874599"/>
    <w:rsid w:val="00874D51"/>
    <w:rsid w:val="00882F16"/>
    <w:rsid w:val="008832FA"/>
    <w:rsid w:val="00884D44"/>
    <w:rsid w:val="00884F09"/>
    <w:rsid w:val="00886262"/>
    <w:rsid w:val="00891B63"/>
    <w:rsid w:val="00891CA5"/>
    <w:rsid w:val="008942A9"/>
    <w:rsid w:val="00894C38"/>
    <w:rsid w:val="00896977"/>
    <w:rsid w:val="008A0A41"/>
    <w:rsid w:val="008A362B"/>
    <w:rsid w:val="008A4837"/>
    <w:rsid w:val="008B0005"/>
    <w:rsid w:val="008B0785"/>
    <w:rsid w:val="008B44E4"/>
    <w:rsid w:val="008C0C7E"/>
    <w:rsid w:val="008C0EC0"/>
    <w:rsid w:val="008C388C"/>
    <w:rsid w:val="008C5E3E"/>
    <w:rsid w:val="008C65DF"/>
    <w:rsid w:val="008D379B"/>
    <w:rsid w:val="008D3A47"/>
    <w:rsid w:val="008D4760"/>
    <w:rsid w:val="008D55E7"/>
    <w:rsid w:val="008D63A9"/>
    <w:rsid w:val="008E2D01"/>
    <w:rsid w:val="008F2C89"/>
    <w:rsid w:val="008F37D2"/>
    <w:rsid w:val="008F5F48"/>
    <w:rsid w:val="008F6E49"/>
    <w:rsid w:val="008F7436"/>
    <w:rsid w:val="008F7AC1"/>
    <w:rsid w:val="00901117"/>
    <w:rsid w:val="00901D2A"/>
    <w:rsid w:val="00903CD4"/>
    <w:rsid w:val="00903F48"/>
    <w:rsid w:val="00906632"/>
    <w:rsid w:val="00907AD0"/>
    <w:rsid w:val="009108F7"/>
    <w:rsid w:val="0091234D"/>
    <w:rsid w:val="00913A76"/>
    <w:rsid w:val="0091511B"/>
    <w:rsid w:val="0091698A"/>
    <w:rsid w:val="00920CC4"/>
    <w:rsid w:val="00921392"/>
    <w:rsid w:val="00921A13"/>
    <w:rsid w:val="0092305B"/>
    <w:rsid w:val="00923F49"/>
    <w:rsid w:val="00926B4B"/>
    <w:rsid w:val="009276AD"/>
    <w:rsid w:val="00931A79"/>
    <w:rsid w:val="00933530"/>
    <w:rsid w:val="009336D7"/>
    <w:rsid w:val="009349C5"/>
    <w:rsid w:val="0093549E"/>
    <w:rsid w:val="00936540"/>
    <w:rsid w:val="00936E2B"/>
    <w:rsid w:val="00937CEE"/>
    <w:rsid w:val="0094223A"/>
    <w:rsid w:val="009423CF"/>
    <w:rsid w:val="00942B60"/>
    <w:rsid w:val="00945F7A"/>
    <w:rsid w:val="00947BF8"/>
    <w:rsid w:val="00953511"/>
    <w:rsid w:val="00953E1D"/>
    <w:rsid w:val="009552DA"/>
    <w:rsid w:val="00963356"/>
    <w:rsid w:val="00964248"/>
    <w:rsid w:val="009642B0"/>
    <w:rsid w:val="00964C6E"/>
    <w:rsid w:val="00965387"/>
    <w:rsid w:val="009657EB"/>
    <w:rsid w:val="0097146C"/>
    <w:rsid w:val="00971482"/>
    <w:rsid w:val="0097402D"/>
    <w:rsid w:val="00981F43"/>
    <w:rsid w:val="009826FB"/>
    <w:rsid w:val="0098553F"/>
    <w:rsid w:val="0099057F"/>
    <w:rsid w:val="009932E8"/>
    <w:rsid w:val="00995174"/>
    <w:rsid w:val="00997211"/>
    <w:rsid w:val="009A0E39"/>
    <w:rsid w:val="009A1D47"/>
    <w:rsid w:val="009A2956"/>
    <w:rsid w:val="009A41E5"/>
    <w:rsid w:val="009A4A42"/>
    <w:rsid w:val="009A5C46"/>
    <w:rsid w:val="009A6E7A"/>
    <w:rsid w:val="009A744D"/>
    <w:rsid w:val="009B006B"/>
    <w:rsid w:val="009B33FB"/>
    <w:rsid w:val="009B450E"/>
    <w:rsid w:val="009B5B6F"/>
    <w:rsid w:val="009C07B3"/>
    <w:rsid w:val="009C3FAF"/>
    <w:rsid w:val="009C79D6"/>
    <w:rsid w:val="009D2439"/>
    <w:rsid w:val="009D2E21"/>
    <w:rsid w:val="009E15E7"/>
    <w:rsid w:val="009E1CFB"/>
    <w:rsid w:val="009E2923"/>
    <w:rsid w:val="009E32D9"/>
    <w:rsid w:val="009E3709"/>
    <w:rsid w:val="009E7C93"/>
    <w:rsid w:val="009F1C69"/>
    <w:rsid w:val="009F34A2"/>
    <w:rsid w:val="009F7063"/>
    <w:rsid w:val="009F7F50"/>
    <w:rsid w:val="00A017DA"/>
    <w:rsid w:val="00A0392B"/>
    <w:rsid w:val="00A03A5A"/>
    <w:rsid w:val="00A04A89"/>
    <w:rsid w:val="00A07610"/>
    <w:rsid w:val="00A11E78"/>
    <w:rsid w:val="00A130F6"/>
    <w:rsid w:val="00A14EDD"/>
    <w:rsid w:val="00A20587"/>
    <w:rsid w:val="00A20C1C"/>
    <w:rsid w:val="00A220D1"/>
    <w:rsid w:val="00A235CC"/>
    <w:rsid w:val="00A237D1"/>
    <w:rsid w:val="00A27454"/>
    <w:rsid w:val="00A27979"/>
    <w:rsid w:val="00A3101F"/>
    <w:rsid w:val="00A32C3F"/>
    <w:rsid w:val="00A355BC"/>
    <w:rsid w:val="00A35CBF"/>
    <w:rsid w:val="00A3666F"/>
    <w:rsid w:val="00A378CD"/>
    <w:rsid w:val="00A37F79"/>
    <w:rsid w:val="00A40612"/>
    <w:rsid w:val="00A41346"/>
    <w:rsid w:val="00A41F49"/>
    <w:rsid w:val="00A42D1B"/>
    <w:rsid w:val="00A470EC"/>
    <w:rsid w:val="00A507A4"/>
    <w:rsid w:val="00A54832"/>
    <w:rsid w:val="00A63645"/>
    <w:rsid w:val="00A64294"/>
    <w:rsid w:val="00A65FB1"/>
    <w:rsid w:val="00A6795C"/>
    <w:rsid w:val="00A70ECB"/>
    <w:rsid w:val="00A7194A"/>
    <w:rsid w:val="00A73AFE"/>
    <w:rsid w:val="00A75AE4"/>
    <w:rsid w:val="00A77F8C"/>
    <w:rsid w:val="00A817B8"/>
    <w:rsid w:val="00A83616"/>
    <w:rsid w:val="00A874CC"/>
    <w:rsid w:val="00A90E29"/>
    <w:rsid w:val="00A92BDB"/>
    <w:rsid w:val="00A93C12"/>
    <w:rsid w:val="00A940C4"/>
    <w:rsid w:val="00A9742B"/>
    <w:rsid w:val="00AA069A"/>
    <w:rsid w:val="00AA1A65"/>
    <w:rsid w:val="00AA3F66"/>
    <w:rsid w:val="00AB26F8"/>
    <w:rsid w:val="00AB32C1"/>
    <w:rsid w:val="00AB55AE"/>
    <w:rsid w:val="00AB624E"/>
    <w:rsid w:val="00AB72CC"/>
    <w:rsid w:val="00AB734E"/>
    <w:rsid w:val="00AC2752"/>
    <w:rsid w:val="00AC51E2"/>
    <w:rsid w:val="00AD0B6A"/>
    <w:rsid w:val="00AD33F6"/>
    <w:rsid w:val="00AD3458"/>
    <w:rsid w:val="00AD494C"/>
    <w:rsid w:val="00AD54EF"/>
    <w:rsid w:val="00AD5A3D"/>
    <w:rsid w:val="00AD6581"/>
    <w:rsid w:val="00AE01A4"/>
    <w:rsid w:val="00AE1E85"/>
    <w:rsid w:val="00AE2005"/>
    <w:rsid w:val="00AE33FA"/>
    <w:rsid w:val="00AE4097"/>
    <w:rsid w:val="00AE40FC"/>
    <w:rsid w:val="00AE4650"/>
    <w:rsid w:val="00AE6338"/>
    <w:rsid w:val="00AF059B"/>
    <w:rsid w:val="00AF1247"/>
    <w:rsid w:val="00AF3B4B"/>
    <w:rsid w:val="00B047FA"/>
    <w:rsid w:val="00B07488"/>
    <w:rsid w:val="00B108F9"/>
    <w:rsid w:val="00B12D8E"/>
    <w:rsid w:val="00B12F4A"/>
    <w:rsid w:val="00B132C5"/>
    <w:rsid w:val="00B17B42"/>
    <w:rsid w:val="00B17C53"/>
    <w:rsid w:val="00B2060B"/>
    <w:rsid w:val="00B227E4"/>
    <w:rsid w:val="00B2288C"/>
    <w:rsid w:val="00B232AD"/>
    <w:rsid w:val="00B26C60"/>
    <w:rsid w:val="00B26E2E"/>
    <w:rsid w:val="00B312F8"/>
    <w:rsid w:val="00B369A2"/>
    <w:rsid w:val="00B478A9"/>
    <w:rsid w:val="00B479B0"/>
    <w:rsid w:val="00B52AA0"/>
    <w:rsid w:val="00B5349A"/>
    <w:rsid w:val="00B54ED9"/>
    <w:rsid w:val="00B55C4E"/>
    <w:rsid w:val="00B55FC5"/>
    <w:rsid w:val="00B628D1"/>
    <w:rsid w:val="00B62B53"/>
    <w:rsid w:val="00B6367F"/>
    <w:rsid w:val="00B6468E"/>
    <w:rsid w:val="00B66BFE"/>
    <w:rsid w:val="00B66CC1"/>
    <w:rsid w:val="00B70E8E"/>
    <w:rsid w:val="00B72175"/>
    <w:rsid w:val="00B751BB"/>
    <w:rsid w:val="00B767E5"/>
    <w:rsid w:val="00B76FC8"/>
    <w:rsid w:val="00B771EA"/>
    <w:rsid w:val="00B77AD7"/>
    <w:rsid w:val="00B77FAF"/>
    <w:rsid w:val="00B801A6"/>
    <w:rsid w:val="00B80F3D"/>
    <w:rsid w:val="00B827FA"/>
    <w:rsid w:val="00B83A16"/>
    <w:rsid w:val="00B83A97"/>
    <w:rsid w:val="00B877DF"/>
    <w:rsid w:val="00B87EAD"/>
    <w:rsid w:val="00B931ED"/>
    <w:rsid w:val="00B95B2C"/>
    <w:rsid w:val="00B964B3"/>
    <w:rsid w:val="00BA02C7"/>
    <w:rsid w:val="00BA136E"/>
    <w:rsid w:val="00BA2453"/>
    <w:rsid w:val="00BA2733"/>
    <w:rsid w:val="00BA38B5"/>
    <w:rsid w:val="00BA4552"/>
    <w:rsid w:val="00BA7351"/>
    <w:rsid w:val="00BB754F"/>
    <w:rsid w:val="00BB7A4D"/>
    <w:rsid w:val="00BB7D8F"/>
    <w:rsid w:val="00BC084C"/>
    <w:rsid w:val="00BC3EAD"/>
    <w:rsid w:val="00BC6BCD"/>
    <w:rsid w:val="00BD127C"/>
    <w:rsid w:val="00BD206A"/>
    <w:rsid w:val="00BD229E"/>
    <w:rsid w:val="00BD3EFD"/>
    <w:rsid w:val="00BD42D2"/>
    <w:rsid w:val="00BE2893"/>
    <w:rsid w:val="00BE42B5"/>
    <w:rsid w:val="00BE504D"/>
    <w:rsid w:val="00BE6597"/>
    <w:rsid w:val="00BE77F3"/>
    <w:rsid w:val="00BE7BD5"/>
    <w:rsid w:val="00BF0F41"/>
    <w:rsid w:val="00BF14EB"/>
    <w:rsid w:val="00BF1795"/>
    <w:rsid w:val="00BF1C1A"/>
    <w:rsid w:val="00BF3038"/>
    <w:rsid w:val="00BF3C84"/>
    <w:rsid w:val="00BF61F1"/>
    <w:rsid w:val="00C009C6"/>
    <w:rsid w:val="00C01A98"/>
    <w:rsid w:val="00C069F9"/>
    <w:rsid w:val="00C07F6F"/>
    <w:rsid w:val="00C11EB1"/>
    <w:rsid w:val="00C12E05"/>
    <w:rsid w:val="00C148D9"/>
    <w:rsid w:val="00C164A5"/>
    <w:rsid w:val="00C174E4"/>
    <w:rsid w:val="00C20727"/>
    <w:rsid w:val="00C21A28"/>
    <w:rsid w:val="00C25484"/>
    <w:rsid w:val="00C26E0A"/>
    <w:rsid w:val="00C26FCA"/>
    <w:rsid w:val="00C306BC"/>
    <w:rsid w:val="00C307DF"/>
    <w:rsid w:val="00C31C1E"/>
    <w:rsid w:val="00C35025"/>
    <w:rsid w:val="00C3515D"/>
    <w:rsid w:val="00C408B3"/>
    <w:rsid w:val="00C40D5F"/>
    <w:rsid w:val="00C40DA8"/>
    <w:rsid w:val="00C44510"/>
    <w:rsid w:val="00C44905"/>
    <w:rsid w:val="00C46AA9"/>
    <w:rsid w:val="00C51F49"/>
    <w:rsid w:val="00C52036"/>
    <w:rsid w:val="00C52B69"/>
    <w:rsid w:val="00C541F8"/>
    <w:rsid w:val="00C54791"/>
    <w:rsid w:val="00C55AD3"/>
    <w:rsid w:val="00C567A6"/>
    <w:rsid w:val="00C62E3C"/>
    <w:rsid w:val="00C6343E"/>
    <w:rsid w:val="00C67762"/>
    <w:rsid w:val="00C72433"/>
    <w:rsid w:val="00C728B2"/>
    <w:rsid w:val="00C72CE1"/>
    <w:rsid w:val="00C74380"/>
    <w:rsid w:val="00C76416"/>
    <w:rsid w:val="00C8016F"/>
    <w:rsid w:val="00C8222C"/>
    <w:rsid w:val="00C822E2"/>
    <w:rsid w:val="00C855D3"/>
    <w:rsid w:val="00C86E1F"/>
    <w:rsid w:val="00C91F32"/>
    <w:rsid w:val="00C92340"/>
    <w:rsid w:val="00C9283E"/>
    <w:rsid w:val="00C95BFD"/>
    <w:rsid w:val="00C95FBE"/>
    <w:rsid w:val="00CA217C"/>
    <w:rsid w:val="00CA3CC3"/>
    <w:rsid w:val="00CA5316"/>
    <w:rsid w:val="00CA6261"/>
    <w:rsid w:val="00CA6BFF"/>
    <w:rsid w:val="00CA7869"/>
    <w:rsid w:val="00CB0A7E"/>
    <w:rsid w:val="00CB1BDC"/>
    <w:rsid w:val="00CB3655"/>
    <w:rsid w:val="00CB4665"/>
    <w:rsid w:val="00CB4D34"/>
    <w:rsid w:val="00CB5460"/>
    <w:rsid w:val="00CC0193"/>
    <w:rsid w:val="00CC0DB7"/>
    <w:rsid w:val="00CC1D2E"/>
    <w:rsid w:val="00CC2027"/>
    <w:rsid w:val="00CC2B04"/>
    <w:rsid w:val="00CD0F95"/>
    <w:rsid w:val="00CD303A"/>
    <w:rsid w:val="00CD32DA"/>
    <w:rsid w:val="00CD3D96"/>
    <w:rsid w:val="00CE31E2"/>
    <w:rsid w:val="00CE39E2"/>
    <w:rsid w:val="00CE5084"/>
    <w:rsid w:val="00CE7927"/>
    <w:rsid w:val="00CF09AA"/>
    <w:rsid w:val="00CF1BA8"/>
    <w:rsid w:val="00CF3F10"/>
    <w:rsid w:val="00CF43F9"/>
    <w:rsid w:val="00CF54C3"/>
    <w:rsid w:val="00D07A59"/>
    <w:rsid w:val="00D10DE6"/>
    <w:rsid w:val="00D12F73"/>
    <w:rsid w:val="00D13509"/>
    <w:rsid w:val="00D145BF"/>
    <w:rsid w:val="00D16442"/>
    <w:rsid w:val="00D200A7"/>
    <w:rsid w:val="00D21016"/>
    <w:rsid w:val="00D214E1"/>
    <w:rsid w:val="00D2217C"/>
    <w:rsid w:val="00D221AE"/>
    <w:rsid w:val="00D248FD"/>
    <w:rsid w:val="00D252DE"/>
    <w:rsid w:val="00D267F3"/>
    <w:rsid w:val="00D273C4"/>
    <w:rsid w:val="00D3108F"/>
    <w:rsid w:val="00D33C5D"/>
    <w:rsid w:val="00D35B91"/>
    <w:rsid w:val="00D36370"/>
    <w:rsid w:val="00D37CAD"/>
    <w:rsid w:val="00D414CC"/>
    <w:rsid w:val="00D43285"/>
    <w:rsid w:val="00D44F82"/>
    <w:rsid w:val="00D45135"/>
    <w:rsid w:val="00D46E8B"/>
    <w:rsid w:val="00D5597E"/>
    <w:rsid w:val="00D568B0"/>
    <w:rsid w:val="00D57679"/>
    <w:rsid w:val="00D579F2"/>
    <w:rsid w:val="00D6248E"/>
    <w:rsid w:val="00D62AA6"/>
    <w:rsid w:val="00D65458"/>
    <w:rsid w:val="00D661F4"/>
    <w:rsid w:val="00D66495"/>
    <w:rsid w:val="00D67586"/>
    <w:rsid w:val="00D675D9"/>
    <w:rsid w:val="00D70E0A"/>
    <w:rsid w:val="00D72AA2"/>
    <w:rsid w:val="00D76767"/>
    <w:rsid w:val="00D778A5"/>
    <w:rsid w:val="00D8139F"/>
    <w:rsid w:val="00D90C7B"/>
    <w:rsid w:val="00D93423"/>
    <w:rsid w:val="00D96600"/>
    <w:rsid w:val="00DA1B2E"/>
    <w:rsid w:val="00DA20F1"/>
    <w:rsid w:val="00DA241B"/>
    <w:rsid w:val="00DA2474"/>
    <w:rsid w:val="00DA4530"/>
    <w:rsid w:val="00DA498D"/>
    <w:rsid w:val="00DA70E8"/>
    <w:rsid w:val="00DB07D4"/>
    <w:rsid w:val="00DB46DA"/>
    <w:rsid w:val="00DB72D1"/>
    <w:rsid w:val="00DC0421"/>
    <w:rsid w:val="00DC1D07"/>
    <w:rsid w:val="00DC23EB"/>
    <w:rsid w:val="00DC2458"/>
    <w:rsid w:val="00DC5BFF"/>
    <w:rsid w:val="00DC74EB"/>
    <w:rsid w:val="00DD0B75"/>
    <w:rsid w:val="00DD6619"/>
    <w:rsid w:val="00DD68DC"/>
    <w:rsid w:val="00DE0225"/>
    <w:rsid w:val="00DE2A9D"/>
    <w:rsid w:val="00DE4C6D"/>
    <w:rsid w:val="00DE5A23"/>
    <w:rsid w:val="00DF2B5F"/>
    <w:rsid w:val="00DF3FA1"/>
    <w:rsid w:val="00DF4341"/>
    <w:rsid w:val="00DF5B2C"/>
    <w:rsid w:val="00DF7705"/>
    <w:rsid w:val="00DF7954"/>
    <w:rsid w:val="00E01AF6"/>
    <w:rsid w:val="00E02B92"/>
    <w:rsid w:val="00E04D08"/>
    <w:rsid w:val="00E05EA1"/>
    <w:rsid w:val="00E06FBB"/>
    <w:rsid w:val="00E076D4"/>
    <w:rsid w:val="00E1044F"/>
    <w:rsid w:val="00E15A8F"/>
    <w:rsid w:val="00E20184"/>
    <w:rsid w:val="00E22165"/>
    <w:rsid w:val="00E242C4"/>
    <w:rsid w:val="00E2697D"/>
    <w:rsid w:val="00E34B9A"/>
    <w:rsid w:val="00E36F6D"/>
    <w:rsid w:val="00E37C75"/>
    <w:rsid w:val="00E404C7"/>
    <w:rsid w:val="00E425FB"/>
    <w:rsid w:val="00E47588"/>
    <w:rsid w:val="00E513AF"/>
    <w:rsid w:val="00E51AC2"/>
    <w:rsid w:val="00E534BB"/>
    <w:rsid w:val="00E54941"/>
    <w:rsid w:val="00E54F6D"/>
    <w:rsid w:val="00E55D3E"/>
    <w:rsid w:val="00E57973"/>
    <w:rsid w:val="00E57C6B"/>
    <w:rsid w:val="00E57C78"/>
    <w:rsid w:val="00E60403"/>
    <w:rsid w:val="00E61EFA"/>
    <w:rsid w:val="00E632E3"/>
    <w:rsid w:val="00E64A59"/>
    <w:rsid w:val="00E65657"/>
    <w:rsid w:val="00E6757D"/>
    <w:rsid w:val="00E67901"/>
    <w:rsid w:val="00E67F53"/>
    <w:rsid w:val="00E70EFD"/>
    <w:rsid w:val="00E71875"/>
    <w:rsid w:val="00E730FA"/>
    <w:rsid w:val="00E77EC7"/>
    <w:rsid w:val="00E80394"/>
    <w:rsid w:val="00E83F43"/>
    <w:rsid w:val="00E844C7"/>
    <w:rsid w:val="00E84995"/>
    <w:rsid w:val="00E93C19"/>
    <w:rsid w:val="00E95EAB"/>
    <w:rsid w:val="00E9734B"/>
    <w:rsid w:val="00EA09EE"/>
    <w:rsid w:val="00EB07C2"/>
    <w:rsid w:val="00EB1407"/>
    <w:rsid w:val="00EB1B58"/>
    <w:rsid w:val="00EB5C04"/>
    <w:rsid w:val="00EC2770"/>
    <w:rsid w:val="00EC2B76"/>
    <w:rsid w:val="00EC314E"/>
    <w:rsid w:val="00EC4274"/>
    <w:rsid w:val="00EC51EE"/>
    <w:rsid w:val="00EC6224"/>
    <w:rsid w:val="00ED17AE"/>
    <w:rsid w:val="00ED1B2B"/>
    <w:rsid w:val="00ED2EC1"/>
    <w:rsid w:val="00ED4F79"/>
    <w:rsid w:val="00ED5181"/>
    <w:rsid w:val="00EE1430"/>
    <w:rsid w:val="00EE1A0E"/>
    <w:rsid w:val="00EE5071"/>
    <w:rsid w:val="00EE5A3B"/>
    <w:rsid w:val="00EE5AE2"/>
    <w:rsid w:val="00EE5BE0"/>
    <w:rsid w:val="00EF044A"/>
    <w:rsid w:val="00EF292C"/>
    <w:rsid w:val="00F01B3B"/>
    <w:rsid w:val="00F03852"/>
    <w:rsid w:val="00F0415A"/>
    <w:rsid w:val="00F05CE6"/>
    <w:rsid w:val="00F060A5"/>
    <w:rsid w:val="00F06B58"/>
    <w:rsid w:val="00F10493"/>
    <w:rsid w:val="00F11587"/>
    <w:rsid w:val="00F13120"/>
    <w:rsid w:val="00F13A7F"/>
    <w:rsid w:val="00F15715"/>
    <w:rsid w:val="00F16A42"/>
    <w:rsid w:val="00F16D49"/>
    <w:rsid w:val="00F1716A"/>
    <w:rsid w:val="00F17502"/>
    <w:rsid w:val="00F21BC3"/>
    <w:rsid w:val="00F22E15"/>
    <w:rsid w:val="00F23A7D"/>
    <w:rsid w:val="00F24576"/>
    <w:rsid w:val="00F31737"/>
    <w:rsid w:val="00F3385D"/>
    <w:rsid w:val="00F341AF"/>
    <w:rsid w:val="00F3432E"/>
    <w:rsid w:val="00F3525A"/>
    <w:rsid w:val="00F36D42"/>
    <w:rsid w:val="00F37ABD"/>
    <w:rsid w:val="00F37F2C"/>
    <w:rsid w:val="00F409E5"/>
    <w:rsid w:val="00F40C6D"/>
    <w:rsid w:val="00F42C2C"/>
    <w:rsid w:val="00F43BF2"/>
    <w:rsid w:val="00F43D56"/>
    <w:rsid w:val="00F441FF"/>
    <w:rsid w:val="00F50E9E"/>
    <w:rsid w:val="00F53232"/>
    <w:rsid w:val="00F55798"/>
    <w:rsid w:val="00F61729"/>
    <w:rsid w:val="00F61C3C"/>
    <w:rsid w:val="00F62410"/>
    <w:rsid w:val="00F6290B"/>
    <w:rsid w:val="00F62CE7"/>
    <w:rsid w:val="00F6415C"/>
    <w:rsid w:val="00F649FC"/>
    <w:rsid w:val="00F653E9"/>
    <w:rsid w:val="00F7326D"/>
    <w:rsid w:val="00F758E7"/>
    <w:rsid w:val="00F76ABB"/>
    <w:rsid w:val="00F819AB"/>
    <w:rsid w:val="00F83967"/>
    <w:rsid w:val="00F83A75"/>
    <w:rsid w:val="00F85003"/>
    <w:rsid w:val="00F861F3"/>
    <w:rsid w:val="00F90947"/>
    <w:rsid w:val="00F94CF4"/>
    <w:rsid w:val="00F96C03"/>
    <w:rsid w:val="00FA113D"/>
    <w:rsid w:val="00FA47AF"/>
    <w:rsid w:val="00FA6E4D"/>
    <w:rsid w:val="00FA6F66"/>
    <w:rsid w:val="00FA7DFB"/>
    <w:rsid w:val="00FA7E56"/>
    <w:rsid w:val="00FB1982"/>
    <w:rsid w:val="00FB20B3"/>
    <w:rsid w:val="00FB3B6D"/>
    <w:rsid w:val="00FB5A02"/>
    <w:rsid w:val="00FB5AD6"/>
    <w:rsid w:val="00FB619E"/>
    <w:rsid w:val="00FC1D38"/>
    <w:rsid w:val="00FC2720"/>
    <w:rsid w:val="00FC2A2F"/>
    <w:rsid w:val="00FC7A78"/>
    <w:rsid w:val="00FD03D4"/>
    <w:rsid w:val="00FD4B45"/>
    <w:rsid w:val="00FD5B00"/>
    <w:rsid w:val="00FD6236"/>
    <w:rsid w:val="00FD6E08"/>
    <w:rsid w:val="00FD70DD"/>
    <w:rsid w:val="00FE0A2D"/>
    <w:rsid w:val="00FE2CF0"/>
    <w:rsid w:val="00FF2BA0"/>
    <w:rsid w:val="00FF2CD7"/>
    <w:rsid w:val="00FF3043"/>
    <w:rsid w:val="00FF727B"/>
    <w:rsid w:val="064F6FB5"/>
    <w:rsid w:val="127A10F6"/>
    <w:rsid w:val="14F87412"/>
    <w:rsid w:val="174B2E4A"/>
    <w:rsid w:val="17A6082A"/>
    <w:rsid w:val="18A30B6D"/>
    <w:rsid w:val="1AE93E00"/>
    <w:rsid w:val="20595509"/>
    <w:rsid w:val="2131087C"/>
    <w:rsid w:val="258503FF"/>
    <w:rsid w:val="2BC453B8"/>
    <w:rsid w:val="3C52666A"/>
    <w:rsid w:val="43F207DC"/>
    <w:rsid w:val="4E995908"/>
    <w:rsid w:val="54AF764B"/>
    <w:rsid w:val="588210CD"/>
    <w:rsid w:val="5C1209D0"/>
    <w:rsid w:val="5EB10186"/>
    <w:rsid w:val="641A13C6"/>
    <w:rsid w:val="66DA756F"/>
    <w:rsid w:val="67774592"/>
    <w:rsid w:val="71BA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99" w:semiHidden="0" w:name="Normal Indent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99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9"/>
    <w:pPr>
      <w:keepNext/>
      <w:tabs>
        <w:tab w:val="left" w:pos="8364"/>
      </w:tabs>
      <w:snapToGrid w:val="0"/>
      <w:spacing w:beforeLines="100" w:line="360" w:lineRule="auto"/>
      <w:ind w:left="2" w:right="240"/>
      <w:jc w:val="left"/>
      <w:outlineLvl w:val="0"/>
    </w:pPr>
    <w:rPr>
      <w:rFonts w:ascii="黑体" w:eastAsia="黑体" w:cs="黑体"/>
      <w:b/>
      <w:bCs/>
      <w:color w:val="000000"/>
      <w:sz w:val="24"/>
      <w:szCs w:val="24"/>
    </w:rPr>
  </w:style>
  <w:style w:type="paragraph" w:styleId="3">
    <w:name w:val="heading 2"/>
    <w:basedOn w:val="1"/>
    <w:next w:val="1"/>
    <w:link w:val="27"/>
    <w:qFormat/>
    <w:uiPriority w:val="99"/>
    <w:pPr>
      <w:keepNext/>
      <w:keepLines/>
      <w:snapToGrid w:val="0"/>
      <w:spacing w:beforeLines="50" w:line="360" w:lineRule="auto"/>
      <w:outlineLvl w:val="1"/>
    </w:pPr>
    <w:rPr>
      <w:rFonts w:ascii="黑体" w:hAnsi="宋体" w:eastAsia="黑体" w:cs="黑体"/>
      <w:b/>
      <w:bCs/>
      <w:kern w:val="44"/>
      <w:sz w:val="28"/>
      <w:szCs w:val="28"/>
    </w:rPr>
  </w:style>
  <w:style w:type="paragraph" w:styleId="4">
    <w:name w:val="heading 3"/>
    <w:basedOn w:val="1"/>
    <w:next w:val="1"/>
    <w:link w:val="28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1">
    <w:name w:val="Default Paragraph Font"/>
    <w:semiHidden/>
    <w:uiPriority w:val="99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99"/>
    <w:pPr>
      <w:ind w:firstLine="420" w:firstLineChars="200"/>
    </w:pPr>
  </w:style>
  <w:style w:type="paragraph" w:styleId="6">
    <w:name w:val="Document Map"/>
    <w:basedOn w:val="1"/>
    <w:link w:val="29"/>
    <w:semiHidden/>
    <w:qFormat/>
    <w:uiPriority w:val="99"/>
    <w:pPr>
      <w:shd w:val="clear" w:color="auto" w:fill="000080"/>
    </w:pPr>
  </w:style>
  <w:style w:type="paragraph" w:styleId="7">
    <w:name w:val="annotation text"/>
    <w:basedOn w:val="1"/>
    <w:link w:val="30"/>
    <w:semiHidden/>
    <w:qFormat/>
    <w:uiPriority w:val="99"/>
    <w:pPr>
      <w:jc w:val="left"/>
    </w:pPr>
  </w:style>
  <w:style w:type="paragraph" w:styleId="8">
    <w:name w:val="Body Text"/>
    <w:basedOn w:val="1"/>
    <w:link w:val="31"/>
    <w:qFormat/>
    <w:uiPriority w:val="99"/>
    <w:pPr>
      <w:spacing w:after="120"/>
    </w:pPr>
  </w:style>
  <w:style w:type="paragraph" w:styleId="9">
    <w:name w:val="Body Text Indent"/>
    <w:basedOn w:val="1"/>
    <w:link w:val="32"/>
    <w:qFormat/>
    <w:uiPriority w:val="99"/>
    <w:pPr>
      <w:ind w:firstLine="475" w:firstLineChars="198"/>
    </w:pPr>
    <w:rPr>
      <w:sz w:val="24"/>
      <w:szCs w:val="24"/>
    </w:rPr>
  </w:style>
  <w:style w:type="paragraph" w:styleId="10">
    <w:name w:val="Plain Text"/>
    <w:basedOn w:val="1"/>
    <w:link w:val="33"/>
    <w:qFormat/>
    <w:uiPriority w:val="99"/>
    <w:rPr>
      <w:rFonts w:ascii="宋体" w:hAnsi="Courier New" w:cs="宋体"/>
    </w:rPr>
  </w:style>
  <w:style w:type="paragraph" w:styleId="11">
    <w:name w:val="Date"/>
    <w:basedOn w:val="1"/>
    <w:next w:val="1"/>
    <w:link w:val="34"/>
    <w:qFormat/>
    <w:uiPriority w:val="99"/>
    <w:pPr>
      <w:ind w:left="100" w:leftChars="2500"/>
    </w:pPr>
  </w:style>
  <w:style w:type="paragraph" w:styleId="12">
    <w:name w:val="Body Text Indent 2"/>
    <w:basedOn w:val="1"/>
    <w:link w:val="35"/>
    <w:qFormat/>
    <w:uiPriority w:val="99"/>
    <w:pPr>
      <w:spacing w:line="360" w:lineRule="auto"/>
      <w:ind w:firstLine="425" w:firstLineChars="177"/>
    </w:pPr>
    <w:rPr>
      <w:sz w:val="24"/>
      <w:szCs w:val="24"/>
    </w:rPr>
  </w:style>
  <w:style w:type="paragraph" w:styleId="13">
    <w:name w:val="Balloon Text"/>
    <w:basedOn w:val="1"/>
    <w:link w:val="50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5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semiHidden/>
    <w:qFormat/>
    <w:uiPriority w:val="99"/>
    <w:pPr>
      <w:tabs>
        <w:tab w:val="right" w:leader="dot" w:pos="8302"/>
      </w:tabs>
      <w:spacing w:line="360" w:lineRule="auto"/>
      <w:ind w:left="1300" w:hanging="880"/>
      <w:jc w:val="center"/>
    </w:pPr>
    <w:rPr>
      <w:rFonts w:eastAsia="黑体"/>
      <w:b/>
      <w:bCs/>
      <w:sz w:val="44"/>
      <w:szCs w:val="44"/>
    </w:rPr>
  </w:style>
  <w:style w:type="paragraph" w:styleId="17">
    <w:name w:val="toc 2"/>
    <w:basedOn w:val="1"/>
    <w:next w:val="1"/>
    <w:semiHidden/>
    <w:qFormat/>
    <w:uiPriority w:val="99"/>
    <w:pPr>
      <w:ind w:left="420" w:leftChars="200"/>
    </w:pPr>
  </w:style>
  <w:style w:type="paragraph" w:styleId="18">
    <w:name w:val="annotation subject"/>
    <w:basedOn w:val="7"/>
    <w:next w:val="7"/>
    <w:link w:val="39"/>
    <w:semiHidden/>
    <w:qFormat/>
    <w:uiPriority w:val="99"/>
    <w:rPr>
      <w:b/>
      <w:bCs/>
    </w:rPr>
  </w:style>
  <w:style w:type="table" w:styleId="20">
    <w:name w:val="Table Grid"/>
    <w:basedOn w:val="1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99"/>
  </w:style>
  <w:style w:type="character" w:styleId="23">
    <w:name w:val="Emphasis"/>
    <w:basedOn w:val="21"/>
    <w:qFormat/>
    <w:locked/>
    <w:uiPriority w:val="99"/>
    <w:rPr>
      <w:i/>
      <w:iCs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annotation reference"/>
    <w:basedOn w:val="21"/>
    <w:semiHidden/>
    <w:uiPriority w:val="99"/>
    <w:rPr>
      <w:sz w:val="21"/>
      <w:szCs w:val="21"/>
    </w:rPr>
  </w:style>
  <w:style w:type="character" w:customStyle="1" w:styleId="26">
    <w:name w:val="Heading 1 Char"/>
    <w:basedOn w:val="21"/>
    <w:link w:val="2"/>
    <w:locked/>
    <w:uiPriority w:val="99"/>
    <w:rPr>
      <w:b/>
      <w:bCs/>
      <w:kern w:val="44"/>
      <w:sz w:val="44"/>
      <w:szCs w:val="44"/>
    </w:rPr>
  </w:style>
  <w:style w:type="character" w:customStyle="1" w:styleId="27">
    <w:name w:val="Heading 2 Char"/>
    <w:basedOn w:val="21"/>
    <w:link w:val="3"/>
    <w:qFormat/>
    <w:locked/>
    <w:uiPriority w:val="99"/>
    <w:rPr>
      <w:rFonts w:ascii="黑体" w:hAnsi="宋体" w:eastAsia="黑体" w:cs="黑体"/>
      <w:b/>
      <w:bCs/>
      <w:kern w:val="44"/>
      <w:sz w:val="28"/>
      <w:szCs w:val="28"/>
      <w:lang w:eastAsia="zh-CN"/>
    </w:rPr>
  </w:style>
  <w:style w:type="character" w:customStyle="1" w:styleId="28">
    <w:name w:val="Heading 3 Char"/>
    <w:basedOn w:val="21"/>
    <w:link w:val="4"/>
    <w:semiHidden/>
    <w:qFormat/>
    <w:locked/>
    <w:uiPriority w:val="99"/>
    <w:rPr>
      <w:b/>
      <w:bCs/>
      <w:sz w:val="32"/>
      <w:szCs w:val="32"/>
    </w:rPr>
  </w:style>
  <w:style w:type="character" w:customStyle="1" w:styleId="29">
    <w:name w:val="Document Map Char"/>
    <w:basedOn w:val="21"/>
    <w:link w:val="6"/>
    <w:semiHidden/>
    <w:qFormat/>
    <w:locked/>
    <w:uiPriority w:val="99"/>
    <w:rPr>
      <w:sz w:val="2"/>
      <w:szCs w:val="2"/>
    </w:rPr>
  </w:style>
  <w:style w:type="character" w:customStyle="1" w:styleId="30">
    <w:name w:val="Comment Text Char"/>
    <w:basedOn w:val="21"/>
    <w:link w:val="7"/>
    <w:semiHidden/>
    <w:locked/>
    <w:uiPriority w:val="99"/>
    <w:rPr>
      <w:sz w:val="21"/>
      <w:szCs w:val="21"/>
    </w:rPr>
  </w:style>
  <w:style w:type="character" w:customStyle="1" w:styleId="31">
    <w:name w:val="Body Text Char"/>
    <w:basedOn w:val="21"/>
    <w:link w:val="8"/>
    <w:semiHidden/>
    <w:qFormat/>
    <w:locked/>
    <w:uiPriority w:val="99"/>
    <w:rPr>
      <w:sz w:val="21"/>
      <w:szCs w:val="21"/>
    </w:rPr>
  </w:style>
  <w:style w:type="character" w:customStyle="1" w:styleId="32">
    <w:name w:val="Body Text Indent Char"/>
    <w:basedOn w:val="21"/>
    <w:link w:val="9"/>
    <w:semiHidden/>
    <w:qFormat/>
    <w:locked/>
    <w:uiPriority w:val="99"/>
    <w:rPr>
      <w:sz w:val="21"/>
      <w:szCs w:val="21"/>
    </w:rPr>
  </w:style>
  <w:style w:type="character" w:customStyle="1" w:styleId="33">
    <w:name w:val="Plain Text Char"/>
    <w:basedOn w:val="21"/>
    <w:link w:val="10"/>
    <w:semiHidden/>
    <w:qFormat/>
    <w:locked/>
    <w:uiPriority w:val="99"/>
    <w:rPr>
      <w:rFonts w:ascii="宋体" w:hAnsi="Courier New" w:cs="宋体"/>
      <w:sz w:val="21"/>
      <w:szCs w:val="21"/>
    </w:rPr>
  </w:style>
  <w:style w:type="character" w:customStyle="1" w:styleId="34">
    <w:name w:val="Date Char"/>
    <w:basedOn w:val="21"/>
    <w:link w:val="11"/>
    <w:semiHidden/>
    <w:qFormat/>
    <w:locked/>
    <w:uiPriority w:val="99"/>
    <w:rPr>
      <w:sz w:val="21"/>
      <w:szCs w:val="21"/>
    </w:rPr>
  </w:style>
  <w:style w:type="character" w:customStyle="1" w:styleId="35">
    <w:name w:val="Body Text Indent 2 Char"/>
    <w:basedOn w:val="21"/>
    <w:link w:val="12"/>
    <w:semiHidden/>
    <w:qFormat/>
    <w:locked/>
    <w:uiPriority w:val="99"/>
    <w:rPr>
      <w:sz w:val="21"/>
      <w:szCs w:val="21"/>
    </w:rPr>
  </w:style>
  <w:style w:type="character" w:customStyle="1" w:styleId="36">
    <w:name w:val="Balloon Text Char"/>
    <w:basedOn w:val="21"/>
    <w:link w:val="13"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37">
    <w:name w:val="Footer Char"/>
    <w:basedOn w:val="21"/>
    <w:link w:val="14"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38">
    <w:name w:val="Header Char"/>
    <w:basedOn w:val="21"/>
    <w:link w:val="15"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39">
    <w:name w:val="Comment Subject Char"/>
    <w:basedOn w:val="30"/>
    <w:link w:val="18"/>
    <w:semiHidden/>
    <w:qFormat/>
    <w:locked/>
    <w:uiPriority w:val="99"/>
    <w:rPr>
      <w:b/>
      <w:bCs/>
    </w:rPr>
  </w:style>
  <w:style w:type="character" w:customStyle="1" w:styleId="40">
    <w:name w:val="段 Char Char"/>
    <w:link w:val="41"/>
    <w:qFormat/>
    <w:locked/>
    <w:uiPriority w:val="99"/>
    <w:rPr>
      <w:rFonts w:ascii="宋体" w:cs="宋体"/>
      <w:kern w:val="2"/>
      <w:sz w:val="21"/>
      <w:szCs w:val="21"/>
      <w:lang w:val="en-US" w:eastAsia="zh-CN"/>
    </w:rPr>
  </w:style>
  <w:style w:type="paragraph" w:customStyle="1" w:styleId="41">
    <w:name w:val="段 Char"/>
    <w:link w:val="40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kern w:val="2"/>
      <w:sz w:val="21"/>
      <w:szCs w:val="21"/>
      <w:lang w:val="en-US" w:eastAsia="zh-CN" w:bidi="ar-SA"/>
    </w:rPr>
  </w:style>
  <w:style w:type="character" w:customStyle="1" w:styleId="42">
    <w:name w:val="Normal_0 Char"/>
    <w:link w:val="43"/>
    <w:qFormat/>
    <w:locked/>
    <w:uiPriority w:val="99"/>
    <w:rPr>
      <w:rFonts w:ascii="Calibri" w:hAnsi="Calibri" w:cs="Calibri"/>
      <w:sz w:val="22"/>
      <w:szCs w:val="22"/>
      <w:lang w:val="ru-RU" w:eastAsia="en-US"/>
    </w:rPr>
  </w:style>
  <w:style w:type="paragraph" w:customStyle="1" w:styleId="43">
    <w:name w:val="Normal_0"/>
    <w:link w:val="42"/>
    <w:qFormat/>
    <w:uiPriority w:val="99"/>
    <w:pPr>
      <w:spacing w:before="120" w:after="240"/>
      <w:jc w:val="both"/>
    </w:pPr>
    <w:rPr>
      <w:rFonts w:ascii="Calibri" w:hAnsi="Calibri" w:eastAsia="宋体" w:cs="Calibri"/>
      <w:kern w:val="0"/>
      <w:sz w:val="22"/>
      <w:szCs w:val="22"/>
      <w:lang w:val="ru-RU" w:eastAsia="en-US" w:bidi="ar-SA"/>
    </w:rPr>
  </w:style>
  <w:style w:type="character" w:customStyle="1" w:styleId="44">
    <w:name w:val="Char Char1"/>
    <w:qFormat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45">
    <w:name w:val="发布"/>
    <w:qFormat/>
    <w:uiPriority w:val="99"/>
    <w:rPr>
      <w:rFonts w:ascii="黑体" w:eastAsia="黑体" w:cs="黑体"/>
      <w:spacing w:val="22"/>
      <w:w w:val="100"/>
      <w:position w:val="3"/>
      <w:sz w:val="28"/>
      <w:szCs w:val="28"/>
    </w:rPr>
  </w:style>
  <w:style w:type="paragraph" w:customStyle="1" w:styleId="46">
    <w:name w:val="封面正文"/>
    <w:qFormat/>
    <w:uiPriority w:val="99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47">
    <w:name w:val="标准书脚_奇数页"/>
    <w:qFormat/>
    <w:uiPriority w:val="99"/>
    <w:pPr>
      <w:spacing w:before="120"/>
      <w:jc w:val="righ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4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49">
    <w:name w:val="Header Char1"/>
    <w:basedOn w:val="21"/>
    <w:link w:val="15"/>
    <w:semiHidden/>
    <w:qFormat/>
    <w:locked/>
    <w:uiPriority w:val="99"/>
    <w:rPr>
      <w:sz w:val="18"/>
      <w:szCs w:val="18"/>
    </w:rPr>
  </w:style>
  <w:style w:type="character" w:customStyle="1" w:styleId="50">
    <w:name w:val="Balloon Text Char1"/>
    <w:basedOn w:val="21"/>
    <w:link w:val="13"/>
    <w:semiHidden/>
    <w:qFormat/>
    <w:locked/>
    <w:uiPriority w:val="99"/>
    <w:rPr>
      <w:sz w:val="2"/>
      <w:szCs w:val="2"/>
    </w:rPr>
  </w:style>
  <w:style w:type="paragraph" w:customStyle="1" w:styleId="51">
    <w:name w:val="Normal_2"/>
    <w:qFormat/>
    <w:uiPriority w:val="99"/>
    <w:pPr>
      <w:spacing w:before="120" w:after="240"/>
      <w:jc w:val="both"/>
    </w:pPr>
    <w:rPr>
      <w:rFonts w:ascii="Calibri" w:hAnsi="Calibri" w:eastAsia="宋体" w:cs="Calibri"/>
      <w:kern w:val="0"/>
      <w:sz w:val="22"/>
      <w:szCs w:val="22"/>
      <w:lang w:val="ru-RU" w:eastAsia="en-US" w:bidi="ar-SA"/>
    </w:rPr>
  </w:style>
  <w:style w:type="character" w:customStyle="1" w:styleId="52">
    <w:name w:val="Footer Char1"/>
    <w:basedOn w:val="21"/>
    <w:link w:val="14"/>
    <w:semiHidden/>
    <w:qFormat/>
    <w:locked/>
    <w:uiPriority w:val="99"/>
    <w:rPr>
      <w:sz w:val="18"/>
      <w:szCs w:val="18"/>
    </w:rPr>
  </w:style>
  <w:style w:type="paragraph" w:customStyle="1" w:styleId="53">
    <w:name w:val="封面标准文稿类别"/>
    <w:qFormat/>
    <w:uiPriority w:val="99"/>
    <w:pPr>
      <w:spacing w:before="440" w:line="400" w:lineRule="exact"/>
      <w:jc w:val="center"/>
    </w:pPr>
    <w:rPr>
      <w:rFonts w:ascii="宋体" w:hAnsi="Times New Roman" w:eastAsia="宋体" w:cs="宋体"/>
      <w:kern w:val="0"/>
      <w:sz w:val="24"/>
      <w:szCs w:val="24"/>
      <w:lang w:val="en-US" w:eastAsia="zh-CN" w:bidi="ar-SA"/>
    </w:rPr>
  </w:style>
  <w:style w:type="paragraph" w:customStyle="1" w:styleId="54">
    <w:name w:val="发布日期"/>
    <w:qFormat/>
    <w:uiPriority w:val="99"/>
    <w:rPr>
      <w:rFonts w:ascii="Times New Roman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55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szCs w:val="24"/>
      <w:lang w:eastAsia="en-US"/>
    </w:rPr>
  </w:style>
  <w:style w:type="paragraph" w:customStyle="1" w:styleId="56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kern w:val="2"/>
      <w:sz w:val="21"/>
      <w:szCs w:val="21"/>
      <w:lang w:val="en-US" w:eastAsia="zh-CN" w:bidi="ar-SA"/>
    </w:rPr>
  </w:style>
  <w:style w:type="paragraph" w:customStyle="1" w:styleId="57">
    <w:name w:val="Char Char Char Char"/>
    <w:basedOn w:val="1"/>
    <w:next w:val="1"/>
    <w:qFormat/>
    <w:uiPriority w:val="99"/>
    <w:pPr>
      <w:spacing w:line="360" w:lineRule="auto"/>
      <w:jc w:val="left"/>
    </w:pPr>
    <w:rPr>
      <w:sz w:val="28"/>
      <w:szCs w:val="28"/>
    </w:rPr>
  </w:style>
  <w:style w:type="paragraph" w:customStyle="1" w:styleId="58">
    <w:name w:val="标准书脚_偶数页"/>
    <w:qFormat/>
    <w:uiPriority w:val="99"/>
    <w:pPr>
      <w:spacing w:before="120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59">
    <w:name w:val="章标题"/>
    <w:next w:val="1"/>
    <w:qFormat/>
    <w:uiPriority w:val="99"/>
    <w:pPr>
      <w:spacing w:beforeLines="50" w:afterLines="50"/>
      <w:jc w:val="both"/>
      <w:outlineLvl w:val="1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60">
    <w:name w:val="Normal_3"/>
    <w:qFormat/>
    <w:uiPriority w:val="99"/>
    <w:pPr>
      <w:spacing w:before="120" w:after="240"/>
      <w:jc w:val="both"/>
    </w:pPr>
    <w:rPr>
      <w:rFonts w:ascii="Calibri" w:hAnsi="Calibri" w:eastAsia="宋体" w:cs="Calibri"/>
      <w:kern w:val="0"/>
      <w:sz w:val="22"/>
      <w:szCs w:val="22"/>
      <w:lang w:val="ru-RU" w:eastAsia="en-US" w:bidi="ar-SA"/>
    </w:rPr>
  </w:style>
  <w:style w:type="paragraph" w:customStyle="1" w:styleId="61">
    <w:name w:val="前言、引言标题"/>
    <w:next w:val="1"/>
    <w:uiPriority w:val="99"/>
    <w:pPr>
      <w:numPr>
        <w:ilvl w:val="0"/>
        <w:numId w:val="1"/>
      </w:numPr>
      <w:shd w:val="clear" w:color="FFFFFF" w:fill="FFFFFF"/>
      <w:tabs>
        <w:tab w:val="left" w:pos="360"/>
      </w:tabs>
      <w:spacing w:before="640" w:after="560"/>
      <w:jc w:val="center"/>
      <w:outlineLvl w:val="0"/>
    </w:pPr>
    <w:rPr>
      <w:rFonts w:ascii="黑体" w:hAnsi="Times New Roman" w:eastAsia="黑体" w:cs="黑体"/>
      <w:kern w:val="0"/>
      <w:sz w:val="32"/>
      <w:szCs w:val="32"/>
      <w:lang w:val="en-US" w:eastAsia="zh-CN" w:bidi="ar-SA"/>
    </w:rPr>
  </w:style>
  <w:style w:type="paragraph" w:customStyle="1" w:styleId="62">
    <w:name w:val="Normal_1"/>
    <w:uiPriority w:val="99"/>
    <w:pPr>
      <w:spacing w:before="120" w:after="240"/>
      <w:jc w:val="both"/>
    </w:pPr>
    <w:rPr>
      <w:rFonts w:ascii="Calibri" w:hAnsi="Calibri" w:eastAsia="宋体" w:cs="Calibri"/>
      <w:kern w:val="0"/>
      <w:sz w:val="22"/>
      <w:szCs w:val="22"/>
      <w:lang w:val="ru-RU" w:eastAsia="en-US" w:bidi="ar-SA"/>
    </w:rPr>
  </w:style>
  <w:style w:type="paragraph" w:customStyle="1" w:styleId="63">
    <w:name w:val="封面标准文稿编辑信息"/>
    <w:uiPriority w:val="99"/>
    <w:pPr>
      <w:spacing w:before="180" w:line="180" w:lineRule="exact"/>
      <w:jc w:val="center"/>
    </w:pPr>
    <w:rPr>
      <w:rFonts w:ascii="宋体" w:hAnsi="Times New Roman" w:eastAsia="宋体" w:cs="宋体"/>
      <w:kern w:val="0"/>
      <w:sz w:val="21"/>
      <w:szCs w:val="21"/>
      <w:lang w:val="en-US" w:eastAsia="zh-CN" w:bidi="ar-SA"/>
    </w:rPr>
  </w:style>
  <w:style w:type="paragraph" w:customStyle="1" w:styleId="64">
    <w:name w:val="封面一致性程度标识"/>
    <w:uiPriority w:val="99"/>
    <w:pPr>
      <w:spacing w:before="440" w:line="400" w:lineRule="exact"/>
      <w:jc w:val="center"/>
    </w:pPr>
    <w:rPr>
      <w:rFonts w:ascii="宋体" w:hAnsi="Times New Roman" w:eastAsia="宋体" w:cs="宋体"/>
      <w:kern w:val="0"/>
      <w:sz w:val="28"/>
      <w:szCs w:val="28"/>
      <w:lang w:val="en-US" w:eastAsia="zh-CN" w:bidi="ar-SA"/>
    </w:rPr>
  </w:style>
  <w:style w:type="paragraph" w:customStyle="1" w:styleId="65">
    <w:name w:val="标准书眉一"/>
    <w:uiPriority w:val="99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66">
    <w:name w:val="其他标准称谓"/>
    <w:uiPriority w:val="99"/>
    <w:pPr>
      <w:spacing w:line="240" w:lineRule="atLeast"/>
      <w:jc w:val="distribute"/>
    </w:pPr>
    <w:rPr>
      <w:rFonts w:ascii="黑体" w:hAnsi="宋体" w:eastAsia="黑体" w:cs="黑体"/>
      <w:kern w:val="0"/>
      <w:sz w:val="52"/>
      <w:szCs w:val="52"/>
      <w:lang w:val="en-US" w:eastAsia="zh-CN" w:bidi="ar-SA"/>
    </w:rPr>
  </w:style>
  <w:style w:type="paragraph" w:customStyle="1" w:styleId="67">
    <w:name w:val="文献分类号"/>
    <w:uiPriority w:val="99"/>
    <w:pPr>
      <w:widowControl w:val="0"/>
      <w:textAlignment w:val="center"/>
    </w:pPr>
    <w:rPr>
      <w:rFonts w:ascii="Times New Roman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68">
    <w:name w:val="标准标志"/>
    <w:next w:val="1"/>
    <w:uiPriority w:val="99"/>
    <w:pPr>
      <w:shd w:val="solid" w:color="FFFFFF" w:fill="FFFFFF"/>
      <w:spacing w:line="240" w:lineRule="atLeast"/>
      <w:jc w:val="right"/>
    </w:pPr>
    <w:rPr>
      <w:rFonts w:ascii="Times New Roman" w:hAnsi="Times New Roman" w:eastAsia="宋体" w:cs="Times New Roman"/>
      <w:b/>
      <w:bCs/>
      <w:w w:val="130"/>
      <w:kern w:val="0"/>
      <w:sz w:val="96"/>
      <w:szCs w:val="96"/>
      <w:lang w:val="en-US" w:eastAsia="zh-CN" w:bidi="ar-SA"/>
    </w:rPr>
  </w:style>
  <w:style w:type="paragraph" w:customStyle="1" w:styleId="69">
    <w:name w:val="标准书眉_偶数页"/>
    <w:basedOn w:val="70"/>
    <w:next w:val="1"/>
    <w:uiPriority w:val="99"/>
    <w:pPr>
      <w:tabs>
        <w:tab w:val="center" w:pos="4154"/>
        <w:tab w:val="right" w:pos="8306"/>
      </w:tabs>
      <w:jc w:val="left"/>
    </w:pPr>
  </w:style>
  <w:style w:type="paragraph" w:customStyle="1" w:styleId="70">
    <w:name w:val="标准书眉_奇数页"/>
    <w:next w:val="1"/>
    <w:uiPriority w:val="99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71">
    <w:name w:val="封面标准号2"/>
    <w:basedOn w:val="1"/>
    <w:uiPriority w:val="99"/>
  </w:style>
  <w:style w:type="paragraph" w:customStyle="1" w:styleId="72">
    <w:name w:val="其他发布部门"/>
    <w:basedOn w:val="1"/>
    <w:uiPriority w:val="99"/>
    <w:pPr>
      <w:widowControl/>
      <w:spacing w:line="240" w:lineRule="atLeast"/>
      <w:jc w:val="center"/>
    </w:pPr>
    <w:rPr>
      <w:rFonts w:ascii="黑体" w:eastAsia="黑体" w:cs="黑体"/>
      <w:spacing w:val="20"/>
      <w:w w:val="135"/>
      <w:kern w:val="0"/>
      <w:sz w:val="36"/>
      <w:szCs w:val="36"/>
    </w:rPr>
  </w:style>
  <w:style w:type="paragraph" w:customStyle="1" w:styleId="73">
    <w:name w:val="封面标准英文名称"/>
    <w:uiPriority w:val="99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kern w:val="0"/>
      <w:sz w:val="28"/>
      <w:szCs w:val="28"/>
      <w:lang w:val="en-US" w:eastAsia="zh-CN" w:bidi="ar-SA"/>
    </w:rPr>
  </w:style>
  <w:style w:type="paragraph" w:customStyle="1" w:styleId="74">
    <w:name w:val="实施日期"/>
    <w:basedOn w:val="54"/>
    <w:uiPriority w:val="99"/>
    <w:pPr>
      <w:jc w:val="right"/>
    </w:pPr>
  </w:style>
  <w:style w:type="paragraph" w:customStyle="1" w:styleId="75">
    <w:name w:val="Normal_4"/>
    <w:uiPriority w:val="99"/>
    <w:pPr>
      <w:spacing w:before="120" w:after="240"/>
      <w:jc w:val="both"/>
    </w:pPr>
    <w:rPr>
      <w:rFonts w:ascii="Calibri" w:hAnsi="Calibri" w:eastAsia="宋体" w:cs="Calibri"/>
      <w:kern w:val="0"/>
      <w:sz w:val="22"/>
      <w:szCs w:val="22"/>
      <w:lang w:val="ru-RU" w:eastAsia="en-US" w:bidi="ar-SA"/>
    </w:rPr>
  </w:style>
  <w:style w:type="paragraph" w:customStyle="1" w:styleId="76">
    <w:name w:val="样式1"/>
    <w:basedOn w:val="1"/>
    <w:uiPriority w:val="99"/>
    <w:pPr>
      <w:spacing w:line="360" w:lineRule="auto"/>
    </w:pPr>
    <w:rPr>
      <w:rFonts w:ascii="宋体" w:hAnsi="宋体" w:cs="宋体"/>
      <w:b/>
      <w:bCs/>
      <w:sz w:val="24"/>
      <w:szCs w:val="24"/>
    </w:rPr>
  </w:style>
  <w:style w:type="paragraph" w:customStyle="1" w:styleId="77">
    <w:name w:val="TOC Heading1"/>
    <w:basedOn w:val="2"/>
    <w:next w:val="1"/>
    <w:uiPriority w:val="99"/>
    <w:pPr>
      <w:keepLines/>
      <w:widowControl/>
      <w:tabs>
        <w:tab w:val="clear" w:pos="8364"/>
      </w:tabs>
      <w:snapToGrid/>
      <w:spacing w:beforeLines="0" w:line="276" w:lineRule="auto"/>
      <w:ind w:left="0" w:right="0"/>
      <w:outlineLvl w:val="9"/>
    </w:pPr>
    <w:rPr>
      <w:rFonts w:ascii="Cambria" w:hAnsi="Cambria" w:eastAsia="宋体" w:cs="Cambria"/>
      <w:color w:val="365F91"/>
      <w:kern w:val="0"/>
      <w:sz w:val="28"/>
      <w:szCs w:val="28"/>
    </w:rPr>
  </w:style>
  <w:style w:type="paragraph" w:customStyle="1" w:styleId="78">
    <w:name w:val="Char1"/>
    <w:basedOn w:val="1"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szCs w:val="24"/>
      <w:lang w:eastAsia="en-US"/>
    </w:rPr>
  </w:style>
  <w:style w:type="character" w:customStyle="1" w:styleId="79">
    <w:name w:val="Char Char2"/>
    <w:uiPriority w:val="99"/>
    <w:rPr>
      <w:rFonts w:ascii="宋体" w:hAnsi="宋体" w:eastAsia="宋体" w:cs="宋体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oleObject" Target="embeddings/oleObject34.bin"/><Relationship Id="rId83" Type="http://schemas.openxmlformats.org/officeDocument/2006/relationships/oleObject" Target="embeddings/oleObject33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2.bin"/><Relationship Id="rId80" Type="http://schemas.openxmlformats.org/officeDocument/2006/relationships/image" Target="media/image38.wmf"/><Relationship Id="rId8" Type="http://schemas.openxmlformats.org/officeDocument/2006/relationships/footer" Target="footer5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6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5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3.wmf"/><Relationship Id="rId7" Type="http://schemas.openxmlformats.org/officeDocument/2006/relationships/footer" Target="footer4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3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2.bin"/><Relationship Id="rId60" Type="http://schemas.openxmlformats.org/officeDocument/2006/relationships/image" Target="media/image28.wmf"/><Relationship Id="rId6" Type="http://schemas.openxmlformats.org/officeDocument/2006/relationships/footer" Target="footer3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6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5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3.wmf"/><Relationship Id="rId5" Type="http://schemas.openxmlformats.org/officeDocument/2006/relationships/footer" Target="footer2.xml"/><Relationship Id="rId49" Type="http://schemas.openxmlformats.org/officeDocument/2006/relationships/image" Target="media/image22.wmf"/><Relationship Id="rId48" Type="http://schemas.openxmlformats.org/officeDocument/2006/relationships/image" Target="media/image21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5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7.wmf"/><Relationship Id="rId4" Type="http://schemas.openxmlformats.org/officeDocument/2006/relationships/footer" Target="footer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4.wmf"/><Relationship Id="rId33" Type="http://schemas.openxmlformats.org/officeDocument/2006/relationships/oleObject" Target="embeddings/oleObject9.bin"/><Relationship Id="rId32" Type="http://schemas.openxmlformats.org/officeDocument/2006/relationships/image" Target="media/image13.wmf"/><Relationship Id="rId31" Type="http://schemas.openxmlformats.org/officeDocument/2006/relationships/oleObject" Target="embeddings/oleObject8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1.wmf"/><Relationship Id="rId27" Type="http://schemas.openxmlformats.org/officeDocument/2006/relationships/oleObject" Target="embeddings/oleObject6.bin"/><Relationship Id="rId26" Type="http://schemas.openxmlformats.org/officeDocument/2006/relationships/image" Target="media/image10.wmf"/><Relationship Id="rId25" Type="http://schemas.openxmlformats.org/officeDocument/2006/relationships/oleObject" Target="embeddings/oleObject5.bin"/><Relationship Id="rId24" Type="http://schemas.openxmlformats.org/officeDocument/2006/relationships/image" Target="media/image9.wmf"/><Relationship Id="rId23" Type="http://schemas.openxmlformats.org/officeDocument/2006/relationships/image" Target="media/image8.wmf"/><Relationship Id="rId22" Type="http://schemas.openxmlformats.org/officeDocument/2006/relationships/image" Target="media/image7.wmf"/><Relationship Id="rId21" Type="http://schemas.openxmlformats.org/officeDocument/2006/relationships/image" Target="media/image6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3.bin"/><Relationship Id="rId17" Type="http://schemas.openxmlformats.org/officeDocument/2006/relationships/image" Target="media/image4.wmf"/><Relationship Id="rId16" Type="http://schemas.openxmlformats.org/officeDocument/2006/relationships/image" Target="media/image3.wmf"/><Relationship Id="rId15" Type="http://schemas.openxmlformats.org/officeDocument/2006/relationships/oleObject" Target="embeddings/oleObject2.bin"/><Relationship Id="rId14" Type="http://schemas.openxmlformats.org/officeDocument/2006/relationships/image" Target="media/image2.wmf"/><Relationship Id="rId13" Type="http://schemas.openxmlformats.org/officeDocument/2006/relationships/oleObject" Target="embeddings/oleObject1.bin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新疆计量所</Company>
  <Pages>16</Pages>
  <Words>1317</Words>
  <Characters>7512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2020-09-01T05:06:00Z</dcterms:created>
  <dc:creator>whb</dc:creator>
  <cp:lastModifiedBy>XJJLY</cp:lastModifiedBy>
  <cp:lastPrinted>2017-11-20T03:41:00Z</cp:lastPrinted>
  <dcterms:modified xsi:type="dcterms:W3CDTF">2020-12-28T09:01:43Z</dcterms:modified>
  <dc:title>2004年度 0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