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/>
          <w:kern w:val="0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3827145</wp:posOffset>
            </wp:positionH>
            <wp:positionV relativeFrom="paragraph">
              <wp:posOffset>-80010</wp:posOffset>
            </wp:positionV>
            <wp:extent cx="1971675" cy="971550"/>
            <wp:effectExtent l="0" t="0" r="9525" b="0"/>
            <wp:wrapNone/>
            <wp:docPr id="3" name="图片 103" descr="QQ图片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3" descr="QQ图片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-296545</wp:posOffset>
                </wp:positionV>
                <wp:extent cx="6334125" cy="396240"/>
                <wp:effectExtent l="4445" t="5080" r="5080" b="17780"/>
                <wp:wrapNone/>
                <wp:docPr id="7" name="矩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12" o:spid="_x0000_s1026" o:spt="1" style="position:absolute;left:0pt;margin-left:-5.4pt;margin-top:-23.35pt;height:31.2pt;width:498.75pt;z-index:251664384;mso-width-relative:page;mso-height-relative:page;" fillcolor="#FFFFFF" filled="t" stroked="t" coordsize="21600,21600" o:gfxdata="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34B7J&#10;1wAAAAoBAAAPAAAAAAAAAAEAIAAAACIAAABkcnMvZG93bnJldi54bWxQSwECFAAUAAAACACHTuJA&#10;1CkqAukBAADgAwAADgAAAAAAAAABACAAAAAmAQAAZHJzL2Uyb0RvYy54bWxQSwUGAAAAAAYABgBZ&#10;AQAAgQ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hint="eastAsia" w:ascii="方正大标宋简体" w:eastAsia="方正大标宋简体"/>
          <w:kern w:val="36"/>
          <w:sz w:val="52"/>
          <w:szCs w:val="52"/>
        </w:rPr>
      </w:pPr>
    </w:p>
    <w:p>
      <w:pPr>
        <w:spacing w:line="240" w:lineRule="exact"/>
        <w:jc w:val="center"/>
        <w:rPr>
          <w:rFonts w:hint="eastAsia" w:ascii="方正大标宋简体" w:eastAsia="方正大标宋简体"/>
          <w:kern w:val="36"/>
          <w:sz w:val="52"/>
          <w:szCs w:val="52"/>
        </w:rPr>
      </w:pPr>
    </w:p>
    <w:p>
      <w:pPr>
        <w:jc w:val="center"/>
        <w:rPr>
          <w:rFonts w:hint="eastAsia" w:ascii="方正小标宋简体" w:hAnsi="宋体" w:eastAsia="方正小标宋简体" w:cs="宋体"/>
          <w:b/>
          <w:kern w:val="36"/>
          <w:sz w:val="52"/>
          <w:szCs w:val="52"/>
        </w:rPr>
      </w:pPr>
      <w:r>
        <w:rPr>
          <w:rFonts w:hint="eastAsia" w:ascii="方正小标宋简体" w:hAnsi="宋体" w:eastAsia="方正小标宋简体" w:cs="宋体"/>
          <w:b/>
          <w:kern w:val="36"/>
          <w:sz w:val="52"/>
          <w:szCs w:val="52"/>
        </w:rPr>
        <w:t>新疆维吾尔自治区地方计量技术规范</w:t>
      </w:r>
    </w:p>
    <w:p>
      <w:pPr>
        <w:spacing w:line="700" w:lineRule="exact"/>
        <w:ind w:firstLine="6437" w:firstLineChars="2290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594360</wp:posOffset>
                </wp:positionV>
                <wp:extent cx="5829300" cy="10160"/>
                <wp:effectExtent l="0" t="0" r="0" b="0"/>
                <wp:wrapNone/>
                <wp:docPr id="4" name="直线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4" o:spid="_x0000_s1026" o:spt="20" style="position:absolute;left:0pt;margin-left:9pt;margin-top:46.8pt;height:0.8pt;width:459pt;z-index:251661312;mso-width-relative:page;mso-height-relative:page;" filled="f" stroked="t" coordsize="21600,21600" o:gfxdata="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QCpx9QAAAAIAQAADwAAAAAAAAABACAAAAAi&#10;AAAAZHJzL2Rvd25yZXYueG1sUEsBAhQAFAAAAAgAh07iQKZdWmnVAQAAkwMAAA4AAAAAAAAAAQAg&#10;AAAAIw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黑体"/>
          <w:b/>
          <w:sz w:val="28"/>
          <w:szCs w:val="28"/>
        </w:rPr>
        <w:t>JJF（新）**－20**</w:t>
      </w:r>
    </w:p>
    <w:p>
      <w:pPr>
        <w:spacing w:line="460" w:lineRule="exact"/>
        <w:rPr>
          <w:rFonts w:hint="eastAsia"/>
          <w:b/>
          <w:sz w:val="28"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</w:p>
    <w:p>
      <w:pPr>
        <w:jc w:val="center"/>
        <w:rPr>
          <w:rFonts w:hint="eastAsia" w:ascii="黑体" w:eastAsia="黑体"/>
          <w:b/>
          <w:bCs/>
          <w:color w:val="000000"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  <w:lang w:eastAsia="zh-CN"/>
        </w:rPr>
        <w:t>氰化氢</w:t>
      </w:r>
      <w:r>
        <w:rPr>
          <w:rFonts w:hint="eastAsia" w:ascii="黑体" w:eastAsia="黑体"/>
          <w:b/>
          <w:sz w:val="52"/>
          <w:szCs w:val="52"/>
        </w:rPr>
        <w:t>气体检测</w:t>
      </w:r>
      <w:r>
        <w:rPr>
          <w:rFonts w:hint="eastAsia" w:ascii="黑体" w:eastAsia="黑体"/>
          <w:b/>
          <w:sz w:val="52"/>
          <w:szCs w:val="52"/>
          <w:lang w:eastAsia="zh-CN"/>
        </w:rPr>
        <w:t>报警器</w:t>
      </w:r>
      <w:r>
        <w:rPr>
          <w:rFonts w:hint="eastAsia" w:ascii="黑体" w:eastAsia="黑体"/>
          <w:b/>
          <w:sz w:val="52"/>
          <w:szCs w:val="52"/>
        </w:rPr>
        <w:t>校准规范</w:t>
      </w:r>
    </w:p>
    <w:p>
      <w:pPr>
        <w:spacing w:line="460" w:lineRule="exact"/>
        <w:ind w:firstLine="843" w:firstLineChars="300"/>
        <w:rPr>
          <w:rFonts w:hint="eastAsia" w:eastAsia="黑体"/>
          <w:b/>
          <w:bCs/>
          <w:color w:val="000000"/>
          <w:sz w:val="28"/>
          <w:szCs w:val="28"/>
        </w:rPr>
      </w:pPr>
      <w:r>
        <w:rPr>
          <w:rFonts w:eastAsia="黑体"/>
          <w:b/>
          <w:sz w:val="28"/>
          <w:szCs w:val="28"/>
        </w:rPr>
        <w:t xml:space="preserve">Calibration </w:t>
      </w:r>
      <w:r>
        <w:rPr>
          <w:rFonts w:hint="eastAsia" w:eastAsia="黑体"/>
          <w:b/>
          <w:bCs/>
          <w:color w:val="000000"/>
          <w:sz w:val="28"/>
          <w:szCs w:val="28"/>
        </w:rPr>
        <w:t>S</w:t>
      </w:r>
      <w:r>
        <w:rPr>
          <w:rFonts w:eastAsia="黑体"/>
          <w:b/>
          <w:bCs/>
          <w:color w:val="000000"/>
          <w:sz w:val="28"/>
          <w:szCs w:val="28"/>
        </w:rPr>
        <w:t xml:space="preserve">pecification </w:t>
      </w:r>
      <w:r>
        <w:rPr>
          <w:rFonts w:hint="eastAsia" w:eastAsia="黑体"/>
          <w:b/>
          <w:bCs/>
          <w:color w:val="000000"/>
          <w:sz w:val="28"/>
          <w:szCs w:val="28"/>
        </w:rPr>
        <w:t xml:space="preserve">for </w:t>
      </w:r>
      <w:r>
        <w:rPr>
          <w:rFonts w:hint="eastAsia" w:eastAsia="黑体"/>
          <w:b/>
          <w:bCs/>
          <w:color w:val="000000"/>
          <w:sz w:val="28"/>
          <w:szCs w:val="28"/>
          <w:lang w:val="en-US" w:eastAsia="zh-CN"/>
        </w:rPr>
        <w:t xml:space="preserve">Hydrogen Cyanide </w:t>
      </w:r>
      <w:r>
        <w:rPr>
          <w:rFonts w:eastAsia="黑体"/>
          <w:b/>
          <w:bCs/>
          <w:color w:val="000000"/>
          <w:sz w:val="28"/>
          <w:szCs w:val="28"/>
        </w:rPr>
        <w:t>Gas Detector</w:t>
      </w:r>
      <w:r>
        <w:rPr>
          <w:rFonts w:hint="eastAsia" w:eastAsia="黑体"/>
          <w:b/>
          <w:bCs/>
          <w:color w:val="000000"/>
          <w:sz w:val="28"/>
          <w:szCs w:val="28"/>
        </w:rPr>
        <w:t>s</w:t>
      </w:r>
    </w:p>
    <w:p>
      <w:pPr>
        <w:spacing w:line="460" w:lineRule="exact"/>
        <w:ind w:firstLine="1405" w:firstLineChars="500"/>
        <w:rPr>
          <w:rFonts w:hint="eastAsia" w:eastAsia="黑体"/>
          <w:b/>
          <w:bCs/>
          <w:color w:val="000000"/>
          <w:sz w:val="28"/>
          <w:szCs w:val="28"/>
        </w:rPr>
      </w:pPr>
    </w:p>
    <w:p>
      <w:pPr>
        <w:spacing w:line="480" w:lineRule="auto"/>
        <w:rPr>
          <w:b/>
        </w:rPr>
      </w:pP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562" w:firstLineChars="200"/>
        <w:rPr>
          <w:rFonts w:hint="eastAsia"/>
          <w:b/>
          <w:sz w:val="36"/>
          <w:szCs w:val="36"/>
        </w:rPr>
      </w:pPr>
      <w:r>
        <w:rPr>
          <w:rFonts w:hint="eastAsia" w:ascii="黑体" w:eastAsia="黑体"/>
          <w:b/>
          <w:sz w:val="28"/>
          <w:szCs w:val="28"/>
        </w:rPr>
        <w:t>20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20</w:t>
      </w:r>
      <w:r>
        <w:rPr>
          <w:rFonts w:hint="eastAsia" w:ascii="黑体" w:eastAsia="黑体"/>
          <w:b/>
          <w:sz w:val="28"/>
          <w:szCs w:val="28"/>
        </w:rPr>
        <w:t>-××-××发布</w:t>
      </w:r>
      <w:r>
        <w:rPr>
          <w:rFonts w:hint="eastAsia"/>
          <w:b/>
          <w:sz w:val="36"/>
          <w:szCs w:val="36"/>
        </w:rPr>
        <w:t xml:space="preserve">                 </w:t>
      </w:r>
      <w:r>
        <w:rPr>
          <w:rFonts w:hint="eastAsia" w:ascii="黑体" w:eastAsia="黑体"/>
          <w:b/>
          <w:sz w:val="28"/>
          <w:szCs w:val="28"/>
        </w:rPr>
        <w:t>20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20</w:t>
      </w:r>
      <w:r>
        <w:rPr>
          <w:rFonts w:hint="eastAsia" w:ascii="黑体" w:eastAsia="黑体"/>
          <w:b/>
          <w:sz w:val="28"/>
          <w:szCs w:val="28"/>
        </w:rPr>
        <w:t>-××-××实施</w:t>
      </w:r>
    </w:p>
    <w:p>
      <w:pPr>
        <w:spacing w:before="312" w:beforeLines="100"/>
        <w:ind w:firstLine="480" w:firstLineChars="150"/>
        <w:rPr>
          <w:rFonts w:eastAsia="黑体"/>
          <w:b/>
          <w:bCs/>
          <w:sz w:val="52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247" w:right="1418" w:bottom="1440" w:left="1418" w:header="851" w:footer="992" w:gutter="0"/>
          <w:pgNumType w:start="0"/>
          <w:cols w:space="425" w:num="1"/>
          <w:docGrid w:type="lines" w:linePitch="312" w:charSpace="0"/>
        </w:sectPr>
      </w:pPr>
      <w:r>
        <w:rPr>
          <w:rFonts w:hint="eastAsia" w:ascii="方正小标宋简体" w:eastAsia="方正小标宋简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943600" cy="0"/>
                <wp:effectExtent l="0" t="0" r="0" b="0"/>
                <wp:wrapNone/>
                <wp:docPr id="5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0pt;margin-top:3.6pt;height:0pt;width:468pt;z-index:251662336;mso-width-relative:page;mso-height-relative:page;" filled="f" stroked="t" coordsize="21600,21600" o:gfxdata="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UsATXSAAAABAEAAA8AAAAAAAAAAQAgAAAAIgAAAGRycy9k&#10;b3ducmV2LnhtbFBLAQIUABQAAAAIAIdO4kAh5Tx4zwEAAI8DAAAOAAAAAAAAAAEAIAAAACE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eastAsia="方正小标宋简体"/>
          <w:b/>
          <w:sz w:val="32"/>
          <w:szCs w:val="32"/>
        </w:rPr>
        <w:t>新 疆 维 吾 尔 自 治 区 质 量 技 术 监 督 局</w:t>
      </w:r>
      <w:r>
        <w:rPr>
          <w:rFonts w:hint="eastAsia" w:ascii="方正大标宋简体" w:eastAsia="方正大标宋简体"/>
          <w:b/>
          <w:sz w:val="36"/>
          <w:szCs w:val="36"/>
        </w:rPr>
        <w:t xml:space="preserve">  </w:t>
      </w:r>
      <w:r>
        <w:rPr>
          <w:rFonts w:hint="eastAsia" w:ascii="黑体" w:eastAsia="黑体"/>
          <w:b/>
          <w:sz w:val="28"/>
          <w:szCs w:val="28"/>
        </w:rPr>
        <w:t>发 布</w:t>
      </w:r>
    </w:p>
    <w:p>
      <w:pPr>
        <w:rPr>
          <w:rFonts w:eastAsia="黑体"/>
          <w:bCs/>
          <w:sz w:val="52"/>
        </w:rPr>
        <w:sectPr>
          <w:pgSz w:w="11906" w:h="16838"/>
          <w:pgMar w:top="1247" w:right="1418" w:bottom="1440" w:left="1418" w:header="851" w:footer="992" w:gutter="0"/>
          <w:pgNumType w:start="0"/>
          <w:cols w:space="425" w:num="1"/>
          <w:docGrid w:type="lines" w:linePitch="312" w:charSpace="0"/>
        </w:sectPr>
      </w:pPr>
      <w:r>
        <w:rPr>
          <w:rFonts w:hint="eastAsia" w:ascii="方正大标宋简体" w:eastAsia="方正大标宋简体"/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-396240</wp:posOffset>
                </wp:positionV>
                <wp:extent cx="5867400" cy="396240"/>
                <wp:effectExtent l="4445" t="5080" r="14605" b="17780"/>
                <wp:wrapNone/>
                <wp:docPr id="8" name="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15" o:spid="_x0000_s1026" o:spt="1" style="position:absolute;left:0pt;margin-left:-5.4pt;margin-top:-31.2pt;height:31.2pt;width:462pt;z-index:251665408;mso-width-relative:page;mso-height-relative:page;" fillcolor="#FFFFFF" filled="t" stroked="t" coordsize="21600,21600" o:gfxdata="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hzuq&#10;1gAAAAgBAAAPAAAAAAAAAAEAIAAAACIAAABkcnMvZG93bnJldi54bWxQSwECFAAUAAAACACHTuJA&#10;MbBpPuoBAADgAwAADgAAAAAAAAABACAAAAAlAQAAZHJzL2Uyb0RvYy54bWxQSwUGAAAAAAYABgBZ&#10;AQAAgQ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600" w:lineRule="auto"/>
        <w:rPr>
          <w:rFonts w:hint="eastAsia" w:eastAsia="黑体"/>
          <w:bCs/>
          <w:sz w:val="52"/>
        </w:rPr>
      </w:pPr>
    </w:p>
    <w:p>
      <w:pPr>
        <w:spacing w:before="156" w:beforeLines="50"/>
        <w:ind w:right="2215" w:rightChars="1055"/>
        <w:rPr>
          <w:rFonts w:hint="eastAsia" w:ascii="黑体"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198120</wp:posOffset>
                </wp:positionV>
                <wp:extent cx="1870710" cy="693420"/>
                <wp:effectExtent l="9525" t="9525" r="24765" b="20955"/>
                <wp:wrapNone/>
                <wp:docPr id="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71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JJF（新）×—20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×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01" o:spid="_x0000_s1026" o:spt="202" type="#_x0000_t202" style="position:absolute;left:0pt;margin-left:311.25pt;margin-top:15.6pt;height:54.6pt;width:147.3pt;z-index:251658240;mso-width-relative:page;mso-height-relative:page;" fillcolor="#FFFFFF" filled="t" stroked="t" coordsize="21600,21600" o:gfxdata="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nSxsPZAAAACgEAAA8AAAAAAAAAAQAgAAAAIgAAAGRycy9kb3du&#10;cmV2LnhtbFBLAQIUABQAAAAIAIdO4kD420g5/gEAAPoDAAAOAAAAAAAAAAEAIAAAACgBAABkcnMv&#10;ZTJvRG9jLnhtbFBLBQYAAAAABgAGAFkBAACYBQAAAAA=&#10;">
                <v:fill on="t" focussize="0,0"/>
                <v:stroke weight="1.5pt" color="#000000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JJF（新）×—20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b/>
          <w:sz w:val="44"/>
          <w:szCs w:val="44"/>
        </w:rPr>
        <w:t>氰化氢气体检测报警</w:t>
      </w:r>
      <w:r>
        <w:rPr>
          <w:rFonts w:hint="eastAsia" w:eastAsia="黑体"/>
          <w:b/>
          <w:sz w:val="44"/>
          <w:szCs w:val="44"/>
          <w:lang w:eastAsia="zh-CN"/>
        </w:rPr>
        <w:t>仪校</w:t>
      </w:r>
      <w:r>
        <w:rPr>
          <w:rFonts w:hint="eastAsia" w:ascii="黑体" w:eastAsia="黑体"/>
          <w:b/>
          <w:sz w:val="44"/>
          <w:szCs w:val="44"/>
        </w:rPr>
        <w:t>准规范</w:t>
      </w:r>
    </w:p>
    <w:p>
      <w:pPr>
        <w:spacing w:line="360" w:lineRule="auto"/>
        <w:rPr>
          <w:rFonts w:hint="eastAsia" w:eastAsia="黑体"/>
          <w:b/>
          <w:bCs/>
          <w:color w:val="000000"/>
          <w:sz w:val="28"/>
          <w:szCs w:val="28"/>
          <w:lang w:val="en-US" w:eastAsia="zh-CN"/>
        </w:rPr>
      </w:pPr>
      <w:r>
        <w:rPr>
          <w:b/>
          <w:sz w:val="28"/>
          <w:szCs w:val="28"/>
        </w:rPr>
        <w:t xml:space="preserve">Calibration Specification for </w:t>
      </w:r>
      <w:r>
        <w:rPr>
          <w:rFonts w:hint="eastAsia" w:eastAsia="黑体"/>
          <w:b/>
          <w:bCs/>
          <w:color w:val="000000"/>
          <w:sz w:val="28"/>
          <w:szCs w:val="28"/>
          <w:lang w:val="en-US" w:eastAsia="zh-CN"/>
        </w:rPr>
        <w:t>Hydrogen Cyanide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 xml:space="preserve"> Gas Detector</w:t>
      </w:r>
      <w:r>
        <w:rPr>
          <w:rFonts w:hint="eastAsia"/>
          <w:b/>
          <w:sz w:val="28"/>
          <w:szCs w:val="28"/>
        </w:rPr>
        <w:t>s</w:t>
      </w:r>
    </w:p>
    <w:p>
      <w:pPr>
        <w:spacing w:line="520" w:lineRule="exact"/>
        <w:rPr>
          <w:rFonts w:hint="eastAsia"/>
          <w:sz w:val="28"/>
          <w:u w:val="single"/>
        </w:rPr>
      </w:pPr>
      <w:r>
        <w:rPr>
          <w:rFonts w:hint="eastAsia" w:ascii="方正大标宋简体" w:eastAsia="方正大标宋简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5943600" cy="0"/>
                <wp:effectExtent l="0" t="0" r="0" b="0"/>
                <wp:wrapNone/>
                <wp:docPr id="6" name="直线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9" o:spid="_x0000_s1026" o:spt="20" style="position:absolute;left:0pt;margin-left:0pt;margin-top:16.8pt;height:0pt;width:468pt;z-index:251663360;mso-width-relative:page;mso-height-relative:page;" filled="f" stroked="t" coordsize="21600,21600" o:gfxdata="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+7KjHdMAAAAGAQAADwAAAAAAAAABACAAAAAiAAAAZHJz&#10;L2Rvd25yZXYueG1sUEsBAhQAFAAAAAgAh07iQHB/nZ3QAQAAjwMAAA4AAAAAAAAAAQAgAAAAIg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20" w:lineRule="exact"/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</w:p>
    <w:p>
      <w:pPr>
        <w:spacing w:line="400" w:lineRule="exact"/>
        <w:rPr>
          <w:rFonts w:hint="eastAsia"/>
          <w:sz w:val="28"/>
        </w:rPr>
      </w:pPr>
    </w:p>
    <w:p>
      <w:pPr>
        <w:spacing w:line="400" w:lineRule="exact"/>
        <w:rPr>
          <w:sz w:val="28"/>
        </w:rPr>
      </w:pPr>
    </w:p>
    <w:p>
      <w:pPr>
        <w:spacing w:line="400" w:lineRule="exact"/>
        <w:rPr>
          <w:rFonts w:hint="eastAsia"/>
          <w:sz w:val="28"/>
        </w:rPr>
      </w:pPr>
    </w:p>
    <w:p>
      <w:pPr>
        <w:spacing w:line="400" w:lineRule="exact"/>
        <w:rPr>
          <w:sz w:val="28"/>
        </w:rPr>
      </w:pPr>
    </w:p>
    <w:p>
      <w:pPr>
        <w:spacing w:line="400" w:lineRule="exact"/>
        <w:rPr>
          <w:sz w:val="28"/>
        </w:rPr>
      </w:pPr>
    </w:p>
    <w:p>
      <w:pPr>
        <w:spacing w:line="400" w:lineRule="exact"/>
        <w:rPr>
          <w:sz w:val="28"/>
        </w:rPr>
      </w:pPr>
    </w:p>
    <w:p>
      <w:pPr>
        <w:spacing w:line="520" w:lineRule="exact"/>
        <w:ind w:firstLine="1138" w:firstLineChars="405"/>
        <w:rPr>
          <w:rFonts w:eastAsia="黑体"/>
          <w:sz w:val="28"/>
        </w:rPr>
      </w:pPr>
      <w:r>
        <w:rPr>
          <w:rFonts w:eastAsia="黑体"/>
          <w:b/>
          <w:sz w:val="28"/>
          <w:szCs w:val="28"/>
        </w:rPr>
        <w:t>归 口 单 位</w:t>
      </w:r>
      <w:r>
        <w:rPr>
          <w:rFonts w:eastAsia="黑体"/>
          <w:b/>
          <w:sz w:val="28"/>
        </w:rPr>
        <w:t>：</w:t>
      </w:r>
      <w:r>
        <w:rPr>
          <w:sz w:val="28"/>
        </w:rPr>
        <w:t>新疆维吾尔自治区</w:t>
      </w:r>
      <w:r>
        <w:rPr>
          <w:rFonts w:hint="eastAsia"/>
          <w:sz w:val="28"/>
          <w:lang w:eastAsia="zh-CN"/>
        </w:rPr>
        <w:t>市场</w:t>
      </w:r>
      <w:r>
        <w:rPr>
          <w:sz w:val="28"/>
        </w:rPr>
        <w:t>监督</w:t>
      </w:r>
      <w:r>
        <w:rPr>
          <w:rFonts w:hint="eastAsia"/>
          <w:sz w:val="28"/>
          <w:lang w:eastAsia="zh-CN"/>
        </w:rPr>
        <w:t>管理</w:t>
      </w:r>
      <w:r>
        <w:rPr>
          <w:sz w:val="28"/>
        </w:rPr>
        <w:t>局</w:t>
      </w:r>
    </w:p>
    <w:p>
      <w:pPr>
        <w:spacing w:line="520" w:lineRule="exact"/>
        <w:ind w:firstLine="1138" w:firstLineChars="405"/>
        <w:rPr>
          <w:rFonts w:eastAsia="黑体"/>
          <w:sz w:val="28"/>
        </w:rPr>
      </w:pPr>
      <w:r>
        <w:rPr>
          <w:rFonts w:eastAsia="黑体"/>
          <w:b/>
          <w:sz w:val="28"/>
        </w:rPr>
        <w:t>起 草 单 位：</w:t>
      </w:r>
      <w:r>
        <w:rPr>
          <w:sz w:val="28"/>
        </w:rPr>
        <w:t>新疆维吾尔自治区计量</w:t>
      </w:r>
      <w:r>
        <w:rPr>
          <w:rFonts w:hint="eastAsia"/>
          <w:sz w:val="28"/>
        </w:rPr>
        <w:t>测试</w:t>
      </w:r>
      <w:r>
        <w:rPr>
          <w:sz w:val="28"/>
        </w:rPr>
        <w:t>研究院</w:t>
      </w:r>
    </w:p>
    <w:p>
      <w:pPr>
        <w:rPr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rPr>
          <w:sz w:val="32"/>
        </w:rPr>
      </w:pPr>
    </w:p>
    <w:p>
      <w:pPr>
        <w:rPr>
          <w:rFonts w:hint="eastAsia"/>
          <w:sz w:val="32"/>
        </w:rPr>
      </w:pPr>
    </w:p>
    <w:p>
      <w:pPr>
        <w:rPr>
          <w:rFonts w:hint="eastAsia"/>
          <w:sz w:val="32"/>
        </w:rPr>
      </w:pPr>
    </w:p>
    <w:p>
      <w:pPr>
        <w:ind w:firstLine="840" w:firstLineChars="300"/>
        <w:rPr>
          <w:sz w:val="28"/>
          <w:szCs w:val="28"/>
        </w:rPr>
      </w:pPr>
      <w:r>
        <w:rPr>
          <w:sz w:val="28"/>
          <w:szCs w:val="28"/>
        </w:rPr>
        <w:t>本规范委托新疆维吾尔自治区</w:t>
      </w:r>
      <w:r>
        <w:rPr>
          <w:rFonts w:hint="eastAsia"/>
          <w:sz w:val="28"/>
          <w:szCs w:val="28"/>
          <w:lang w:eastAsia="zh-CN"/>
        </w:rPr>
        <w:t>市场</w:t>
      </w:r>
      <w:r>
        <w:rPr>
          <w:sz w:val="28"/>
          <w:szCs w:val="28"/>
        </w:rPr>
        <w:t>监督</w:t>
      </w:r>
      <w:r>
        <w:rPr>
          <w:rFonts w:hint="eastAsia"/>
          <w:sz w:val="28"/>
          <w:szCs w:val="28"/>
          <w:lang w:eastAsia="zh-CN"/>
        </w:rPr>
        <w:t>管理</w:t>
      </w:r>
      <w:r>
        <w:rPr>
          <w:sz w:val="28"/>
          <w:szCs w:val="28"/>
        </w:rPr>
        <w:t>局负责解释</w:t>
      </w:r>
    </w:p>
    <w:p>
      <w:pPr>
        <w:jc w:val="center"/>
        <w:rPr>
          <w:rFonts w:eastAsia="黑体"/>
          <w:b/>
          <w:bCs/>
          <w:sz w:val="24"/>
          <w:szCs w:val="28"/>
        </w:rPr>
      </w:pPr>
    </w:p>
    <w:p>
      <w:pPr>
        <w:jc w:val="center"/>
        <w:rPr>
          <w:rFonts w:eastAsia="黑体"/>
          <w:b/>
          <w:bCs/>
          <w:sz w:val="24"/>
          <w:szCs w:val="28"/>
        </w:rPr>
      </w:pPr>
    </w:p>
    <w:p>
      <w:pPr>
        <w:jc w:val="center"/>
        <w:rPr>
          <w:rFonts w:eastAsia="黑体"/>
          <w:b/>
          <w:bCs/>
          <w:sz w:val="24"/>
          <w:szCs w:val="28"/>
        </w:rPr>
      </w:pPr>
    </w:p>
    <w:p>
      <w:pPr>
        <w:spacing w:line="400" w:lineRule="exact"/>
        <w:rPr>
          <w:rFonts w:eastAsia="黑体"/>
          <w:sz w:val="28"/>
        </w:rPr>
      </w:pPr>
    </w:p>
    <w:p>
      <w:pPr>
        <w:spacing w:line="400" w:lineRule="exact"/>
        <w:rPr>
          <w:rFonts w:hint="eastAsia" w:ascii="方正黑体简体" w:eastAsia="方正黑体简体"/>
          <w:b/>
          <w:sz w:val="28"/>
        </w:rPr>
      </w:pPr>
    </w:p>
    <w:p>
      <w:pPr>
        <w:spacing w:line="400" w:lineRule="exact"/>
        <w:rPr>
          <w:rFonts w:hint="eastAsia" w:ascii="方正黑体简体" w:eastAsia="方正黑体简体"/>
          <w:b/>
          <w:sz w:val="28"/>
        </w:rPr>
      </w:pPr>
    </w:p>
    <w:p>
      <w:pPr>
        <w:spacing w:line="400" w:lineRule="exact"/>
        <w:rPr>
          <w:rFonts w:hint="eastAsia" w:ascii="方正黑体简体" w:eastAsia="方正黑体简体"/>
          <w:b/>
          <w:sz w:val="28"/>
        </w:rPr>
      </w:pPr>
    </w:p>
    <w:p>
      <w:pPr>
        <w:spacing w:line="400" w:lineRule="exact"/>
        <w:rPr>
          <w:rFonts w:hint="eastAsia" w:ascii="方正黑体简体" w:eastAsia="方正黑体简体"/>
          <w:b/>
          <w:sz w:val="28"/>
        </w:rPr>
      </w:pPr>
    </w:p>
    <w:p>
      <w:pPr>
        <w:spacing w:line="360" w:lineRule="auto"/>
        <w:rPr>
          <w:rFonts w:hint="eastAsia"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  <w:szCs w:val="28"/>
        </w:rPr>
        <w:t>本规范主要起草人</w:t>
      </w:r>
      <w:r>
        <w:rPr>
          <w:rFonts w:hint="eastAsia" w:ascii="黑体" w:hAnsi="宋体" w:eastAsia="黑体"/>
          <w:b/>
          <w:sz w:val="28"/>
        </w:rPr>
        <w:t xml:space="preserve">：             </w:t>
      </w:r>
    </w:p>
    <w:p>
      <w:pPr>
        <w:spacing w:line="360" w:lineRule="auto"/>
        <w:ind w:firstLine="16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常新春 (新疆维吾尔自治区计量测试研究院)</w:t>
      </w:r>
    </w:p>
    <w:p>
      <w:pPr>
        <w:tabs>
          <w:tab w:val="left" w:pos="2100"/>
          <w:tab w:val="left" w:pos="2415"/>
        </w:tabs>
        <w:spacing w:line="360" w:lineRule="auto"/>
        <w:rPr>
          <w:rFonts w:hint="eastAsia"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参加起草人：</w:t>
      </w:r>
      <w:r>
        <w:rPr>
          <w:rFonts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30"/>
        </w:rPr>
        <w:t xml:space="preserve">           </w:t>
      </w:r>
      <w:r>
        <w:rPr>
          <w:rFonts w:hint="eastAsia" w:ascii="宋体" w:hAnsi="宋体"/>
          <w:sz w:val="28"/>
          <w:szCs w:val="28"/>
        </w:rPr>
        <w:t>王锦荣 (新疆维吾尔自治区计量测试研究院)</w:t>
      </w:r>
    </w:p>
    <w:p>
      <w:pPr>
        <w:rPr>
          <w:rFonts w:hint="eastAsia"/>
          <w:b/>
          <w:sz w:val="28"/>
        </w:rPr>
        <w:sectPr>
          <w:pgSz w:w="11906" w:h="16838"/>
          <w:pgMar w:top="1247" w:right="1418" w:bottom="1440" w:left="1418" w:header="851" w:footer="992" w:gutter="0"/>
          <w:pgNumType w:start="0"/>
          <w:cols w:space="425" w:num="1"/>
          <w:docGrid w:type="lines" w:linePitch="312" w:charSpace="0"/>
        </w:sectPr>
      </w:pPr>
      <w:r>
        <w:rPr>
          <w:rFonts w:eastAsia="黑体"/>
          <w:bCs/>
          <w:sz w:val="24"/>
          <w:szCs w:val="28"/>
        </w:rPr>
        <w:t xml:space="preserve">         </w:t>
      </w:r>
    </w:p>
    <w:p>
      <w:pPr>
        <w:pStyle w:val="30"/>
        <w:jc w:val="center"/>
        <w:rPr>
          <w:rFonts w:hint="eastAsia" w:ascii="黑体" w:hAnsi="黑体" w:eastAsia="黑体"/>
          <w:b/>
          <w:color w:val="auto"/>
          <w:sz w:val="44"/>
          <w:szCs w:val="44"/>
          <w:lang w:val="zh-CN" w:eastAsia="zh-CN"/>
        </w:rPr>
      </w:pPr>
    </w:p>
    <w:p>
      <w:pPr>
        <w:pStyle w:val="30"/>
        <w:jc w:val="center"/>
        <w:rPr>
          <w:rFonts w:ascii="黑体" w:hAnsi="黑体" w:eastAsia="黑体"/>
          <w:b/>
          <w:color w:val="auto"/>
          <w:sz w:val="44"/>
          <w:szCs w:val="44"/>
          <w:lang w:val="zh-CN"/>
        </w:rPr>
      </w:pPr>
      <w:r>
        <w:rPr>
          <w:rFonts w:ascii="黑体" w:hAnsi="黑体" w:eastAsia="黑体"/>
          <w:b/>
          <w:color w:val="auto"/>
          <w:sz w:val="44"/>
          <w:szCs w:val="44"/>
          <w:lang w:val="zh-CN"/>
        </w:rPr>
        <w:t>目</w:t>
      </w:r>
      <w:r>
        <w:rPr>
          <w:rFonts w:hint="eastAsia" w:ascii="黑体" w:hAnsi="黑体" w:eastAsia="黑体"/>
          <w:b/>
          <w:color w:val="auto"/>
          <w:sz w:val="44"/>
          <w:szCs w:val="44"/>
          <w:lang w:val="zh-CN"/>
        </w:rPr>
        <w:t xml:space="preserve"> </w:t>
      </w:r>
      <w:r>
        <w:rPr>
          <w:rFonts w:ascii="黑体" w:hAnsi="黑体" w:eastAsia="黑体"/>
          <w:b/>
          <w:color w:val="auto"/>
          <w:sz w:val="44"/>
          <w:szCs w:val="44"/>
          <w:lang w:val="zh-CN"/>
        </w:rPr>
        <w:t xml:space="preserve">  录</w:t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TOC \o "1-3" \h \z \u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"_Toc524974708"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 w:ascii="宋体" w:hAnsi="宋体"/>
          <w:sz w:val="24"/>
          <w:szCs w:val="24"/>
        </w:rPr>
        <w:t>引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言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_Toc524974708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II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"_Toc524974709"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1  </w:t>
      </w:r>
      <w:r>
        <w:rPr>
          <w:rFonts w:hint="eastAsia" w:ascii="宋体" w:hAnsi="宋体"/>
          <w:sz w:val="24"/>
          <w:szCs w:val="24"/>
        </w:rPr>
        <w:t>范围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_Toc524974709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"_Toc524974710"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2  </w:t>
      </w:r>
      <w:r>
        <w:rPr>
          <w:rFonts w:hint="eastAsia" w:ascii="宋体" w:hAnsi="宋体"/>
          <w:sz w:val="24"/>
          <w:szCs w:val="24"/>
        </w:rPr>
        <w:t>引用文件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_Toc524974710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"_Toc524974711"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3  </w:t>
      </w:r>
      <w:r>
        <w:rPr>
          <w:rFonts w:hint="eastAsia" w:ascii="宋体" w:hAnsi="宋体"/>
          <w:sz w:val="24"/>
          <w:szCs w:val="24"/>
        </w:rPr>
        <w:t>概述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_Toc524974711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"_Toc524974712"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  </w:t>
      </w:r>
      <w:r>
        <w:rPr>
          <w:rFonts w:hint="eastAsia" w:ascii="宋体" w:hAnsi="宋体"/>
          <w:sz w:val="24"/>
          <w:szCs w:val="24"/>
        </w:rPr>
        <w:t>计量特性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_Toc524974712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"_Toc524974713"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4.1 </w:t>
      </w:r>
      <w:r>
        <w:rPr>
          <w:rFonts w:hint="eastAsia" w:ascii="宋体" w:hAnsi="宋体"/>
          <w:sz w:val="24"/>
          <w:szCs w:val="24"/>
        </w:rPr>
        <w:t>示值误差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_Toc524974713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"_Toc524974714"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4.2 </w:t>
      </w:r>
      <w:r>
        <w:rPr>
          <w:rFonts w:hint="eastAsia" w:ascii="宋体" w:hAnsi="宋体"/>
          <w:sz w:val="24"/>
          <w:szCs w:val="24"/>
        </w:rPr>
        <w:t>重复性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_Toc524974714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"_Toc524974715"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4.3 </w:t>
      </w:r>
      <w:r>
        <w:rPr>
          <w:rFonts w:hint="eastAsia" w:ascii="宋体" w:hAnsi="宋体"/>
          <w:sz w:val="24"/>
          <w:szCs w:val="24"/>
        </w:rPr>
        <w:t>响应时间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_Toc524974715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"_Toc524974716"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4.4 </w:t>
      </w:r>
      <w:r>
        <w:rPr>
          <w:rFonts w:hint="eastAsia" w:ascii="宋体" w:hAnsi="宋体"/>
          <w:sz w:val="24"/>
          <w:szCs w:val="24"/>
        </w:rPr>
        <w:t>零点漂移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_Toc524974716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"_Toc524974717"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4.5 </w:t>
      </w:r>
      <w:r>
        <w:rPr>
          <w:rFonts w:hint="eastAsia" w:ascii="宋体" w:hAnsi="宋体"/>
          <w:sz w:val="24"/>
          <w:szCs w:val="24"/>
        </w:rPr>
        <w:t>示值漂移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_Toc524974717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"_Toc524974718"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4.6 </w:t>
      </w:r>
      <w:r>
        <w:rPr>
          <w:rFonts w:hint="eastAsia" w:ascii="宋体" w:hAnsi="宋体"/>
          <w:sz w:val="24"/>
          <w:szCs w:val="24"/>
        </w:rPr>
        <w:t>报警功能检查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_Toc524974718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"_Toc524974719"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5 </w:t>
      </w:r>
      <w:r>
        <w:rPr>
          <w:rFonts w:hint="eastAsia" w:ascii="宋体" w:hAnsi="宋体"/>
          <w:sz w:val="24"/>
          <w:szCs w:val="24"/>
        </w:rPr>
        <w:t>校准条件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_Toc524974719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"_Toc524974720"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5.1</w:t>
      </w:r>
      <w:r>
        <w:rPr>
          <w:rFonts w:hint="eastAsia" w:ascii="宋体" w:hAnsi="宋体"/>
          <w:sz w:val="24"/>
          <w:szCs w:val="24"/>
        </w:rPr>
        <w:t>环境条件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_Toc524974720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"_Toc524974721"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5.2 </w:t>
      </w:r>
      <w:r>
        <w:rPr>
          <w:rFonts w:hint="eastAsia" w:ascii="宋体" w:hAnsi="宋体"/>
          <w:sz w:val="24"/>
          <w:szCs w:val="24"/>
        </w:rPr>
        <w:t>校准用计量器具及配套设备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_Toc524974721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"_Toc524974722"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 </w:t>
      </w:r>
      <w:r>
        <w:rPr>
          <w:rFonts w:hint="eastAsia" w:ascii="宋体" w:hAnsi="宋体"/>
          <w:sz w:val="24"/>
          <w:szCs w:val="24"/>
        </w:rPr>
        <w:t>校准项目和校准方法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_Toc524974722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"_Toc524974723"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6.1 </w:t>
      </w:r>
      <w:r>
        <w:rPr>
          <w:rFonts w:hint="eastAsia" w:ascii="宋体" w:hAnsi="宋体"/>
          <w:sz w:val="24"/>
          <w:szCs w:val="24"/>
        </w:rPr>
        <w:t>外观及通电检查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_Toc524974723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"_Toc524974724"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6.2  </w:t>
      </w:r>
      <w:r>
        <w:rPr>
          <w:rFonts w:hint="eastAsia" w:ascii="宋体" w:hAnsi="宋体"/>
          <w:sz w:val="24"/>
          <w:szCs w:val="24"/>
        </w:rPr>
        <w:t>报警功能检查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_Toc524974724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"_Toc524974725"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6.3  </w:t>
      </w:r>
      <w:r>
        <w:rPr>
          <w:rFonts w:hint="eastAsia" w:ascii="宋体" w:hAnsi="宋体"/>
          <w:sz w:val="24"/>
          <w:szCs w:val="24"/>
        </w:rPr>
        <w:t>检测仪调整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_Toc524974725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"_Toc524974726"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6.4  </w:t>
      </w:r>
      <w:r>
        <w:rPr>
          <w:rFonts w:hint="eastAsia" w:ascii="宋体" w:hAnsi="宋体"/>
          <w:sz w:val="24"/>
          <w:szCs w:val="24"/>
        </w:rPr>
        <w:t>示值误差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_Toc524974726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"_Toc524974727"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6.5  </w:t>
      </w:r>
      <w:r>
        <w:rPr>
          <w:rFonts w:hint="eastAsia" w:ascii="宋体" w:hAnsi="宋体"/>
          <w:sz w:val="24"/>
          <w:szCs w:val="24"/>
        </w:rPr>
        <w:t>重复性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_Toc524974727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"_Toc524974728"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6.6  </w:t>
      </w:r>
      <w:r>
        <w:rPr>
          <w:rFonts w:hint="eastAsia" w:ascii="宋体" w:hAnsi="宋体"/>
          <w:sz w:val="24"/>
          <w:szCs w:val="24"/>
        </w:rPr>
        <w:t>响应时间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_Toc524974728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"_Toc524974729"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6.7  </w:t>
      </w:r>
      <w:r>
        <w:rPr>
          <w:rFonts w:hint="eastAsia" w:ascii="宋体" w:hAnsi="宋体"/>
          <w:sz w:val="24"/>
          <w:szCs w:val="24"/>
        </w:rPr>
        <w:t>漂移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_Toc524974729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"_Toc524974730"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/>
          <w:sz w:val="24"/>
          <w:szCs w:val="24"/>
        </w:rPr>
        <w:t xml:space="preserve">7  </w:t>
      </w:r>
      <w:r>
        <w:rPr>
          <w:rFonts w:hint="eastAsia" w:ascii="宋体" w:hAnsi="宋体"/>
          <w:sz w:val="24"/>
          <w:szCs w:val="24"/>
        </w:rPr>
        <w:t>校准结果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_Toc524974730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"_Toc524974731"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7.1 </w:t>
      </w:r>
      <w:r>
        <w:rPr>
          <w:rFonts w:hint="eastAsia" w:ascii="宋体" w:hAnsi="宋体"/>
          <w:sz w:val="24"/>
          <w:szCs w:val="24"/>
        </w:rPr>
        <w:t>校准记录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_Toc524974731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"_Toc524974732"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7.2 </w:t>
      </w:r>
      <w:r>
        <w:rPr>
          <w:rFonts w:hint="eastAsia" w:ascii="宋体" w:hAnsi="宋体"/>
          <w:sz w:val="24"/>
          <w:szCs w:val="24"/>
        </w:rPr>
        <w:t>校准证书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_Toc524974732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HYPERLINK \l "_Toc524974733"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 xml:space="preserve">8  </w:t>
      </w:r>
      <w:r>
        <w:rPr>
          <w:rFonts w:hint="eastAsia" w:ascii="宋体" w:hAnsi="宋体"/>
          <w:sz w:val="24"/>
          <w:szCs w:val="24"/>
        </w:rPr>
        <w:t>复校时间间隔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PAGEREF _Toc524974733 \h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"_Toc524974734"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 xml:space="preserve">附录A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氰化氢气体检测报警仪</w:t>
      </w:r>
      <w:r>
        <w:rPr>
          <w:rFonts w:hint="eastAsia" w:ascii="宋体" w:hAnsi="宋体" w:eastAsia="宋体" w:cs="宋体"/>
          <w:sz w:val="24"/>
          <w:szCs w:val="24"/>
        </w:rPr>
        <w:t>原始记录格式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_Toc524974734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"_Toc524974735"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附录B  校准证书的内容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_Toc524974735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  <w:rPr>
          <w:rFonts w:hint="eastAsia" w:ascii="黑体" w:hAnsi="宋体" w:eastAsia="黑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"_Toc524974736"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 xml:space="preserve">附录C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氰化氢气体检测报警仪</w:t>
      </w:r>
      <w:r>
        <w:rPr>
          <w:rFonts w:hint="eastAsia" w:ascii="宋体" w:hAnsi="宋体" w:eastAsia="宋体" w:cs="宋体"/>
          <w:sz w:val="24"/>
          <w:szCs w:val="24"/>
        </w:rPr>
        <w:t>示值误差测量不确定度评定示例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_Toc524974736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13"/>
        <w:tabs>
          <w:tab w:val="right" w:leader="dot" w:pos="8295"/>
          <w:tab w:val="clear" w:pos="8302"/>
        </w:tabs>
        <w:spacing w:line="240" w:lineRule="auto"/>
      </w:pPr>
      <w:r>
        <w:rPr>
          <w:rFonts w:ascii="宋体" w:hAnsi="宋体"/>
          <w:sz w:val="24"/>
          <w:szCs w:val="24"/>
        </w:rPr>
        <w:fldChar w:fldCharType="end"/>
      </w:r>
    </w:p>
    <w:p/>
    <w:p/>
    <w:p>
      <w:pPr>
        <w:spacing w:line="360" w:lineRule="auto"/>
        <w:rPr>
          <w:bCs/>
          <w:sz w:val="24"/>
        </w:rPr>
        <w:sectPr>
          <w:headerReference r:id="rId7" w:type="default"/>
          <w:footerReference r:id="rId8" w:type="default"/>
          <w:pgSz w:w="11906" w:h="16838"/>
          <w:pgMar w:top="1247" w:right="1134" w:bottom="1440" w:left="1848" w:header="851" w:footer="992" w:gutter="0"/>
          <w:pgNumType w:fmt="upperRoman" w:start="1"/>
          <w:cols w:space="425" w:num="1"/>
          <w:docGrid w:type="lines" w:linePitch="312" w:charSpace="0"/>
        </w:sectPr>
      </w:pPr>
      <w:r>
        <w:rPr>
          <w:bCs/>
          <w:sz w:val="24"/>
        </w:rPr>
        <w:br w:type="page"/>
      </w:r>
    </w:p>
    <w:p>
      <w:pPr>
        <w:pStyle w:val="2"/>
        <w:rPr>
          <w:rFonts w:hint="eastAsia" w:ascii="Times New Roman"/>
          <w:kern w:val="44"/>
          <w:szCs w:val="44"/>
        </w:rPr>
      </w:pPr>
      <w:bookmarkStart w:id="0" w:name="_Toc524431416"/>
      <w:bookmarkStart w:id="1" w:name="_Toc524431801"/>
      <w:bookmarkStart w:id="2" w:name="_Toc524431470"/>
      <w:bookmarkStart w:id="3" w:name="_Toc524974708"/>
      <w:bookmarkStart w:id="4" w:name="_Toc524432023"/>
      <w:bookmarkStart w:id="5" w:name="_Toc524429692"/>
      <w:r>
        <w:t>引  言</w:t>
      </w:r>
      <w:bookmarkEnd w:id="0"/>
      <w:bookmarkEnd w:id="1"/>
      <w:bookmarkEnd w:id="2"/>
      <w:bookmarkEnd w:id="3"/>
      <w:bookmarkEnd w:id="4"/>
      <w:bookmarkEnd w:id="5"/>
    </w:p>
    <w:p>
      <w:pPr>
        <w:jc w:val="center"/>
        <w:rPr>
          <w:rFonts w:hint="eastAsia" w:eastAsia="黑体"/>
          <w:b/>
          <w:bCs/>
          <w:sz w:val="36"/>
          <w:szCs w:val="36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本规范以JJF1071—2010《国家计量校准规范编写规则》、JJF1001—2011《通用计量术语及定义》、XJL/QCBZ09-2013《校准规范/方法编写规则》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JJF1059.1—2012《测量不确定度评定与表示》和GB50493</w:t>
      </w:r>
      <w:r>
        <w:rPr>
          <w:rFonts w:hint="eastAsia" w:ascii="宋体" w:hAnsi="宋体"/>
          <w:sz w:val="24"/>
          <w:lang w:val="en-US" w:eastAsia="zh-CN"/>
        </w:rPr>
        <w:t>-2019</w:t>
      </w:r>
      <w:r>
        <w:rPr>
          <w:rFonts w:hint="eastAsia" w:ascii="宋体" w:hAnsi="宋体"/>
          <w:sz w:val="24"/>
          <w:lang w:eastAsia="zh-CN"/>
        </w:rPr>
        <w:t>《</w:t>
      </w:r>
      <w:r>
        <w:rPr>
          <w:rFonts w:hint="eastAsia" w:ascii="宋体" w:hAnsi="宋体"/>
          <w:sz w:val="24"/>
        </w:rPr>
        <w:t>石油化工可燃气体和有毒气体检测报警设计规范</w:t>
      </w:r>
      <w:r>
        <w:rPr>
          <w:rFonts w:hint="eastAsia" w:ascii="宋体" w:hAnsi="宋体"/>
          <w:sz w:val="24"/>
          <w:lang w:eastAsia="zh-CN"/>
        </w:rPr>
        <w:t>》</w:t>
      </w:r>
      <w:r>
        <w:rPr>
          <w:rFonts w:hint="eastAsia" w:ascii="宋体" w:hAnsi="宋体"/>
          <w:sz w:val="24"/>
        </w:rPr>
        <w:t>为主要编写依据。</w:t>
      </w:r>
    </w:p>
    <w:p>
      <w:pPr>
        <w:spacing w:line="360" w:lineRule="auto"/>
        <w:rPr>
          <w:rFonts w:hint="eastAsia" w:ascii="宋体" w:hAnsi="宋体"/>
          <w:bCs/>
          <w:sz w:val="24"/>
        </w:rPr>
        <w:sectPr>
          <w:footerReference r:id="rId10" w:type="first"/>
          <w:footerReference r:id="rId9" w:type="default"/>
          <w:type w:val="continuous"/>
          <w:pgSz w:w="11906" w:h="16838"/>
          <w:pgMar w:top="1440" w:right="1797" w:bottom="1440" w:left="1797" w:header="851" w:footer="992" w:gutter="0"/>
          <w:pgNumType w:fmt="upperRoman" w:start="2"/>
          <w:cols w:space="720" w:num="1"/>
          <w:titlePg/>
          <w:docGrid w:type="lines" w:linePitch="312" w:charSpace="0"/>
        </w:sectPr>
      </w:pP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>本规范为首次制定。</w:t>
      </w:r>
    </w:p>
    <w:p>
      <w:pPr>
        <w:spacing w:line="360" w:lineRule="auto"/>
        <w:ind w:firstLine="643" w:firstLineChars="200"/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jc w:val="center"/>
        <w:rPr>
          <w:rFonts w:hint="eastAsia" w:ascii="黑体" w:eastAsia="黑体"/>
          <w:b/>
          <w:sz w:val="32"/>
          <w:szCs w:val="32"/>
        </w:rPr>
      </w:pPr>
      <w:bookmarkStart w:id="6" w:name="_Toc410905140"/>
      <w:bookmarkStart w:id="7" w:name="_Toc498939719"/>
      <w:bookmarkStart w:id="8" w:name="_Toc325970854"/>
      <w:r>
        <w:rPr>
          <w:rFonts w:hint="eastAsia" w:ascii="黑体" w:eastAsia="黑体"/>
          <w:b/>
          <w:sz w:val="32"/>
          <w:szCs w:val="32"/>
          <w:lang w:eastAsia="zh-CN"/>
        </w:rPr>
        <w:t>氰化氢</w:t>
      </w:r>
      <w:r>
        <w:rPr>
          <w:rFonts w:hint="eastAsia" w:ascii="黑体" w:eastAsia="黑体"/>
          <w:b/>
          <w:sz w:val="32"/>
          <w:szCs w:val="32"/>
        </w:rPr>
        <w:t>气体检测</w:t>
      </w:r>
      <w:r>
        <w:rPr>
          <w:rFonts w:hint="eastAsia" w:ascii="黑体" w:eastAsia="黑体"/>
          <w:b/>
          <w:sz w:val="32"/>
          <w:szCs w:val="32"/>
          <w:lang w:eastAsia="zh-CN"/>
        </w:rPr>
        <w:t>报警仪</w:t>
      </w:r>
      <w:r>
        <w:rPr>
          <w:rFonts w:hint="eastAsia" w:ascii="黑体" w:eastAsia="黑体"/>
          <w:b/>
          <w:sz w:val="32"/>
          <w:szCs w:val="32"/>
        </w:rPr>
        <w:t>校准规范</w:t>
      </w:r>
    </w:p>
    <w:p>
      <w:pPr>
        <w:keepNext/>
        <w:keepLines/>
        <w:spacing w:before="260" w:after="260" w:line="416" w:lineRule="auto"/>
        <w:outlineLvl w:val="1"/>
        <w:rPr>
          <w:rFonts w:hint="eastAsia" w:ascii="黑体" w:hAnsi="Arial" w:eastAsia="黑体"/>
          <w:bCs/>
          <w:sz w:val="24"/>
        </w:rPr>
      </w:pPr>
      <w:bookmarkStart w:id="9" w:name="_Toc524196733"/>
      <w:bookmarkStart w:id="10" w:name="_Toc524974709"/>
      <w:r>
        <w:rPr>
          <w:rFonts w:hint="eastAsia" w:ascii="黑体" w:hAnsi="Arial" w:eastAsia="黑体"/>
          <w:bCs/>
          <w:sz w:val="24"/>
        </w:rPr>
        <w:t>1  范围</w:t>
      </w:r>
      <w:bookmarkEnd w:id="9"/>
      <w:bookmarkEnd w:id="10"/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/>
          <w:sz w:val="24"/>
        </w:rPr>
        <w:t>本规范适用于</w:t>
      </w:r>
      <w:r>
        <w:rPr>
          <w:rFonts w:hint="eastAsia" w:ascii="宋体" w:hAnsi="宋体"/>
          <w:sz w:val="24"/>
          <w:lang w:eastAsia="zh-CN"/>
        </w:rPr>
        <w:t>氰化氢气体检测报警仪（以下简称仪器）</w:t>
      </w:r>
      <w:r>
        <w:rPr>
          <w:rFonts w:hint="eastAsia" w:ascii="宋体" w:hAnsi="宋体"/>
          <w:sz w:val="24"/>
        </w:rPr>
        <w:t>的校准</w:t>
      </w:r>
      <w:r>
        <w:rPr>
          <w:rFonts w:hint="eastAsia" w:ascii="宋体" w:hAnsi="宋体"/>
          <w:sz w:val="24"/>
          <w:lang w:eastAsia="zh-CN"/>
        </w:rPr>
        <w:t>，其他用于检测空气中氰化氢的仪器可参照本规范进行校准</w:t>
      </w:r>
      <w:r>
        <w:rPr>
          <w:rFonts w:hint="eastAsia" w:ascii="宋体" w:hAnsi="宋体"/>
          <w:sz w:val="24"/>
        </w:rPr>
        <w:t>。</w:t>
      </w:r>
    </w:p>
    <w:p>
      <w:pPr>
        <w:keepNext/>
        <w:keepLines/>
        <w:spacing w:before="260" w:after="260" w:line="416" w:lineRule="auto"/>
        <w:outlineLvl w:val="1"/>
        <w:rPr>
          <w:rFonts w:hint="eastAsia" w:ascii="黑体" w:hAnsi="Arial" w:eastAsia="黑体"/>
          <w:bCs/>
          <w:sz w:val="24"/>
        </w:rPr>
      </w:pPr>
      <w:bookmarkStart w:id="11" w:name="_Toc524196734"/>
      <w:bookmarkStart w:id="12" w:name="_Toc524974710"/>
      <w:r>
        <w:rPr>
          <w:rFonts w:hint="eastAsia" w:ascii="黑体" w:hAnsi="黑体" w:eastAsia="黑体" w:cs="黑体"/>
          <w:bCs/>
          <w:kern w:val="0"/>
          <w:sz w:val="24"/>
        </w:rPr>
        <w:t xml:space="preserve">2  </w:t>
      </w:r>
      <w:r>
        <w:rPr>
          <w:rFonts w:hint="eastAsia" w:ascii="黑体" w:hAnsi="Arial" w:eastAsia="黑体"/>
          <w:bCs/>
          <w:sz w:val="24"/>
        </w:rPr>
        <w:t>引用文件</w:t>
      </w:r>
      <w:bookmarkEnd w:id="11"/>
      <w:bookmarkEnd w:id="12"/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JJG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</w:rPr>
        <w:t>695-2019</w:t>
      </w:r>
      <w:r>
        <w:rPr>
          <w:rFonts w:hint="eastAsia"/>
          <w:bCs/>
          <w:sz w:val="24"/>
          <w:lang w:val="en-US" w:eastAsia="zh-CN"/>
        </w:rPr>
        <w:t xml:space="preserve">  </w:t>
      </w:r>
      <w:r>
        <w:rPr>
          <w:rFonts w:hint="eastAsia"/>
          <w:bCs/>
          <w:sz w:val="24"/>
        </w:rPr>
        <w:t>硫化氢气体检测仪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JJF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</w:rPr>
        <w:t>1433-2013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</w:rPr>
        <w:t>氯气检测报警仪校准规范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GB 12358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Cs/>
          <w:sz w:val="24"/>
        </w:rPr>
        <w:t>作业场所环境气体检测报警仪 通用技术要求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/>
          <w:sz w:val="24"/>
        </w:rPr>
        <w:t>凡是注日期的引用文件，仅注日期的版本适用于本规范；凡是不注日期的引用文件，其最新版本（包括所有的修改单）适用于本规范。</w:t>
      </w:r>
    </w:p>
    <w:p>
      <w:pPr>
        <w:keepNext/>
        <w:keepLines/>
        <w:spacing w:before="260" w:after="260" w:line="416" w:lineRule="auto"/>
        <w:outlineLvl w:val="1"/>
        <w:rPr>
          <w:rFonts w:hint="eastAsia" w:ascii="黑体" w:hAnsi="Arial" w:eastAsia="黑体"/>
          <w:bCs/>
          <w:kern w:val="0"/>
          <w:sz w:val="24"/>
        </w:rPr>
      </w:pPr>
      <w:bookmarkStart w:id="13" w:name="_Toc524974711"/>
      <w:bookmarkStart w:id="14" w:name="_Toc524196735"/>
      <w:r>
        <w:rPr>
          <w:rFonts w:hint="eastAsia" w:ascii="黑体" w:hAnsi="Arial" w:eastAsia="黑体"/>
          <w:bCs/>
          <w:kern w:val="0"/>
          <w:sz w:val="24"/>
        </w:rPr>
        <w:t>3  概述</w:t>
      </w:r>
      <w:bookmarkEnd w:id="13"/>
      <w:bookmarkEnd w:id="14"/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hint="eastAsia" w:ascii="宋体" w:hAnsi="宋体" w:eastAsia="宋体" w:cs="黑体"/>
          <w:kern w:val="0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传感器检测原理主要有</w:t>
      </w:r>
      <w:r>
        <w:rPr>
          <w:rFonts w:hint="eastAsia" w:ascii="宋体" w:hAnsi="宋体"/>
          <w:sz w:val="24"/>
          <w:lang w:eastAsia="zh-CN"/>
        </w:rPr>
        <w:t>隔膜电极型、定电位电解型</w:t>
      </w:r>
      <w:r>
        <w:rPr>
          <w:rFonts w:hint="eastAsia" w:ascii="宋体" w:hAnsi="宋体"/>
          <w:sz w:val="24"/>
        </w:rPr>
        <w:t>等。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ascii="宋体" w:hAnsi="宋体" w:cs="黑体"/>
          <w:kern w:val="0"/>
          <w:sz w:val="24"/>
        </w:rPr>
      </w:pP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按使用方式可以分为固定式和便携式，按采样方式分为扩散式和吸入式。</w:t>
      </w: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主要是由检测元件、放大电路、警报器、指示器等部件组成。</w:t>
      </w:r>
    </w:p>
    <w:p>
      <w:pPr>
        <w:keepNext/>
        <w:keepLines/>
        <w:spacing w:before="260" w:after="260" w:line="416" w:lineRule="auto"/>
        <w:outlineLvl w:val="1"/>
        <w:rPr>
          <w:rFonts w:hint="eastAsia" w:ascii="黑体" w:hAnsi="Arial" w:eastAsia="黑体"/>
          <w:bCs/>
          <w:kern w:val="0"/>
          <w:sz w:val="24"/>
        </w:rPr>
      </w:pPr>
      <w:bookmarkStart w:id="15" w:name="_Toc524974712"/>
      <w:bookmarkStart w:id="16" w:name="_Toc524196736"/>
      <w:r>
        <w:rPr>
          <w:rFonts w:hint="eastAsia" w:ascii="黑体" w:hAnsi="Arial" w:eastAsia="黑体"/>
          <w:bCs/>
          <w:kern w:val="0"/>
          <w:sz w:val="24"/>
        </w:rPr>
        <w:t>4  计量特性</w:t>
      </w:r>
      <w:bookmarkEnd w:id="15"/>
      <w:bookmarkEnd w:id="16"/>
    </w:p>
    <w:p>
      <w:pPr>
        <w:keepNext/>
        <w:keepLines/>
        <w:spacing w:before="260" w:after="260" w:line="416" w:lineRule="auto"/>
        <w:outlineLvl w:val="2"/>
        <w:rPr>
          <w:rFonts w:hint="eastAsia" w:ascii="黑体" w:eastAsia="黑体"/>
          <w:bCs/>
          <w:sz w:val="24"/>
        </w:rPr>
      </w:pPr>
      <w:bookmarkStart w:id="17" w:name="_Toc524196737"/>
      <w:bookmarkStart w:id="18" w:name="_Toc524974713"/>
      <w:r>
        <w:rPr>
          <w:rFonts w:hint="eastAsia" w:ascii="黑体" w:eastAsia="黑体"/>
          <w:bCs/>
          <w:sz w:val="24"/>
        </w:rPr>
        <w:t>4.1 示值误差</w:t>
      </w:r>
      <w:bookmarkEnd w:id="17"/>
      <w:bookmarkEnd w:id="18"/>
    </w:p>
    <w:p>
      <w:pPr>
        <w:snapToGrid w:val="0"/>
        <w:spacing w:line="360" w:lineRule="auto"/>
        <w:ind w:firstLine="360" w:firstLineChars="1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最大</w:t>
      </w:r>
      <w:r>
        <w:rPr>
          <w:rFonts w:hint="eastAsia" w:ascii="宋体" w:hAnsi="宋体"/>
          <w:sz w:val="24"/>
          <w:lang w:eastAsia="zh-CN"/>
        </w:rPr>
        <w:t>允许</w:t>
      </w:r>
      <w:r>
        <w:rPr>
          <w:rFonts w:hint="eastAsia" w:ascii="宋体" w:hAnsi="宋体"/>
          <w:sz w:val="24"/>
        </w:rPr>
        <w:t>误差：±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 w:cs="黑体"/>
          <w:color w:val="FF0000"/>
          <w:kern w:val="0"/>
          <w:sz w:val="24"/>
        </w:rPr>
        <w:t xml:space="preserve">                                                                                                                  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eastAsia="黑体"/>
          <w:bCs/>
          <w:sz w:val="24"/>
        </w:rPr>
      </w:pPr>
      <w:bookmarkStart w:id="19" w:name="_Toc524196738"/>
      <w:bookmarkStart w:id="20" w:name="_Toc524974714"/>
      <w:r>
        <w:rPr>
          <w:rFonts w:hint="eastAsia" w:ascii="黑体" w:eastAsia="黑体"/>
          <w:bCs/>
          <w:sz w:val="24"/>
        </w:rPr>
        <w:t>4.2 重复性</w:t>
      </w:r>
      <w:bookmarkEnd w:id="19"/>
      <w:bookmarkEnd w:id="20"/>
    </w:p>
    <w:p>
      <w:pPr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应不大于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%。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eastAsia="黑体"/>
          <w:bCs/>
          <w:sz w:val="24"/>
        </w:rPr>
      </w:pPr>
      <w:bookmarkStart w:id="21" w:name="_Toc524974715"/>
      <w:bookmarkStart w:id="22" w:name="_Toc524196739"/>
      <w:r>
        <w:rPr>
          <w:rFonts w:hint="eastAsia" w:ascii="黑体" w:eastAsia="黑体"/>
          <w:bCs/>
          <w:sz w:val="24"/>
        </w:rPr>
        <w:t>4.3 响应时间</w:t>
      </w:r>
      <w:bookmarkEnd w:id="21"/>
      <w:bookmarkEnd w:id="22"/>
    </w:p>
    <w:p>
      <w:pPr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扩散式检测仪不大于60s，吸入式检测仪不大于30s。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eastAsia="黑体"/>
          <w:bCs/>
          <w:sz w:val="24"/>
        </w:rPr>
      </w:pPr>
      <w:bookmarkStart w:id="23" w:name="_Toc524196740"/>
      <w:bookmarkStart w:id="24" w:name="_Toc524974716"/>
      <w:r>
        <w:rPr>
          <w:rFonts w:hint="eastAsia" w:ascii="黑体" w:eastAsia="黑体"/>
          <w:bCs/>
          <w:sz w:val="24"/>
        </w:rPr>
        <w:t>4.4 零点漂移</w:t>
      </w:r>
      <w:bookmarkEnd w:id="23"/>
      <w:bookmarkEnd w:id="24"/>
    </w:p>
    <w:p>
      <w:pPr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连续运行30min,零点漂移示值误差：±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FS。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hAnsi="黑体" w:eastAsia="黑体"/>
          <w:bCs/>
          <w:sz w:val="24"/>
        </w:rPr>
      </w:pPr>
      <w:bookmarkStart w:id="25" w:name="_Toc524974717"/>
      <w:bookmarkStart w:id="26" w:name="_Toc524196741"/>
      <w:r>
        <w:rPr>
          <w:rFonts w:hint="eastAsia" w:ascii="黑体" w:hAnsi="黑体" w:eastAsia="黑体"/>
          <w:bCs/>
          <w:sz w:val="24"/>
        </w:rPr>
        <w:t>4.5 示值漂移</w:t>
      </w:r>
      <w:bookmarkEnd w:id="25"/>
      <w:bookmarkEnd w:id="26"/>
    </w:p>
    <w:p>
      <w:pPr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连续运行30min,示值漂移示值误差：±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FS。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hAnsi="黑体" w:eastAsia="黑体"/>
          <w:bCs/>
          <w:sz w:val="24"/>
        </w:rPr>
      </w:pPr>
      <w:bookmarkStart w:id="27" w:name="_Toc524196742"/>
      <w:bookmarkStart w:id="28" w:name="_Toc524974718"/>
      <w:r>
        <w:rPr>
          <w:rFonts w:hint="eastAsia" w:ascii="黑体" w:hAnsi="黑体" w:eastAsia="黑体"/>
          <w:bCs/>
          <w:sz w:val="24"/>
        </w:rPr>
        <w:t>4.6 报警功能检查</w:t>
      </w:r>
      <w:bookmarkEnd w:id="27"/>
      <w:bookmarkEnd w:id="28"/>
    </w:p>
    <w:p>
      <w:pPr>
        <w:snapToGrid w:val="0"/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具有报警功能的检测仪，报警功能应正常。</w:t>
      </w:r>
    </w:p>
    <w:p>
      <w:pPr>
        <w:autoSpaceDE w:val="0"/>
        <w:autoSpaceDN w:val="0"/>
        <w:adjustRightInd w:val="0"/>
        <w:spacing w:line="360" w:lineRule="auto"/>
        <w:ind w:firstLine="270" w:firstLineChars="1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/>
          <w:sz w:val="18"/>
          <w:szCs w:val="18"/>
        </w:rPr>
        <w:t>注：以上计量特性要求不是用于合格性判别，仅供参考。</w:t>
      </w:r>
    </w:p>
    <w:p>
      <w:pPr>
        <w:keepNext/>
        <w:keepLines/>
        <w:spacing w:before="260" w:after="260" w:line="416" w:lineRule="auto"/>
        <w:outlineLvl w:val="1"/>
        <w:rPr>
          <w:rFonts w:hint="eastAsia" w:ascii="黑体" w:hAnsi="Arial" w:eastAsia="黑体"/>
          <w:bCs/>
          <w:sz w:val="24"/>
        </w:rPr>
      </w:pPr>
      <w:bookmarkStart w:id="29" w:name="_Toc524196743"/>
      <w:bookmarkStart w:id="30" w:name="_Toc405910079"/>
      <w:bookmarkStart w:id="31" w:name="_Toc524974719"/>
      <w:bookmarkStart w:id="32" w:name="_Toc408935708"/>
      <w:r>
        <w:rPr>
          <w:rFonts w:hint="eastAsia" w:ascii="黑体" w:hAnsi="Arial" w:eastAsia="黑体"/>
          <w:bCs/>
          <w:sz w:val="24"/>
        </w:rPr>
        <w:t>5 校准条件</w:t>
      </w:r>
      <w:bookmarkEnd w:id="29"/>
      <w:bookmarkEnd w:id="30"/>
      <w:bookmarkEnd w:id="31"/>
      <w:bookmarkEnd w:id="32"/>
    </w:p>
    <w:p>
      <w:pPr>
        <w:keepNext/>
        <w:keepLines/>
        <w:spacing w:before="260" w:after="260" w:line="416" w:lineRule="auto"/>
        <w:outlineLvl w:val="2"/>
        <w:rPr>
          <w:rFonts w:ascii="黑体" w:hAnsi="黑体" w:eastAsia="黑体"/>
          <w:bCs/>
          <w:sz w:val="24"/>
        </w:rPr>
      </w:pPr>
      <w:bookmarkStart w:id="33" w:name="_Toc524196744"/>
      <w:bookmarkStart w:id="34" w:name="_Toc524974720"/>
      <w:bookmarkStart w:id="35" w:name="_Toc408935709"/>
      <w:bookmarkStart w:id="36" w:name="_Toc405910080"/>
      <w:r>
        <w:rPr>
          <w:rFonts w:hint="eastAsia" w:ascii="黑体" w:hAnsi="黑体" w:eastAsia="黑体"/>
          <w:bCs/>
          <w:sz w:val="24"/>
        </w:rPr>
        <w:t>5.1环境条件</w:t>
      </w:r>
      <w:bookmarkEnd w:id="33"/>
      <w:bookmarkEnd w:id="34"/>
      <w:bookmarkEnd w:id="35"/>
      <w:bookmarkEnd w:id="36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5.1.1</w:t>
      </w:r>
      <w:r>
        <w:rPr>
          <w:rFonts w:ascii="宋体" w:hAnsi="宋体"/>
          <w:sz w:val="24"/>
        </w:rPr>
        <w:t xml:space="preserve"> 环境温度：</w:t>
      </w:r>
      <w:r>
        <w:rPr>
          <w:rFonts w:hint="eastAsia" w:ascii="宋体" w:hAnsi="宋体"/>
          <w:sz w:val="24"/>
        </w:rPr>
        <w:t>(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0～40)</w:t>
      </w:r>
      <w:r>
        <w:rPr>
          <w:rFonts w:ascii="宋体" w:hAnsi="宋体"/>
          <w:sz w:val="24"/>
        </w:rPr>
        <w:t>℃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.1.2 环境湿度：</w:t>
      </w:r>
      <w:r>
        <w:rPr>
          <w:rFonts w:hint="eastAsia" w:ascii="宋体" w:hAnsi="宋体"/>
          <w:sz w:val="24"/>
        </w:rPr>
        <w:t>＜80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RH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.1.3 周围无</w:t>
      </w:r>
      <w:r>
        <w:rPr>
          <w:rFonts w:hint="eastAsia" w:ascii="宋体" w:hAnsi="宋体"/>
          <w:sz w:val="24"/>
        </w:rPr>
        <w:t>干扰气体</w:t>
      </w:r>
      <w:r>
        <w:rPr>
          <w:rFonts w:ascii="宋体" w:hAnsi="宋体"/>
          <w:sz w:val="24"/>
        </w:rPr>
        <w:t>。</w:t>
      </w:r>
      <w:bookmarkStart w:id="37" w:name="_Toc271744901"/>
      <w:bookmarkStart w:id="38" w:name="_Toc271708416"/>
      <w:bookmarkStart w:id="39" w:name="_Toc271708968"/>
    </w:p>
    <w:bookmarkEnd w:id="37"/>
    <w:bookmarkEnd w:id="38"/>
    <w:bookmarkEnd w:id="39"/>
    <w:p>
      <w:pPr>
        <w:keepNext/>
        <w:keepLines/>
        <w:spacing w:before="260" w:after="260" w:line="416" w:lineRule="auto"/>
        <w:outlineLvl w:val="2"/>
        <w:rPr>
          <w:rFonts w:hint="eastAsia" w:ascii="黑体" w:hAnsi="黑体" w:eastAsia="黑体"/>
          <w:bCs/>
          <w:sz w:val="24"/>
        </w:rPr>
      </w:pPr>
      <w:bookmarkStart w:id="40" w:name="_Toc408935710"/>
      <w:bookmarkStart w:id="41" w:name="_Toc405910081"/>
      <w:bookmarkStart w:id="42" w:name="_Toc524974721"/>
      <w:bookmarkStart w:id="43" w:name="_Toc524196745"/>
      <w:r>
        <w:rPr>
          <w:rFonts w:hint="eastAsia" w:ascii="黑体" w:hAnsi="黑体" w:eastAsia="黑体"/>
          <w:bCs/>
          <w:sz w:val="24"/>
        </w:rPr>
        <w:t>5.2 校准用计量器具及配套设备</w:t>
      </w:r>
      <w:bookmarkEnd w:id="40"/>
      <w:bookmarkEnd w:id="41"/>
      <w:bookmarkEnd w:id="42"/>
      <w:bookmarkEnd w:id="43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.1</w:t>
      </w:r>
      <w:r>
        <w:rPr>
          <w:rFonts w:hint="eastAsia" w:ascii="宋体" w:hAnsi="宋体"/>
          <w:sz w:val="24"/>
        </w:rPr>
        <w:t xml:space="preserve"> 气体标准物质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采用由国家计量行政部门批准的，</w:t>
      </w:r>
      <w:r>
        <w:rPr>
          <w:rFonts w:hint="eastAsia" w:ascii="宋体" w:hAnsi="宋体" w:cs="黑体"/>
          <w:color w:val="000000"/>
          <w:kern w:val="0"/>
          <w:sz w:val="24"/>
        </w:rPr>
        <w:t>浓度为</w:t>
      </w:r>
      <w:r>
        <w:rPr>
          <w:rFonts w:hint="eastAsia" w:ascii="宋体" w:hAnsi="宋体" w:cs="黑体"/>
          <w:color w:val="000000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color w:val="000000"/>
          <w:kern w:val="0"/>
          <w:sz w:val="24"/>
        </w:rPr>
        <w:t>满量程</w:t>
      </w:r>
      <w:r>
        <w:rPr>
          <w:rFonts w:ascii="宋体" w:hAnsi="宋体" w:cs="黑体"/>
          <w:color w:val="000000"/>
          <w:kern w:val="0"/>
          <w:sz w:val="24"/>
        </w:rPr>
        <w:t>20%</w:t>
      </w:r>
      <w:r>
        <w:rPr>
          <w:rFonts w:hint="eastAsia" w:ascii="宋体" w:hAnsi="宋体" w:cs="黑体"/>
          <w:color w:val="000000"/>
          <w:kern w:val="0"/>
          <w:sz w:val="24"/>
          <w:lang w:eastAsia="zh-CN"/>
        </w:rPr>
        <w:t>、</w:t>
      </w:r>
      <w:r>
        <w:rPr>
          <w:rFonts w:hint="eastAsia" w:ascii="宋体" w:hAnsi="宋体" w:cs="黑体"/>
          <w:color w:val="000000"/>
          <w:kern w:val="0"/>
          <w:sz w:val="24"/>
        </w:rPr>
        <w:t>5</w:t>
      </w:r>
      <w:r>
        <w:rPr>
          <w:rFonts w:ascii="宋体" w:hAnsi="宋体" w:cs="黑体"/>
          <w:color w:val="000000"/>
          <w:kern w:val="0"/>
          <w:sz w:val="24"/>
        </w:rPr>
        <w:t>0%</w:t>
      </w:r>
      <w:r>
        <w:rPr>
          <w:rFonts w:hint="eastAsia" w:ascii="宋体" w:hAnsi="宋体" w:cs="黑体"/>
          <w:color w:val="000000"/>
          <w:kern w:val="0"/>
          <w:sz w:val="24"/>
          <w:lang w:eastAsia="zh-CN"/>
        </w:rPr>
        <w:t>和</w:t>
      </w:r>
      <w:r>
        <w:rPr>
          <w:rFonts w:hint="eastAsia" w:ascii="宋体" w:hAnsi="宋体" w:cs="黑体"/>
          <w:color w:val="000000"/>
          <w:kern w:val="0"/>
          <w:sz w:val="24"/>
          <w:lang w:val="en-US" w:eastAsia="zh-CN"/>
        </w:rPr>
        <w:t>80%</w:t>
      </w:r>
      <w:r>
        <w:rPr>
          <w:rFonts w:hint="eastAsia" w:ascii="宋体" w:hAnsi="宋体" w:cs="黑体"/>
          <w:color w:val="000000"/>
          <w:kern w:val="0"/>
          <w:sz w:val="24"/>
        </w:rPr>
        <w:t>的</w:t>
      </w:r>
      <w:r>
        <w:rPr>
          <w:rFonts w:hint="eastAsia" w:ascii="宋体" w:hAnsi="宋体"/>
          <w:sz w:val="24"/>
          <w:lang w:eastAsia="zh-CN"/>
        </w:rPr>
        <w:t>氰化氢</w:t>
      </w:r>
      <w:r>
        <w:rPr>
          <w:rFonts w:hint="eastAsia" w:ascii="宋体" w:hAnsi="宋体"/>
          <w:sz w:val="24"/>
        </w:rPr>
        <w:t>气体</w:t>
      </w:r>
      <w:r>
        <w:rPr>
          <w:rFonts w:hint="eastAsia" w:ascii="宋体" w:hAnsi="宋体" w:cs="黑体"/>
          <w:color w:val="000000"/>
          <w:kern w:val="0"/>
          <w:sz w:val="24"/>
        </w:rPr>
        <w:t>有证</w:t>
      </w:r>
      <w:r>
        <w:rPr>
          <w:rFonts w:hint="eastAsia" w:ascii="宋体" w:hAnsi="宋体"/>
          <w:sz w:val="24"/>
        </w:rPr>
        <w:t>标准物质，其相对扩展不确定度不大于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%（</w:t>
      </w:r>
      <w:r>
        <w:rPr>
          <w:rFonts w:hint="eastAsia" w:ascii="宋体" w:hAnsi="宋体"/>
          <w:i/>
          <w:sz w:val="24"/>
        </w:rPr>
        <w:t>k</w:t>
      </w:r>
      <w:r>
        <w:rPr>
          <w:rFonts w:hint="eastAsia" w:ascii="宋体" w:hAnsi="宋体"/>
          <w:sz w:val="24"/>
        </w:rPr>
        <w:t>=2）。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5.2.2 气体标准物质稀释装置：稀释误差不大于±1.5%。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5.2.3 秒表：分</w:t>
      </w:r>
      <w:r>
        <w:rPr>
          <w:rFonts w:hint="eastAsia" w:ascii="宋体" w:hAnsi="宋体"/>
          <w:sz w:val="24"/>
          <w:lang w:eastAsia="zh-CN"/>
        </w:rPr>
        <w:t>辨力</w:t>
      </w:r>
      <w:r>
        <w:rPr>
          <w:rFonts w:hint="eastAsia" w:ascii="宋体" w:hAnsi="宋体"/>
          <w:sz w:val="24"/>
        </w:rPr>
        <w:t>不大于0.1s。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5.2.4 流量控制器：流量范围不小于500mL/min,准确度级别不低于4级。如图1所示。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5.2.5 零点气（稀释气）：清洁空气或高纯氮气。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5.2.6 减压阀和气路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使用与气体标准物质钢瓶配套的减压阀和不影响气体浓度的管路，如聚四氟乙烯或不锈钢管材。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5.2.7 校准罩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扩散式检测仪应有合适的校准罩。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114300" distR="114300">
            <wp:extent cx="5932170" cy="1685290"/>
            <wp:effectExtent l="0" t="0" r="11430" b="10160"/>
            <wp:docPr id="9" name="图片 1" descr="流量控制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流量控制器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2170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Cs w:val="21"/>
        </w:rPr>
        <w:t>图1 流量控制器</w:t>
      </w:r>
    </w:p>
    <w:p>
      <w:pPr>
        <w:keepNext/>
        <w:keepLines/>
        <w:spacing w:before="260" w:after="260" w:line="416" w:lineRule="auto"/>
        <w:outlineLvl w:val="1"/>
        <w:rPr>
          <w:rFonts w:hint="eastAsia" w:ascii="黑体" w:hAnsi="Arial" w:eastAsia="黑体"/>
          <w:bCs/>
          <w:kern w:val="0"/>
          <w:sz w:val="24"/>
        </w:rPr>
      </w:pPr>
      <w:bookmarkStart w:id="44" w:name="_Toc408935711"/>
      <w:bookmarkStart w:id="45" w:name="_Toc405910082"/>
      <w:bookmarkStart w:id="46" w:name="_Toc524196746"/>
      <w:bookmarkStart w:id="47" w:name="_Toc524974722"/>
      <w:r>
        <w:rPr>
          <w:rFonts w:hint="eastAsia" w:ascii="黑体" w:hAnsi="Arial" w:eastAsia="黑体"/>
          <w:bCs/>
          <w:kern w:val="0"/>
          <w:sz w:val="24"/>
        </w:rPr>
        <w:t>6 校准项目和校准方法</w:t>
      </w:r>
      <w:bookmarkEnd w:id="44"/>
      <w:bookmarkEnd w:id="45"/>
      <w:bookmarkEnd w:id="46"/>
      <w:bookmarkEnd w:id="47"/>
    </w:p>
    <w:p>
      <w:pPr>
        <w:keepNext/>
        <w:keepLines/>
        <w:spacing w:before="260" w:after="260" w:line="416" w:lineRule="auto"/>
        <w:outlineLvl w:val="2"/>
        <w:rPr>
          <w:rFonts w:hint="eastAsia" w:ascii="黑体" w:eastAsia="黑体"/>
          <w:bCs/>
          <w:sz w:val="24"/>
        </w:rPr>
      </w:pPr>
      <w:bookmarkStart w:id="48" w:name="_Toc524974723"/>
      <w:bookmarkStart w:id="49" w:name="_Toc524196747"/>
      <w:r>
        <w:rPr>
          <w:rFonts w:hint="eastAsia" w:ascii="黑体" w:eastAsia="黑体"/>
          <w:bCs/>
          <w:sz w:val="24"/>
        </w:rPr>
        <w:t>6.1 外观及通电检查</w:t>
      </w:r>
      <w:bookmarkEnd w:id="48"/>
      <w:bookmarkEnd w:id="49"/>
    </w:p>
    <w:p>
      <w:pPr>
        <w:rPr>
          <w:rFonts w:hint="eastAsia" w:ascii="宋体" w:hAnsi="宋体" w:cs="Courier New"/>
          <w:sz w:val="24"/>
          <w:szCs w:val="21"/>
        </w:rPr>
      </w:pPr>
      <w:r>
        <w:rPr>
          <w:rFonts w:hint="eastAsia" w:ascii="宋体" w:hAnsi="宋体" w:cs="Courier New"/>
          <w:sz w:val="24"/>
          <w:szCs w:val="21"/>
        </w:rPr>
        <w:t>6.1.1  外观检查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目视检查</w:t>
      </w: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的外观及附件，装置应具有下列标识：名称、型号、制造厂名（或公司名）、出厂编号及相应的警示标志等，主机及配件齐全，应附有制造厂的说明书，传感系统表面不得有明显划痕。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6.1.2  通电检查</w:t>
      </w:r>
    </w:p>
    <w:p>
      <w:pPr>
        <w:numPr>
          <w:ilvl w:val="0"/>
          <w:numId w:val="2"/>
        </w:numPr>
        <w:spacing w:line="360" w:lineRule="auto"/>
        <w:ind w:left="1680" w:hanging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的控制和调节机构应灵活可靠，紧固件应无松动，各部件应安装牢固，能确保正常工作。</w:t>
      </w:r>
    </w:p>
    <w:p>
      <w:pPr>
        <w:spacing w:line="360" w:lineRule="auto"/>
        <w:ind w:firstLine="1320" w:firstLineChars="5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b）通电后显示功能正常，数字显示器应显示清晰。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hAnsi="黑体" w:eastAsia="黑体"/>
          <w:bCs/>
          <w:sz w:val="24"/>
        </w:rPr>
      </w:pPr>
      <w:bookmarkStart w:id="50" w:name="_Toc524196748"/>
      <w:bookmarkStart w:id="51" w:name="_Toc524974724"/>
      <w:r>
        <w:rPr>
          <w:rFonts w:hint="eastAsia" w:ascii="黑体" w:hAnsi="黑体" w:eastAsia="黑体"/>
          <w:bCs/>
          <w:sz w:val="24"/>
        </w:rPr>
        <w:t>6.2  报警功能检查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检查并记录</w:t>
      </w: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报警动作值，观察</w:t>
      </w: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报警功能应正常。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hAnsi="黑体" w:eastAsia="黑体"/>
          <w:bCs/>
          <w:sz w:val="24"/>
          <w:szCs w:val="32"/>
          <w:lang w:eastAsia="zh-CN"/>
        </w:rPr>
      </w:pPr>
      <w:bookmarkStart w:id="52" w:name="_Toc524196749"/>
      <w:bookmarkStart w:id="53" w:name="_Toc524974725"/>
      <w:r>
        <w:rPr>
          <w:rFonts w:hint="eastAsia" w:ascii="黑体" w:hAnsi="黑体" w:eastAsia="黑体"/>
          <w:bCs/>
          <w:sz w:val="24"/>
          <w:szCs w:val="32"/>
        </w:rPr>
        <w:t xml:space="preserve">6.3  </w:t>
      </w:r>
      <w:r>
        <w:rPr>
          <w:rFonts w:hint="eastAsia" w:ascii="黑体" w:hAnsi="黑体" w:eastAsia="黑体"/>
          <w:bCs/>
          <w:sz w:val="24"/>
          <w:szCs w:val="32"/>
          <w:lang w:eastAsia="zh-CN"/>
        </w:rPr>
        <w:t>仪器</w:t>
      </w:r>
      <w:bookmarkEnd w:id="52"/>
      <w:bookmarkEnd w:id="53"/>
      <w:r>
        <w:rPr>
          <w:rFonts w:hint="eastAsia" w:ascii="黑体" w:hAnsi="黑体" w:eastAsia="黑体"/>
          <w:bCs/>
          <w:sz w:val="24"/>
          <w:szCs w:val="32"/>
          <w:lang w:eastAsia="zh-CN"/>
        </w:rPr>
        <w:t>校准前的准备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按照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使用说明书的要求对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进行预热，</w:t>
      </w:r>
      <w:r>
        <w:rPr>
          <w:rFonts w:hint="eastAsia"/>
          <w:sz w:val="24"/>
          <w:lang w:eastAsia="zh-CN"/>
        </w:rPr>
        <w:t>在干净空气中</w:t>
      </w:r>
      <w:r>
        <w:rPr>
          <w:rFonts w:hint="eastAsia"/>
          <w:sz w:val="24"/>
        </w:rPr>
        <w:t>调整</w:t>
      </w:r>
      <w:r>
        <w:rPr>
          <w:rFonts w:hint="eastAsia"/>
          <w:sz w:val="24"/>
          <w:lang w:eastAsia="zh-CN"/>
        </w:rPr>
        <w:t>仪器零点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通入气体标准物质时，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按照图1所示连接气路。根据被检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的采样方式使用流量控制器，控制被检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所需要的流量。校准扩散式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时，流量的大小依据使用说明书要求的流量。校准吸入式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时，一定要保证流量控制器的旁通流量计有气体放出。</w:t>
      </w:r>
    </w:p>
    <w:p>
      <w:pPr>
        <w:keepNext/>
        <w:keepLines/>
        <w:spacing w:before="260" w:after="260" w:line="416" w:lineRule="auto"/>
        <w:outlineLvl w:val="2"/>
        <w:rPr>
          <w:rFonts w:hint="eastAsia" w:ascii="黑体" w:hAnsi="黑体" w:eastAsia="黑体"/>
          <w:bCs/>
          <w:sz w:val="24"/>
          <w:szCs w:val="32"/>
        </w:rPr>
      </w:pPr>
      <w:bookmarkStart w:id="54" w:name="_Toc524974726"/>
      <w:bookmarkStart w:id="55" w:name="_Toc524196750"/>
      <w:r>
        <w:rPr>
          <w:rFonts w:hint="eastAsia" w:ascii="黑体" w:hAnsi="黑体" w:eastAsia="黑体"/>
          <w:bCs/>
          <w:sz w:val="24"/>
          <w:szCs w:val="32"/>
        </w:rPr>
        <w:t>6.4  示值误差</w:t>
      </w:r>
      <w:bookmarkEnd w:id="54"/>
      <w:bookmarkEnd w:id="55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黑体"/>
          <w:color w:val="000000"/>
          <w:kern w:val="0"/>
          <w:sz w:val="24"/>
        </w:rPr>
      </w:pPr>
      <w:r>
        <w:rPr>
          <w:rFonts w:hint="eastAsia"/>
          <w:sz w:val="24"/>
        </w:rPr>
        <w:t xml:space="preserve">     在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测量范围内依次通入浓度分别为量程上限值20%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50%和</w:t>
      </w:r>
      <w:r>
        <w:rPr>
          <w:rFonts w:hint="eastAsia"/>
          <w:sz w:val="24"/>
          <w:lang w:val="en-US" w:eastAsia="zh-CN"/>
        </w:rPr>
        <w:t>80%</w:t>
      </w:r>
      <w:r>
        <w:rPr>
          <w:rFonts w:hint="eastAsia"/>
          <w:sz w:val="24"/>
        </w:rPr>
        <w:t>左右的标准气体，</w:t>
      </w:r>
      <w:r>
        <w:rPr>
          <w:rFonts w:hint="eastAsia" w:ascii="宋体" w:hAnsi="宋体" w:cs="黑体"/>
          <w:kern w:val="0"/>
          <w:sz w:val="24"/>
        </w:rPr>
        <w:t>待示值稳定后记录测量值。</w:t>
      </w:r>
      <w:r>
        <w:rPr>
          <w:rFonts w:hint="eastAsia"/>
          <w:sz w:val="24"/>
        </w:rPr>
        <w:t>重复上述步骤3次，取其算术平均值，按（1）计算</w:t>
      </w:r>
      <w:r>
        <w:rPr>
          <w:rFonts w:hint="eastAsia"/>
          <w:sz w:val="24"/>
          <w:lang w:eastAsia="zh-CN"/>
        </w:rPr>
        <w:t>仪器</w:t>
      </w:r>
      <w:r>
        <w:rPr>
          <w:rFonts w:hint="eastAsia"/>
          <w:sz w:val="24"/>
        </w:rPr>
        <w:t>的示值误差：</w:t>
      </w:r>
    </w:p>
    <w:p>
      <w:pPr>
        <w:autoSpaceDE w:val="0"/>
        <w:autoSpaceDN w:val="0"/>
        <w:adjustRightInd w:val="0"/>
        <w:spacing w:line="360" w:lineRule="auto"/>
        <w:ind w:firstLine="2640" w:firstLineChars="1100"/>
        <w:jc w:val="left"/>
        <w:rPr>
          <w:rFonts w:hint="eastAsia" w:ascii="宋体" w:hAnsi="宋体" w:cs="黑体"/>
          <w:kern w:val="0"/>
          <w:szCs w:val="21"/>
        </w:rPr>
      </w:pPr>
      <w:r>
        <w:rPr>
          <w:rFonts w:hint="eastAsia" w:ascii="宋体" w:hAnsi="宋体" w:cs="黑体"/>
          <w:kern w:val="0"/>
          <w:sz w:val="24"/>
        </w:rPr>
        <w:t xml:space="preserve"> </w:t>
      </w:r>
      <w:r>
        <w:rPr>
          <w:rFonts w:ascii="宋体" w:hAnsi="宋体" w:cs="黑体"/>
          <w:kern w:val="0"/>
          <w:position w:val="-30"/>
          <w:szCs w:val="21"/>
        </w:rPr>
        <w:object>
          <v:shape id="_x0000_i1025" o:spt="75" type="#_x0000_t75" style="height:37pt;width:9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7">
            <o:LockedField>false</o:LockedField>
          </o:OLEObject>
        </w:object>
      </w:r>
      <w:r>
        <w:rPr>
          <w:rFonts w:hint="eastAsia" w:ascii="宋体" w:hAnsi="宋体" w:cs="黑体"/>
          <w:kern w:val="0"/>
          <w:szCs w:val="21"/>
        </w:rPr>
        <w:t xml:space="preserve">                   </w:t>
      </w:r>
      <w:r>
        <w:rPr>
          <w:rFonts w:hint="eastAsia"/>
          <w:sz w:val="24"/>
        </w:rPr>
        <w:t>（1）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 xml:space="preserve">式中： </w:t>
      </w:r>
      <w:r>
        <w:rPr>
          <w:rFonts w:hint="eastAsia" w:ascii="宋体" w:hAnsi="宋体" w:cs="黑体"/>
          <w:kern w:val="0"/>
          <w:position w:val="-12"/>
          <w:sz w:val="24"/>
        </w:rPr>
        <w:object>
          <v:shape id="_x0000_i1026" o:spt="75" type="#_x0000_t75" style="height:18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>— 示值误差（%）；</w:t>
      </w:r>
    </w:p>
    <w:p>
      <w:pPr>
        <w:autoSpaceDE w:val="0"/>
        <w:autoSpaceDN w:val="0"/>
        <w:adjustRightInd w:val="0"/>
        <w:ind w:firstLine="840" w:firstLineChars="3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position w:val="-4"/>
          <w:sz w:val="24"/>
        </w:rPr>
        <w:object>
          <v:shape id="_x0000_i1027" o:spt="75" type="#_x0000_t75" style="height:16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>— 测量平均值（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360" w:firstLineChars="150"/>
        <w:jc w:val="left"/>
        <w:rPr>
          <w:rFonts w:hint="eastAsia" w:ascii="宋体" w:hAnsi="宋体" w:eastAsia="宋体" w:cs="黑体"/>
          <w:kern w:val="0"/>
          <w:sz w:val="24"/>
          <w:lang w:eastAsia="zh-CN"/>
        </w:rPr>
      </w:pPr>
      <w:r>
        <w:rPr>
          <w:rFonts w:hint="eastAsia" w:ascii="宋体" w:hAnsi="宋体" w:cs="黑体"/>
          <w:kern w:val="0"/>
          <w:sz w:val="24"/>
        </w:rPr>
        <w:t xml:space="preserve">    </w:t>
      </w:r>
      <w:r>
        <w:rPr>
          <w:rFonts w:hint="eastAsia" w:ascii="宋体" w:hAnsi="宋体" w:cs="黑体"/>
          <w:kern w:val="0"/>
          <w:position w:val="-12"/>
          <w:sz w:val="24"/>
        </w:rPr>
        <w:object>
          <v:shape id="_x0000_i1028" o:spt="75" type="#_x0000_t75" style="height:18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>— 标准值（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</w:t>
      </w:r>
      <w:r>
        <w:rPr>
          <w:rFonts w:hint="eastAsia" w:ascii="宋体" w:hAnsi="宋体" w:cs="黑体"/>
          <w:kern w:val="0"/>
          <w:sz w:val="24"/>
          <w:lang w:eastAsia="zh-CN"/>
        </w:rPr>
        <w:t>。</w:t>
      </w:r>
    </w:p>
    <w:p>
      <w:pPr>
        <w:autoSpaceDE w:val="0"/>
        <w:autoSpaceDN w:val="0"/>
        <w:adjustRightInd w:val="0"/>
        <w:ind w:firstLine="360" w:firstLineChars="150"/>
        <w:jc w:val="left"/>
        <w:rPr>
          <w:rFonts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黑体"/>
          <w:kern w:val="0"/>
          <w:sz w:val="24"/>
        </w:rPr>
        <w:t>取绝对值最大的</w:t>
      </w:r>
      <w:r>
        <w:rPr>
          <w:rFonts w:hint="eastAsia" w:ascii="宋体" w:hAnsi="宋体" w:cs="黑体"/>
          <w:kern w:val="0"/>
          <w:position w:val="-12"/>
          <w:sz w:val="24"/>
        </w:rPr>
        <w:object>
          <v:shape id="_x0000_i1029" o:spt="75" type="#_x0000_t75" style="height:18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>作为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的示值误差。</w:t>
      </w:r>
    </w:p>
    <w:p>
      <w:pPr>
        <w:keepNext/>
        <w:keepLines/>
        <w:spacing w:before="260" w:after="260" w:line="416" w:lineRule="auto"/>
        <w:outlineLvl w:val="2"/>
        <w:rPr>
          <w:rFonts w:ascii="黑体" w:hAnsi="黑体" w:eastAsia="黑体"/>
          <w:bCs/>
          <w:sz w:val="24"/>
          <w:szCs w:val="32"/>
        </w:rPr>
      </w:pPr>
      <w:bookmarkStart w:id="56" w:name="_Toc524196751"/>
      <w:bookmarkStart w:id="57" w:name="_Toc524974727"/>
      <w:r>
        <w:rPr>
          <w:rFonts w:hint="eastAsia" w:ascii="黑体" w:hAnsi="黑体" w:eastAsia="黑体"/>
          <w:bCs/>
          <w:sz w:val="24"/>
          <w:szCs w:val="32"/>
        </w:rPr>
        <w:t>6</w:t>
      </w:r>
      <w:r>
        <w:rPr>
          <w:rFonts w:ascii="黑体" w:hAnsi="黑体" w:eastAsia="黑体"/>
          <w:bCs/>
          <w:sz w:val="24"/>
          <w:szCs w:val="32"/>
        </w:rPr>
        <w:t>.</w:t>
      </w:r>
      <w:r>
        <w:rPr>
          <w:rFonts w:hint="eastAsia" w:ascii="黑体" w:hAnsi="黑体" w:eastAsia="黑体"/>
          <w:bCs/>
          <w:sz w:val="24"/>
          <w:szCs w:val="32"/>
        </w:rPr>
        <w:t>5</w:t>
      </w:r>
      <w:r>
        <w:rPr>
          <w:rFonts w:ascii="黑体" w:hAnsi="黑体" w:eastAsia="黑体"/>
          <w:bCs/>
          <w:sz w:val="24"/>
          <w:szCs w:val="32"/>
        </w:rPr>
        <w:t xml:space="preserve"> </w:t>
      </w:r>
      <w:r>
        <w:rPr>
          <w:rFonts w:hint="eastAsia" w:ascii="黑体" w:hAnsi="黑体" w:eastAsia="黑体"/>
          <w:bCs/>
          <w:sz w:val="24"/>
          <w:szCs w:val="32"/>
        </w:rPr>
        <w:t xml:space="preserve"> 重复性</w:t>
      </w:r>
      <w:bookmarkEnd w:id="56"/>
      <w:bookmarkEnd w:id="57"/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通入浓度为满量程5</w:t>
      </w:r>
      <w:r>
        <w:rPr>
          <w:rFonts w:ascii="宋体" w:hAnsi="宋体" w:cs="黑体"/>
          <w:kern w:val="0"/>
          <w:sz w:val="24"/>
        </w:rPr>
        <w:t>0%</w:t>
      </w:r>
      <w:r>
        <w:rPr>
          <w:rFonts w:hint="eastAsia" w:ascii="宋体" w:hAnsi="宋体" w:cs="黑体"/>
          <w:kern w:val="0"/>
          <w:sz w:val="24"/>
        </w:rPr>
        <w:t>左右的标准气体，待读数稳定后记录测量值。重复上述测量步骤</w:t>
      </w:r>
      <w:r>
        <w:rPr>
          <w:rFonts w:ascii="宋体" w:hAnsi="宋体" w:cs="黑体"/>
          <w:kern w:val="0"/>
          <w:sz w:val="24"/>
        </w:rPr>
        <w:t>6</w:t>
      </w:r>
      <w:r>
        <w:rPr>
          <w:rFonts w:hint="eastAsia" w:ascii="宋体" w:hAnsi="宋体" w:cs="黑体"/>
          <w:kern w:val="0"/>
          <w:sz w:val="24"/>
        </w:rPr>
        <w:t>次，分别记录读数</w:t>
      </w:r>
      <w:r>
        <w:rPr>
          <w:rFonts w:hint="eastAsia" w:ascii="宋体" w:hAnsi="宋体" w:cs="黑体"/>
          <w:kern w:val="0"/>
          <w:position w:val="-10"/>
          <w:sz w:val="24"/>
        </w:rPr>
        <w:object>
          <v:shape id="_x0000_i1030" o:spt="75" type="#_x0000_t75" style="height:17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>。按式</w:t>
      </w:r>
      <w:r>
        <w:rPr>
          <w:rFonts w:ascii="宋体" w:hAnsi="宋体" w:cs="黑体"/>
          <w:kern w:val="0"/>
          <w:sz w:val="24"/>
        </w:rPr>
        <w:t>(</w:t>
      </w:r>
      <w:r>
        <w:rPr>
          <w:rFonts w:hint="eastAsia" w:ascii="宋体" w:hAnsi="宋体" w:cs="黑体"/>
          <w:kern w:val="0"/>
          <w:sz w:val="24"/>
        </w:rPr>
        <w:t>2</w:t>
      </w:r>
      <w:r>
        <w:rPr>
          <w:rFonts w:ascii="宋体" w:hAnsi="宋体" w:cs="黑体"/>
          <w:kern w:val="0"/>
          <w:sz w:val="24"/>
        </w:rPr>
        <w:t>)</w:t>
      </w:r>
      <w:r>
        <w:rPr>
          <w:rFonts w:hint="eastAsia" w:ascii="宋体" w:hAnsi="宋体" w:cs="黑体"/>
          <w:kern w:val="0"/>
          <w:sz w:val="24"/>
        </w:rPr>
        <w:t>计算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的重复性</w:t>
      </w:r>
      <w:r>
        <w:rPr>
          <w:rFonts w:ascii="宋体" w:hAnsi="宋体" w:cs="黑体"/>
          <w:kern w:val="0"/>
          <w:sz w:val="24"/>
        </w:rPr>
        <w:t>:</w:t>
      </w:r>
      <w:r>
        <w:rPr>
          <w:rFonts w:hint="eastAsia" w:ascii="宋体" w:hAnsi="宋体" w:cs="黑体"/>
          <w:kern w:val="0"/>
          <w:sz w:val="24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 xml:space="preserve">         </w:t>
      </w:r>
      <w:r>
        <w:rPr>
          <w:rFonts w:ascii="宋体" w:hAnsi="宋体" w:cs="黑体"/>
          <w:kern w:val="0"/>
          <w:position w:val="-26"/>
          <w:sz w:val="24"/>
        </w:rPr>
        <w:object>
          <v:shape id="_x0000_i1031" o:spt="75" type="#_x0000_t75" style="height:52pt;width:137.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8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 xml:space="preserve">      （2）            </w:t>
      </w:r>
      <w:r>
        <w:rPr>
          <w:rFonts w:ascii="宋体" w:hAnsi="宋体" w:cs="黑体"/>
          <w:kern w:val="0"/>
          <w:position w:val="-10"/>
          <w:sz w:val="24"/>
        </w:rPr>
        <w:object>
          <v:shape id="_x0000_i1032" o:spt="75" type="#_x0000_t75" style="height:17pt;width:9pt;" o:ole="t" filled="f" o:preferrelative="t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0">
            <o:LockedField>false</o:LockedField>
          </o:OLEObject>
        </w:object>
      </w:r>
      <w:r>
        <w:rPr>
          <w:rFonts w:hint="eastAsia" w:ascii="宋体" w:hAnsi="宋体" w:cs="黑体"/>
          <w:kern w:val="0"/>
          <w:sz w:val="24"/>
        </w:rPr>
        <w:t xml:space="preserve">     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式中： s</w:t>
      </w:r>
      <w:r>
        <w:rPr>
          <w:rFonts w:ascii="宋体" w:hAnsi="宋体" w:cs="黑体"/>
          <w:kern w:val="0"/>
          <w:position w:val="-10"/>
          <w:sz w:val="24"/>
        </w:rPr>
        <w:drawing>
          <wp:inline distT="0" distB="0" distL="114300" distR="114300">
            <wp:extent cx="114300" cy="215900"/>
            <wp:effectExtent l="0" t="0" r="0" b="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>— 重复性(%)；</w:t>
      </w:r>
    </w:p>
    <w:p>
      <w:pPr>
        <w:autoSpaceDE w:val="0"/>
        <w:autoSpaceDN w:val="0"/>
        <w:adjustRightInd w:val="0"/>
        <w:ind w:firstLine="840" w:firstLineChars="3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165100" cy="228600"/>
            <wp:effectExtent l="0" t="0" r="5715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 — 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第i次测量的示值（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840" w:firstLineChars="3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4"/>
          <w:sz w:val="24"/>
        </w:rPr>
        <w:drawing>
          <wp:inline distT="0" distB="0" distL="114300" distR="114300">
            <wp:extent cx="152400" cy="203200"/>
            <wp:effectExtent l="0" t="0" r="0" b="508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 — 重复测量6次的示值平均值（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360" w:firstLineChars="1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 xml:space="preserve">     n — 测量次数（n=6）。</w:t>
      </w:r>
    </w:p>
    <w:p>
      <w:pPr>
        <w:keepNext/>
        <w:keepLines/>
        <w:spacing w:before="260" w:after="260" w:line="416" w:lineRule="auto"/>
        <w:outlineLvl w:val="2"/>
        <w:rPr>
          <w:rFonts w:ascii="黑体" w:hAnsi="黑体" w:eastAsia="黑体"/>
          <w:bCs/>
          <w:sz w:val="24"/>
          <w:szCs w:val="32"/>
        </w:rPr>
      </w:pPr>
      <w:bookmarkStart w:id="58" w:name="_Toc524196752"/>
      <w:bookmarkStart w:id="59" w:name="_Toc524974728"/>
      <w:r>
        <w:rPr>
          <w:rFonts w:hint="eastAsia" w:ascii="黑体" w:hAnsi="黑体" w:eastAsia="黑体"/>
          <w:bCs/>
          <w:sz w:val="24"/>
          <w:szCs w:val="32"/>
        </w:rPr>
        <w:t>6</w:t>
      </w:r>
      <w:r>
        <w:rPr>
          <w:rFonts w:ascii="黑体" w:hAnsi="黑体" w:eastAsia="黑体"/>
          <w:bCs/>
          <w:sz w:val="24"/>
          <w:szCs w:val="32"/>
        </w:rPr>
        <w:t>.</w:t>
      </w:r>
      <w:r>
        <w:rPr>
          <w:rFonts w:hint="eastAsia" w:ascii="黑体" w:hAnsi="黑体" w:eastAsia="黑体"/>
          <w:bCs/>
          <w:sz w:val="24"/>
          <w:szCs w:val="32"/>
        </w:rPr>
        <w:t>6  响应时间</w:t>
      </w:r>
      <w:bookmarkEnd w:id="58"/>
      <w:bookmarkEnd w:id="59"/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通入浓度为量程5</w:t>
      </w:r>
      <w:r>
        <w:rPr>
          <w:rFonts w:ascii="宋体" w:hAnsi="宋体" w:cs="黑体"/>
          <w:kern w:val="0"/>
          <w:sz w:val="24"/>
        </w:rPr>
        <w:t>0%</w:t>
      </w:r>
      <w:r>
        <w:rPr>
          <w:rFonts w:hint="eastAsia" w:ascii="宋体" w:hAnsi="宋体" w:cs="黑体"/>
          <w:kern w:val="0"/>
          <w:sz w:val="24"/>
        </w:rPr>
        <w:t>左右的标准气，读取稳定数值后，撤去标准气，</w:t>
      </w:r>
      <w:r>
        <w:rPr>
          <w:rFonts w:hint="eastAsia" w:ascii="宋体" w:hAnsi="宋体" w:cs="黑体"/>
          <w:kern w:val="0"/>
          <w:sz w:val="24"/>
          <w:lang w:eastAsia="zh-CN"/>
        </w:rPr>
        <w:t>待</w:t>
      </w:r>
      <w:r>
        <w:rPr>
          <w:rFonts w:hint="eastAsia" w:ascii="宋体" w:hAnsi="宋体" w:cs="黑体"/>
          <w:kern w:val="0"/>
          <w:sz w:val="24"/>
        </w:rPr>
        <w:t>示</w:t>
      </w:r>
      <w:r>
        <w:rPr>
          <w:rFonts w:hint="eastAsia" w:ascii="宋体" w:hAnsi="宋体" w:cs="黑体"/>
          <w:kern w:val="0"/>
          <w:sz w:val="24"/>
          <w:lang w:eastAsia="zh-CN"/>
        </w:rPr>
        <w:t>值归</w:t>
      </w:r>
      <w:r>
        <w:rPr>
          <w:rFonts w:hint="eastAsia" w:ascii="宋体" w:hAnsi="宋体" w:cs="黑体"/>
          <w:kern w:val="0"/>
          <w:sz w:val="24"/>
        </w:rPr>
        <w:t>零。再通入上述浓度的标准气，同时用秒表记录从通气瞬间起到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显示稳定值的</w:t>
      </w:r>
      <w:r>
        <w:rPr>
          <w:rFonts w:ascii="宋体" w:hAnsi="宋体" w:cs="黑体"/>
          <w:kern w:val="0"/>
          <w:sz w:val="24"/>
        </w:rPr>
        <w:t>90%</w:t>
      </w:r>
      <w:r>
        <w:rPr>
          <w:rFonts w:hint="eastAsia" w:ascii="宋体" w:hAnsi="宋体" w:cs="黑体"/>
          <w:kern w:val="0"/>
          <w:sz w:val="24"/>
        </w:rPr>
        <w:t>时的时间，即为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的响应时间。重复上述步骤</w:t>
      </w:r>
      <w:r>
        <w:rPr>
          <w:rFonts w:ascii="宋体" w:hAnsi="宋体" w:cs="黑体"/>
          <w:kern w:val="0"/>
          <w:sz w:val="24"/>
        </w:rPr>
        <w:t>3</w:t>
      </w:r>
      <w:r>
        <w:rPr>
          <w:rFonts w:hint="eastAsia" w:ascii="宋体" w:hAnsi="宋体" w:cs="黑体"/>
          <w:kern w:val="0"/>
          <w:sz w:val="24"/>
        </w:rPr>
        <w:t>次，取算术平均值作为该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的响应时间。</w:t>
      </w:r>
    </w:p>
    <w:p>
      <w:pPr>
        <w:keepNext/>
        <w:keepLines/>
        <w:spacing w:before="260" w:after="260" w:line="416" w:lineRule="auto"/>
        <w:outlineLvl w:val="2"/>
        <w:rPr>
          <w:rFonts w:ascii="黑体" w:hAnsi="黑体" w:eastAsia="黑体"/>
          <w:bCs/>
          <w:sz w:val="24"/>
          <w:szCs w:val="32"/>
        </w:rPr>
      </w:pPr>
      <w:bookmarkStart w:id="60" w:name="_Toc524974729"/>
      <w:bookmarkStart w:id="61" w:name="_Toc524196753"/>
      <w:r>
        <w:rPr>
          <w:rFonts w:hint="eastAsia" w:ascii="黑体" w:hAnsi="黑体" w:eastAsia="黑体"/>
          <w:bCs/>
          <w:sz w:val="24"/>
          <w:szCs w:val="32"/>
        </w:rPr>
        <w:t>6</w:t>
      </w:r>
      <w:r>
        <w:rPr>
          <w:rFonts w:ascii="黑体" w:hAnsi="黑体" w:eastAsia="黑体"/>
          <w:bCs/>
          <w:sz w:val="24"/>
          <w:szCs w:val="32"/>
        </w:rPr>
        <w:t>.</w:t>
      </w:r>
      <w:r>
        <w:rPr>
          <w:rFonts w:hint="eastAsia" w:ascii="黑体" w:hAnsi="黑体" w:eastAsia="黑体"/>
          <w:bCs/>
          <w:sz w:val="24"/>
          <w:szCs w:val="32"/>
        </w:rPr>
        <w:t>7</w:t>
      </w:r>
      <w:r>
        <w:rPr>
          <w:rFonts w:ascii="黑体" w:hAnsi="黑体" w:eastAsia="黑体"/>
          <w:bCs/>
          <w:sz w:val="24"/>
          <w:szCs w:val="32"/>
        </w:rPr>
        <w:t xml:space="preserve"> </w:t>
      </w:r>
      <w:r>
        <w:rPr>
          <w:rFonts w:hint="eastAsia" w:ascii="黑体" w:hAnsi="黑体" w:eastAsia="黑体"/>
          <w:bCs/>
          <w:sz w:val="24"/>
          <w:szCs w:val="32"/>
        </w:rPr>
        <w:t xml:space="preserve"> 漂移</w:t>
      </w:r>
      <w:bookmarkEnd w:id="60"/>
      <w:bookmarkEnd w:id="61"/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通入零点气，记录稳定示值</w:t>
      </w:r>
      <w:r>
        <w:rPr>
          <w:rFonts w:hint="eastAsia" w:ascii="宋体" w:hAnsi="宋体" w:cs="黑体"/>
          <w:i/>
          <w:kern w:val="0"/>
          <w:sz w:val="24"/>
        </w:rPr>
        <w:t>A</w:t>
      </w:r>
      <w:r>
        <w:rPr>
          <w:rFonts w:hint="eastAsia" w:ascii="宋体" w:hAnsi="宋体" w:cs="黑体"/>
          <w:i/>
          <w:kern w:val="0"/>
          <w:sz w:val="24"/>
          <w:vertAlign w:val="subscript"/>
        </w:rPr>
        <w:t>Z1</w:t>
      </w:r>
      <w:r>
        <w:rPr>
          <w:rFonts w:hint="eastAsia" w:ascii="宋体" w:hAnsi="宋体" w:cs="黑体"/>
          <w:kern w:val="0"/>
          <w:sz w:val="24"/>
        </w:rPr>
        <w:t>，然后通入浓度为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量程5</w:t>
      </w:r>
      <w:r>
        <w:rPr>
          <w:rFonts w:ascii="宋体" w:hAnsi="宋体" w:cs="黑体"/>
          <w:kern w:val="0"/>
          <w:sz w:val="24"/>
        </w:rPr>
        <w:t>0%</w:t>
      </w:r>
      <w:r>
        <w:rPr>
          <w:rFonts w:hint="eastAsia" w:ascii="宋体" w:hAnsi="宋体" w:cs="黑体"/>
          <w:kern w:val="0"/>
          <w:sz w:val="24"/>
        </w:rPr>
        <w:t>左右的标准气，记录稳定示值</w:t>
      </w:r>
      <w:r>
        <w:rPr>
          <w:rFonts w:hint="eastAsia" w:ascii="宋体" w:hAnsi="宋体" w:cs="黑体"/>
          <w:i/>
          <w:kern w:val="0"/>
          <w:sz w:val="24"/>
        </w:rPr>
        <w:t>A</w:t>
      </w:r>
      <w:r>
        <w:rPr>
          <w:rFonts w:hint="eastAsia" w:ascii="宋体" w:hAnsi="宋体" w:cs="黑体"/>
          <w:i/>
          <w:kern w:val="0"/>
          <w:sz w:val="24"/>
          <w:vertAlign w:val="subscript"/>
        </w:rPr>
        <w:t>S1</w:t>
      </w:r>
      <w:r>
        <w:rPr>
          <w:rFonts w:hint="eastAsia" w:ascii="宋体" w:hAnsi="宋体" w:cs="黑体"/>
          <w:kern w:val="0"/>
          <w:sz w:val="24"/>
        </w:rPr>
        <w:t>。连续运行</w:t>
      </w:r>
      <w:r>
        <w:rPr>
          <w:rFonts w:hint="eastAsia" w:ascii="宋体" w:hAnsi="宋体"/>
          <w:sz w:val="24"/>
        </w:rPr>
        <w:t>30min</w:t>
      </w:r>
      <w:r>
        <w:rPr>
          <w:rFonts w:hint="eastAsia" w:ascii="宋体" w:hAnsi="宋体" w:cs="黑体"/>
          <w:kern w:val="0"/>
          <w:sz w:val="24"/>
        </w:rPr>
        <w:t>，每间隔5min 测定一次，同时记录读数</w:t>
      </w:r>
      <w:r>
        <w:rPr>
          <w:rFonts w:hint="eastAsia" w:ascii="宋体" w:hAnsi="宋体" w:cs="黑体"/>
          <w:i/>
          <w:kern w:val="0"/>
          <w:sz w:val="24"/>
        </w:rPr>
        <w:t>A</w:t>
      </w:r>
      <w:r>
        <w:rPr>
          <w:rFonts w:hint="eastAsia" w:ascii="宋体" w:hAnsi="宋体" w:cs="黑体"/>
          <w:i/>
          <w:kern w:val="0"/>
          <w:sz w:val="24"/>
          <w:vertAlign w:val="subscript"/>
        </w:rPr>
        <w:t>Zi</w:t>
      </w:r>
      <w:r>
        <w:rPr>
          <w:rFonts w:hint="eastAsia" w:ascii="宋体" w:hAnsi="宋体" w:cs="黑体"/>
          <w:kern w:val="0"/>
          <w:sz w:val="24"/>
        </w:rPr>
        <w:t>及</w:t>
      </w:r>
      <w:r>
        <w:rPr>
          <w:rFonts w:hint="eastAsia" w:ascii="宋体" w:hAnsi="宋体" w:cs="黑体"/>
          <w:i/>
          <w:kern w:val="0"/>
          <w:sz w:val="24"/>
        </w:rPr>
        <w:t>A</w:t>
      </w:r>
      <w:r>
        <w:rPr>
          <w:rFonts w:hint="eastAsia" w:ascii="宋体" w:hAnsi="宋体" w:cs="黑体"/>
          <w:i/>
          <w:kern w:val="0"/>
          <w:sz w:val="24"/>
          <w:vertAlign w:val="subscript"/>
        </w:rPr>
        <w:t>Si</w:t>
      </w:r>
      <w:r>
        <w:rPr>
          <w:rFonts w:hint="eastAsia" w:ascii="宋体" w:hAnsi="宋体" w:cs="黑体"/>
          <w:kern w:val="0"/>
          <w:sz w:val="24"/>
        </w:rPr>
        <w:t>，按式</w:t>
      </w:r>
      <w:r>
        <w:rPr>
          <w:rFonts w:ascii="宋体" w:hAnsi="宋体" w:cs="黑体"/>
          <w:kern w:val="0"/>
          <w:sz w:val="24"/>
        </w:rPr>
        <w:t>(</w:t>
      </w:r>
      <w:r>
        <w:rPr>
          <w:rFonts w:hint="eastAsia" w:ascii="宋体" w:hAnsi="宋体" w:cs="黑体"/>
          <w:kern w:val="0"/>
          <w:sz w:val="24"/>
        </w:rPr>
        <w:t>3</w:t>
      </w:r>
      <w:r>
        <w:rPr>
          <w:rFonts w:ascii="宋体" w:hAnsi="宋体" w:cs="黑体"/>
          <w:kern w:val="0"/>
          <w:sz w:val="24"/>
        </w:rPr>
        <w:t>)</w:t>
      </w:r>
      <w:r>
        <w:rPr>
          <w:rFonts w:hint="eastAsia" w:ascii="宋体" w:hAnsi="宋体" w:cs="黑体"/>
          <w:kern w:val="0"/>
          <w:sz w:val="24"/>
        </w:rPr>
        <w:t>计算零点漂移</w:t>
      </w:r>
      <w:r>
        <w:rPr>
          <w:rFonts w:ascii="宋体" w:hAnsi="宋体" w:cs="黑体"/>
          <w:kern w:val="0"/>
          <w:sz w:val="24"/>
        </w:rPr>
        <w:t>:</w:t>
      </w:r>
      <w:r>
        <w:rPr>
          <w:rFonts w:hint="eastAsia" w:ascii="宋体" w:hAnsi="宋体" w:cs="黑体"/>
          <w:kern w:val="0"/>
          <w:sz w:val="24"/>
        </w:rPr>
        <w:t xml:space="preserve">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 xml:space="preserve">                       </w:t>
      </w:r>
      <w:r>
        <w:rPr>
          <w:rFonts w:ascii="宋体" w:hAnsi="宋体" w:cs="黑体"/>
          <w:kern w:val="0"/>
          <w:position w:val="-24"/>
          <w:sz w:val="24"/>
        </w:rPr>
        <w:drawing>
          <wp:inline distT="0" distB="0" distL="114300" distR="114300">
            <wp:extent cx="1473200" cy="393700"/>
            <wp:effectExtent l="0" t="0" r="12700" b="6350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                      (3)</w:t>
      </w:r>
    </w:p>
    <w:p>
      <w:pPr>
        <w:autoSpaceDE w:val="0"/>
        <w:autoSpaceDN w:val="0"/>
        <w:adjustRightInd w:val="0"/>
        <w:ind w:firstLine="120" w:firstLineChars="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 xml:space="preserve">式中：  </w:t>
      </w: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215900" cy="228600"/>
            <wp:effectExtent l="0" t="0" r="12700" b="0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>— 零点漂移（%FS）；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10"/>
          <w:sz w:val="24"/>
        </w:rPr>
        <w:drawing>
          <wp:inline distT="0" distB="0" distL="114300" distR="114300">
            <wp:extent cx="215900" cy="215900"/>
            <wp:effectExtent l="0" t="0" r="13335" b="14605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— 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通入零点气后第1次测量的示值（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215900" cy="228600"/>
            <wp:effectExtent l="0" t="0" r="13335" b="0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— 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通入零点气后第i次测量的示值（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1080" w:firstLineChars="4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4"/>
          <w:sz w:val="24"/>
        </w:rPr>
        <w:drawing>
          <wp:inline distT="0" distB="0" distL="114300" distR="114300">
            <wp:extent cx="152400" cy="165100"/>
            <wp:effectExtent l="0" t="0" r="0" b="4445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 — 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量程（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）。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取绝对值最大的</w:t>
      </w:r>
      <w:r>
        <w:rPr>
          <w:rFonts w:ascii="宋体" w:hAnsi="宋体" w:cs="黑体"/>
          <w:color w:val="FF0000"/>
          <w:kern w:val="0"/>
          <w:position w:val="-12"/>
          <w:sz w:val="24"/>
        </w:rPr>
        <w:drawing>
          <wp:inline distT="0" distB="0" distL="114300" distR="114300">
            <wp:extent cx="215900" cy="228600"/>
            <wp:effectExtent l="0" t="0" r="12700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>作为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的零点漂移值。</w:t>
      </w:r>
    </w:p>
    <w:p>
      <w:pPr>
        <w:autoSpaceDE w:val="0"/>
        <w:autoSpaceDN w:val="0"/>
        <w:adjustRightInd w:val="0"/>
        <w:spacing w:line="360" w:lineRule="auto"/>
        <w:ind w:firstLine="120" w:firstLineChars="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按式</w:t>
      </w:r>
      <w:r>
        <w:rPr>
          <w:rFonts w:ascii="宋体" w:hAnsi="宋体" w:cs="黑体"/>
          <w:kern w:val="0"/>
          <w:sz w:val="24"/>
        </w:rPr>
        <w:t>(</w:t>
      </w:r>
      <w:r>
        <w:rPr>
          <w:rFonts w:hint="eastAsia" w:ascii="宋体" w:hAnsi="宋体" w:cs="黑体"/>
          <w:kern w:val="0"/>
          <w:sz w:val="24"/>
        </w:rPr>
        <w:t>4</w:t>
      </w:r>
      <w:r>
        <w:rPr>
          <w:rFonts w:ascii="宋体" w:hAnsi="宋体" w:cs="黑体"/>
          <w:kern w:val="0"/>
          <w:sz w:val="24"/>
        </w:rPr>
        <w:t>)</w:t>
      </w:r>
      <w:r>
        <w:rPr>
          <w:rFonts w:hint="eastAsia" w:ascii="宋体" w:hAnsi="宋体" w:cs="黑体"/>
          <w:kern w:val="0"/>
          <w:sz w:val="24"/>
        </w:rPr>
        <w:t>计算示值漂移</w:t>
      </w:r>
      <w:r>
        <w:rPr>
          <w:rFonts w:ascii="宋体" w:hAnsi="宋体" w:cs="黑体"/>
          <w:kern w:val="0"/>
          <w:sz w:val="24"/>
        </w:rPr>
        <w:t xml:space="preserve">: </w:t>
      </w:r>
    </w:p>
    <w:p>
      <w:pPr>
        <w:autoSpaceDE w:val="0"/>
        <w:autoSpaceDN w:val="0"/>
        <w:adjustRightInd w:val="0"/>
        <w:spacing w:line="360" w:lineRule="auto"/>
        <w:ind w:firstLine="3240" w:firstLineChars="13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24"/>
          <w:sz w:val="24"/>
        </w:rPr>
        <w:drawing>
          <wp:inline distT="0" distB="0" distL="114300" distR="114300">
            <wp:extent cx="1459865" cy="393700"/>
            <wp:effectExtent l="0" t="0" r="6985" b="6350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                      (4)</w:t>
      </w:r>
    </w:p>
    <w:p>
      <w:pPr>
        <w:autoSpaceDE w:val="0"/>
        <w:autoSpaceDN w:val="0"/>
        <w:adjustRightInd w:val="0"/>
        <w:ind w:firstLine="360" w:firstLineChars="1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 xml:space="preserve">式中：  </w:t>
      </w: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215900" cy="228600"/>
            <wp:effectExtent l="0" t="0" r="12700" b="0"/>
            <wp:docPr id="2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>— 示值漂移（%FS）；</w:t>
      </w:r>
    </w:p>
    <w:p>
      <w:pPr>
        <w:autoSpaceDE w:val="0"/>
        <w:autoSpaceDN w:val="0"/>
        <w:adjustRightInd w:val="0"/>
        <w:ind w:firstLine="1320" w:firstLineChars="5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215900" cy="228600"/>
            <wp:effectExtent l="0" t="0" r="13335" b="0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— 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通入标准气后第1次测量的示值（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1320" w:firstLineChars="5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203200" cy="228600"/>
            <wp:effectExtent l="0" t="0" r="5715" b="0"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— 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通入标准气后第i次测量的示值（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）；</w:t>
      </w:r>
    </w:p>
    <w:p>
      <w:pPr>
        <w:autoSpaceDE w:val="0"/>
        <w:autoSpaceDN w:val="0"/>
        <w:adjustRightInd w:val="0"/>
        <w:ind w:firstLine="1320" w:firstLineChars="550"/>
        <w:jc w:val="left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 w:cs="黑体"/>
          <w:kern w:val="0"/>
          <w:position w:val="-4"/>
          <w:sz w:val="24"/>
        </w:rPr>
        <w:drawing>
          <wp:inline distT="0" distB="0" distL="114300" distR="114300">
            <wp:extent cx="152400" cy="165100"/>
            <wp:effectExtent l="0" t="0" r="0" b="4445"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 xml:space="preserve"> —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量程（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hAnsi="宋体" w:cs="黑体"/>
          <w:kern w:val="0"/>
          <w:sz w:val="24"/>
        </w:rPr>
      </w:pPr>
      <w:r>
        <w:rPr>
          <w:rFonts w:hint="eastAsia" w:ascii="宋体" w:hAnsi="宋体" w:cs="黑体"/>
          <w:kern w:val="0"/>
          <w:sz w:val="24"/>
        </w:rPr>
        <w:t>取绝对值最大的</w:t>
      </w:r>
      <w:r>
        <w:rPr>
          <w:rFonts w:ascii="宋体" w:hAnsi="宋体" w:cs="黑体"/>
          <w:kern w:val="0"/>
          <w:position w:val="-12"/>
          <w:sz w:val="24"/>
        </w:rPr>
        <w:drawing>
          <wp:inline distT="0" distB="0" distL="114300" distR="114300">
            <wp:extent cx="215900" cy="228600"/>
            <wp:effectExtent l="0" t="0" r="12700" b="0"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黑体"/>
          <w:kern w:val="0"/>
          <w:sz w:val="24"/>
        </w:rPr>
        <w:t>作为</w:t>
      </w:r>
      <w:r>
        <w:rPr>
          <w:rFonts w:hint="eastAsia" w:ascii="宋体" w:hAnsi="宋体" w:cs="黑体"/>
          <w:kern w:val="0"/>
          <w:sz w:val="24"/>
          <w:lang w:eastAsia="zh-CN"/>
        </w:rPr>
        <w:t>仪器</w:t>
      </w:r>
      <w:r>
        <w:rPr>
          <w:rFonts w:hint="eastAsia" w:ascii="宋体" w:hAnsi="宋体" w:cs="黑体"/>
          <w:kern w:val="0"/>
          <w:sz w:val="24"/>
        </w:rPr>
        <w:t>的示值漂移值。</w:t>
      </w:r>
    </w:p>
    <w:p>
      <w:pPr>
        <w:keepNext/>
        <w:tabs>
          <w:tab w:val="left" w:pos="425"/>
        </w:tabs>
        <w:snapToGrid w:val="0"/>
        <w:spacing w:before="156" w:beforeLines="50" w:after="156" w:afterLines="50" w:line="360" w:lineRule="auto"/>
        <w:jc w:val="left"/>
        <w:outlineLvl w:val="0"/>
        <w:rPr>
          <w:rFonts w:hint="eastAsia" w:eastAsia="黑体"/>
          <w:bCs/>
          <w:kern w:val="44"/>
          <w:sz w:val="24"/>
          <w:szCs w:val="44"/>
        </w:rPr>
      </w:pPr>
      <w:bookmarkStart w:id="62" w:name="_Toc524974730"/>
      <w:r>
        <w:rPr>
          <w:rFonts w:hint="eastAsia" w:ascii="黑体" w:hAnsi="宋体" w:eastAsia="黑体"/>
          <w:b/>
          <w:sz w:val="24"/>
        </w:rPr>
        <w:t xml:space="preserve">7  </w:t>
      </w:r>
      <w:bookmarkStart w:id="63" w:name="_Toc524429710"/>
      <w:bookmarkStart w:id="64" w:name="_Toc524431434"/>
      <w:bookmarkStart w:id="65" w:name="_Toc524431488"/>
      <w:bookmarkStart w:id="66" w:name="_Toc524431819"/>
      <w:bookmarkStart w:id="67" w:name="_Toc524432041"/>
      <w:r>
        <w:rPr>
          <w:rFonts w:hint="eastAsia" w:eastAsia="黑体"/>
          <w:bCs/>
          <w:kern w:val="44"/>
          <w:sz w:val="24"/>
          <w:szCs w:val="44"/>
        </w:rPr>
        <w:t>校准结果</w:t>
      </w:r>
      <w:bookmarkEnd w:id="6"/>
      <w:bookmarkEnd w:id="7"/>
      <w:bookmarkEnd w:id="62"/>
      <w:bookmarkEnd w:id="63"/>
      <w:bookmarkEnd w:id="64"/>
      <w:bookmarkEnd w:id="65"/>
      <w:bookmarkEnd w:id="66"/>
      <w:bookmarkEnd w:id="67"/>
    </w:p>
    <w:p>
      <w:pPr>
        <w:pStyle w:val="3"/>
        <w:numPr>
          <w:ilvl w:val="0"/>
          <w:numId w:val="0"/>
        </w:numPr>
        <w:rPr>
          <w:rFonts w:hint="eastAsia"/>
        </w:rPr>
      </w:pPr>
      <w:bookmarkStart w:id="68" w:name="_Toc455409192"/>
      <w:bookmarkStart w:id="69" w:name="_Toc524974731"/>
      <w:bookmarkStart w:id="70" w:name="_Toc410905141"/>
      <w:bookmarkStart w:id="71" w:name="_Toc410905765"/>
      <w:bookmarkStart w:id="72" w:name="_Toc498939720"/>
      <w:r>
        <w:rPr>
          <w:rFonts w:hint="eastAsia" w:ascii="Times New Roman" w:hAnsi="Times New Roman"/>
          <w:lang w:eastAsia="zh-CN"/>
        </w:rPr>
        <w:t>7.1</w:t>
      </w:r>
      <w:r>
        <w:rPr>
          <w:rFonts w:ascii="Times New Roman" w:hAnsi="Times New Roman"/>
        </w:rPr>
        <w:t xml:space="preserve"> </w:t>
      </w:r>
      <w:bookmarkStart w:id="73" w:name="_Toc524429711"/>
      <w:bookmarkStart w:id="74" w:name="_Toc524431435"/>
      <w:bookmarkStart w:id="75" w:name="_Toc524431489"/>
      <w:bookmarkStart w:id="76" w:name="_Toc524431820"/>
      <w:bookmarkStart w:id="77" w:name="_Toc524432042"/>
      <w:r>
        <w:rPr>
          <w:rFonts w:hint="eastAsia"/>
        </w:rPr>
        <w:t>校准记录</w:t>
      </w:r>
      <w:bookmarkEnd w:id="68"/>
      <w:bookmarkEnd w:id="69"/>
      <w:bookmarkEnd w:id="73"/>
      <w:bookmarkEnd w:id="74"/>
      <w:bookmarkEnd w:id="75"/>
      <w:bookmarkEnd w:id="76"/>
      <w:bookmarkEnd w:id="77"/>
    </w:p>
    <w:p>
      <w:pPr>
        <w:spacing w:line="360" w:lineRule="auto"/>
        <w:ind w:firstLine="488" w:firstLineChars="200"/>
        <w:rPr>
          <w:rFonts w:hint="eastAsia" w:ascii="宋体" w:hAnsi="宋体"/>
          <w:spacing w:val="2"/>
          <w:kern w:val="0"/>
          <w:position w:val="-1"/>
          <w:sz w:val="24"/>
        </w:rPr>
      </w:pPr>
      <w:r>
        <w:rPr>
          <w:rFonts w:hint="eastAsia" w:ascii="宋体" w:hAnsi="宋体"/>
          <w:spacing w:val="2"/>
          <w:kern w:val="0"/>
          <w:position w:val="-1"/>
          <w:sz w:val="24"/>
        </w:rPr>
        <w:t>校准记录应尽可能详尽地记载测量数据和计算结果，记录格式见附录A。</w:t>
      </w:r>
    </w:p>
    <w:p>
      <w:pPr>
        <w:pStyle w:val="3"/>
        <w:numPr>
          <w:ilvl w:val="0"/>
          <w:numId w:val="0"/>
        </w:numPr>
        <w:rPr>
          <w:rFonts w:hint="eastAsia"/>
        </w:rPr>
      </w:pPr>
      <w:bookmarkStart w:id="78" w:name="_Toc455409193"/>
      <w:bookmarkStart w:id="79" w:name="_Toc524974732"/>
      <w:r>
        <w:rPr>
          <w:rFonts w:hint="eastAsia"/>
          <w:lang w:eastAsia="zh-CN"/>
        </w:rPr>
        <w:t>7.2</w:t>
      </w:r>
      <w:r>
        <w:t xml:space="preserve"> </w:t>
      </w:r>
      <w:bookmarkStart w:id="80" w:name="_Toc524431821"/>
      <w:bookmarkStart w:id="81" w:name="_Toc524432043"/>
      <w:bookmarkStart w:id="82" w:name="_Toc524429712"/>
      <w:bookmarkStart w:id="83" w:name="_Toc524431436"/>
      <w:bookmarkStart w:id="84" w:name="_Toc524431490"/>
      <w:r>
        <w:rPr>
          <w:rFonts w:hint="eastAsia"/>
        </w:rPr>
        <w:t>校准证书</w:t>
      </w:r>
      <w:bookmarkEnd w:id="78"/>
      <w:bookmarkEnd w:id="79"/>
      <w:bookmarkEnd w:id="80"/>
      <w:bookmarkEnd w:id="81"/>
      <w:bookmarkEnd w:id="82"/>
      <w:bookmarkEnd w:id="83"/>
      <w:bookmarkEnd w:id="84"/>
    </w:p>
    <w:p>
      <w:pPr>
        <w:spacing w:line="360" w:lineRule="auto"/>
        <w:ind w:firstLine="488" w:firstLineChars="200"/>
        <w:rPr>
          <w:rFonts w:hint="eastAsia" w:ascii="宋体" w:hAnsi="宋体"/>
          <w:spacing w:val="2"/>
          <w:kern w:val="0"/>
          <w:position w:val="-1"/>
          <w:sz w:val="24"/>
        </w:rPr>
      </w:pPr>
      <w:r>
        <w:rPr>
          <w:rFonts w:hint="eastAsia" w:ascii="宋体" w:hAnsi="宋体"/>
          <w:spacing w:val="2"/>
          <w:kern w:val="0"/>
          <w:position w:val="-1"/>
          <w:sz w:val="24"/>
        </w:rPr>
        <w:t>校准证书由封面和校准数据组成，经校准的测定仪应出具校准证书，校准证书应包括的信息及推荐的校准证书内页格式见附录B。</w:t>
      </w:r>
    </w:p>
    <w:p>
      <w:pPr>
        <w:spacing w:line="360" w:lineRule="auto"/>
        <w:ind w:firstLine="488" w:firstLineChars="200"/>
        <w:rPr>
          <w:rFonts w:hint="eastAsia" w:ascii="宋体" w:hAnsi="宋体"/>
          <w:spacing w:val="2"/>
          <w:kern w:val="0"/>
          <w:position w:val="-1"/>
          <w:sz w:val="24"/>
        </w:rPr>
      </w:pPr>
      <w:r>
        <w:rPr>
          <w:rFonts w:hint="eastAsia" w:ascii="宋体" w:hAnsi="宋体"/>
          <w:spacing w:val="2"/>
          <w:kern w:val="0"/>
          <w:position w:val="-1"/>
          <w:sz w:val="24"/>
        </w:rPr>
        <w:t>当客户要求时，可以根据计量特性进行符合性判定，并将结论列入校准证书。进行符合性判定应考虑测量不确定度。</w:t>
      </w:r>
    </w:p>
    <w:bookmarkEnd w:id="70"/>
    <w:bookmarkEnd w:id="71"/>
    <w:bookmarkEnd w:id="72"/>
    <w:p>
      <w:pPr>
        <w:keepNext/>
        <w:tabs>
          <w:tab w:val="left" w:pos="425"/>
        </w:tabs>
        <w:snapToGrid w:val="0"/>
        <w:spacing w:before="156" w:beforeLines="50" w:after="156" w:afterLines="50" w:line="360" w:lineRule="auto"/>
        <w:jc w:val="left"/>
        <w:outlineLvl w:val="0"/>
        <w:rPr>
          <w:rFonts w:hint="eastAsia" w:eastAsia="黑体"/>
          <w:bCs/>
          <w:kern w:val="44"/>
          <w:sz w:val="24"/>
          <w:szCs w:val="44"/>
        </w:rPr>
      </w:pPr>
      <w:bookmarkStart w:id="85" w:name="_Toc410905143"/>
      <w:bookmarkStart w:id="86" w:name="_Toc498939722"/>
      <w:bookmarkStart w:id="87" w:name="_Toc524429713"/>
      <w:bookmarkStart w:id="88" w:name="_Toc524431437"/>
      <w:bookmarkStart w:id="89" w:name="_Toc524431491"/>
      <w:bookmarkStart w:id="90" w:name="_Toc524431822"/>
      <w:bookmarkStart w:id="91" w:name="_Toc524432044"/>
      <w:bookmarkStart w:id="92" w:name="_Toc524974733"/>
      <w:r>
        <w:rPr>
          <w:rFonts w:hint="eastAsia" w:eastAsia="黑体"/>
          <w:bCs/>
          <w:kern w:val="44"/>
          <w:sz w:val="24"/>
          <w:szCs w:val="44"/>
        </w:rPr>
        <w:t>8  复校时间间隔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pPr>
        <w:spacing w:line="360" w:lineRule="auto"/>
        <w:rPr>
          <w:rFonts w:hint="eastAsia" w:ascii="宋体" w:hAnsi="宋体" w:cs="黑体"/>
          <w:bCs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 w:cs="黑体"/>
          <w:bCs/>
          <w:sz w:val="24"/>
        </w:rPr>
        <w:t>建议复校时间间隔一般不超过1年。</w:t>
      </w:r>
      <w:r>
        <w:rPr>
          <w:rFonts w:ascii="宋体" w:hAnsi="宋体"/>
          <w:sz w:val="24"/>
        </w:rPr>
        <w:t>如</w:t>
      </w:r>
      <w:r>
        <w:rPr>
          <w:rFonts w:hAnsi="宋体"/>
          <w:sz w:val="24"/>
        </w:rPr>
        <w:t>果仪器</w:t>
      </w:r>
      <w:r>
        <w:rPr>
          <w:rFonts w:hint="eastAsia" w:ascii="宋体" w:hAnsi="宋体" w:cs="黑体"/>
          <w:bCs/>
          <w:sz w:val="24"/>
        </w:rPr>
        <w:t>经修理、更换重要性能的部件，对仪器性能怀疑时应重新校准。</w:t>
      </w:r>
    </w:p>
    <w:p>
      <w:pPr>
        <w:spacing w:line="360" w:lineRule="auto"/>
        <w:rPr>
          <w:rFonts w:ascii="宋体" w:hAnsi="宋体" w:cs="黑体"/>
          <w:bCs/>
          <w:sz w:val="24"/>
        </w:rPr>
      </w:pPr>
      <w:r>
        <w:rPr>
          <w:rFonts w:hint="eastAsia" w:ascii="宋体" w:hAnsi="宋体" w:cs="黑体"/>
          <w:bCs/>
          <w:sz w:val="24"/>
        </w:rPr>
        <w:t xml:space="preserve">     由于复校时间间隔的长短是由仪器的使用情况、使用者、仪器本身质量等诸多因素所决定的，因此，送校单位可根据实际使用情况自主决定复校时间间隔。</w:t>
      </w:r>
    </w:p>
    <w:p/>
    <w:p/>
    <w:p/>
    <w:p/>
    <w:p/>
    <w:p>
      <w:pPr>
        <w:rPr>
          <w:rFonts w:hint="eastAsia"/>
        </w:rPr>
      </w:pPr>
    </w:p>
    <w:p>
      <w:pPr>
        <w:outlineLvl w:val="0"/>
        <w:rPr>
          <w:rFonts w:hint="eastAsia" w:eastAsia="黑体"/>
          <w:b/>
          <w:sz w:val="28"/>
          <w:szCs w:val="28"/>
        </w:rPr>
      </w:pPr>
      <w:r>
        <w:br w:type="page"/>
      </w:r>
      <w:bookmarkStart w:id="93" w:name="_Toc498939723"/>
      <w:bookmarkStart w:id="94" w:name="_Toc524974734"/>
      <w:r>
        <w:rPr>
          <w:rFonts w:ascii="黑体" w:eastAsia="黑体"/>
          <w:b/>
          <w:sz w:val="28"/>
          <w:szCs w:val="28"/>
        </w:rPr>
        <w:t>附录A</w:t>
      </w:r>
      <w:bookmarkEnd w:id="8"/>
      <w:bookmarkEnd w:id="93"/>
      <w:bookmarkStart w:id="95" w:name="_Toc410905145"/>
      <w:r>
        <w:rPr>
          <w:rFonts w:hint="eastAsia" w:ascii="黑体" w:eastAsia="黑体"/>
          <w:b/>
          <w:sz w:val="28"/>
          <w:szCs w:val="28"/>
        </w:rPr>
        <w:t xml:space="preserve">  </w:t>
      </w:r>
      <w:bookmarkStart w:id="96" w:name="_Toc498939724"/>
      <w:bookmarkStart w:id="97" w:name="_Toc524429714"/>
      <w:bookmarkStart w:id="98" w:name="_Toc524431438"/>
      <w:bookmarkStart w:id="99" w:name="_Toc524431492"/>
      <w:bookmarkStart w:id="100" w:name="_Toc524431823"/>
      <w:bookmarkStart w:id="101" w:name="_Toc524432045"/>
      <w:r>
        <w:rPr>
          <w:rFonts w:hint="eastAsia" w:eastAsia="黑体"/>
          <w:b/>
          <w:sz w:val="28"/>
          <w:szCs w:val="28"/>
          <w:lang w:eastAsia="zh-CN"/>
        </w:rPr>
        <w:t>氰化氢气体检测报警仪</w:t>
      </w:r>
      <w:r>
        <w:rPr>
          <w:rFonts w:hint="eastAsia" w:eastAsia="黑体"/>
          <w:b/>
          <w:sz w:val="28"/>
          <w:szCs w:val="28"/>
        </w:rPr>
        <w:t>原始记录格式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ind w:firstLine="6976" w:firstLineChars="3322"/>
        <w:rPr>
          <w:rFonts w:hint="eastAsia"/>
          <w:b/>
          <w:bCs/>
        </w:rPr>
      </w:pPr>
      <w:bookmarkStart w:id="102" w:name="_Toc498939725"/>
      <w:bookmarkStart w:id="103" w:name="_Toc524429715"/>
      <w:bookmarkStart w:id="104" w:name="_Toc524431439"/>
      <w:bookmarkStart w:id="105" w:name="_Toc524431493"/>
      <w:bookmarkStart w:id="106" w:name="_Toc524431824"/>
      <w:bookmarkStart w:id="107" w:name="_Toc524432046"/>
      <w:r>
        <w:rPr>
          <w:rFonts w:hint="eastAsia"/>
        </w:rPr>
        <w:t>第  页  共   页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委托单位： </w:t>
      </w: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 xml:space="preserve"> 证书编号：</w:t>
      </w: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 xml:space="preserve"> ；   </w:t>
      </w:r>
    </w:p>
    <w:p>
      <w:pPr>
        <w:spacing w:line="400" w:lineRule="exac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仪器名称： </w:t>
      </w: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 xml:space="preserve"> ；生产厂家：</w:t>
      </w:r>
      <w:r>
        <w:rPr>
          <w:rFonts w:hint="eastAsia"/>
          <w:sz w:val="24"/>
          <w:u w:val="single"/>
        </w:rPr>
        <w:t xml:space="preserve">                      ；  </w:t>
      </w:r>
    </w:p>
    <w:p>
      <w:pPr>
        <w:spacing w:line="400" w:lineRule="exac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量程：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型号/规格：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出厂编号： </w:t>
      </w:r>
      <w:r>
        <w:rPr>
          <w:rFonts w:hint="eastAsia"/>
          <w:sz w:val="24"/>
          <w:u w:val="single"/>
        </w:rPr>
        <w:t xml:space="preserve">                   ；</w:t>
      </w:r>
    </w:p>
    <w:tbl>
      <w:tblPr>
        <w:tblStyle w:val="20"/>
        <w:tblW w:w="9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303"/>
        <w:gridCol w:w="959"/>
        <w:gridCol w:w="1275"/>
        <w:gridCol w:w="1893"/>
        <w:gridCol w:w="1256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38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标准器名称</w:t>
            </w:r>
          </w:p>
        </w:tc>
        <w:tc>
          <w:tcPr>
            <w:tcW w:w="130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型号/规格</w:t>
            </w:r>
          </w:p>
        </w:tc>
        <w:tc>
          <w:tcPr>
            <w:tcW w:w="95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127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测量范围</w:t>
            </w:r>
          </w:p>
        </w:tc>
        <w:tc>
          <w:tcPr>
            <w:tcW w:w="189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不确定度/准确度</w:t>
            </w:r>
          </w:p>
        </w:tc>
        <w:tc>
          <w:tcPr>
            <w:tcW w:w="1256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证书编号</w:t>
            </w:r>
          </w:p>
        </w:tc>
        <w:tc>
          <w:tcPr>
            <w:tcW w:w="124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8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0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9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6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8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0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9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6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38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0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9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93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56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320" w:type="dxa"/>
            <w:gridSpan w:val="7"/>
            <w:shd w:val="clear" w:color="auto" w:fill="auto"/>
            <w:vAlign w:val="top"/>
          </w:tcPr>
          <w:p>
            <w:pPr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校准依据：</w:t>
            </w:r>
          </w:p>
        </w:tc>
      </w:tr>
    </w:tbl>
    <w:p>
      <w:pPr>
        <w:spacing w:line="400" w:lineRule="exac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环境温度：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℃  环境湿度：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﹪RH  校准员：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核验员：</w:t>
      </w:r>
      <w:r>
        <w:rPr>
          <w:rFonts w:hint="eastAsia"/>
          <w:sz w:val="24"/>
          <w:u w:val="single"/>
        </w:rPr>
        <w:t xml:space="preserve">      ；</w:t>
      </w:r>
    </w:p>
    <w:p>
      <w:pPr>
        <w:numPr>
          <w:ilvl w:val="0"/>
          <w:numId w:val="3"/>
        </w:numPr>
        <w:spacing w:line="400" w:lineRule="exact"/>
        <w:rPr>
          <w:rFonts w:hint="eastAsia"/>
          <w:sz w:val="24"/>
        </w:rPr>
      </w:pPr>
      <w:r>
        <w:rPr>
          <w:rFonts w:hint="eastAsia" w:ascii="宋体" w:hAnsi="宋体"/>
          <w:bCs/>
          <w:sz w:val="24"/>
        </w:rPr>
        <w:t>外观及通电检查</w:t>
      </w:r>
      <w:r>
        <w:rPr>
          <w:rFonts w:hint="eastAsia"/>
          <w:sz w:val="24"/>
          <w:u w:val="single"/>
        </w:rPr>
        <w:t xml:space="preserve">                      </w:t>
      </w:r>
    </w:p>
    <w:p>
      <w:pPr>
        <w:numPr>
          <w:ilvl w:val="0"/>
          <w:numId w:val="3"/>
        </w:num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报警功能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报警动作值</w:t>
      </w:r>
      <w:r>
        <w:rPr>
          <w:rFonts w:hint="eastAsia"/>
          <w:sz w:val="24"/>
          <w:u w:val="single"/>
        </w:rPr>
        <w:t xml:space="preserve">              </w:t>
      </w:r>
    </w:p>
    <w:p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3、示值误差和重复性</w:t>
      </w:r>
    </w:p>
    <w:tbl>
      <w:tblPr>
        <w:tblStyle w:val="20"/>
        <w:tblW w:w="9924" w:type="dxa"/>
        <w:jc w:val="center"/>
        <w:tblInd w:w="-9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690"/>
        <w:gridCol w:w="615"/>
        <w:gridCol w:w="585"/>
        <w:gridCol w:w="585"/>
        <w:gridCol w:w="570"/>
        <w:gridCol w:w="525"/>
        <w:gridCol w:w="1142"/>
        <w:gridCol w:w="854"/>
        <w:gridCol w:w="1118"/>
        <w:gridCol w:w="981"/>
        <w:gridCol w:w="11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11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</w:p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3570" w:type="dxa"/>
            <w:gridSpan w:val="6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仪器示值（   ）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3次</w:t>
            </w:r>
            <w:r>
              <w:rPr>
                <w:rFonts w:hint="eastAsia"/>
                <w:szCs w:val="21"/>
              </w:rPr>
              <w:t>平均值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6次平均值</w:t>
            </w:r>
          </w:p>
        </w:tc>
        <w:tc>
          <w:tcPr>
            <w:tcW w:w="11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示值误差</w:t>
            </w:r>
          </w:p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%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重复性</w:t>
            </w:r>
          </w:p>
          <w:p>
            <w:pPr>
              <w:spacing w:line="360" w:lineRule="auto"/>
              <w:ind w:firstLine="315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(%)</w:t>
            </w:r>
          </w:p>
        </w:tc>
        <w:tc>
          <w:tcPr>
            <w:tcW w:w="1141" w:type="dxa"/>
            <w:vMerge w:val="restart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不确定度U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1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25" w:type="dxa"/>
            <w:vAlign w:val="top"/>
          </w:tcPr>
          <w:p>
            <w:pPr>
              <w:spacing w:line="360" w:lineRule="auto"/>
              <w:ind w:firstLine="105" w:firstLineChar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4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25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9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1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8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25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4、响应时间</w:t>
      </w:r>
    </w:p>
    <w:tbl>
      <w:tblPr>
        <w:tblStyle w:val="20"/>
        <w:tblW w:w="10142" w:type="dxa"/>
        <w:jc w:val="center"/>
        <w:tblInd w:w="-1161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2097"/>
        <w:gridCol w:w="2097"/>
        <w:gridCol w:w="2097"/>
        <w:gridCol w:w="155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2297" w:type="dxa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标准气体浓度值</w:t>
            </w:r>
          </w:p>
        </w:tc>
        <w:tc>
          <w:tcPr>
            <w:tcW w:w="6291" w:type="dxa"/>
            <w:gridSpan w:val="3"/>
            <w:tcBorders>
              <w:bottom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响   应   时   间</w:t>
            </w:r>
            <w:r>
              <w:rPr>
                <w:rFonts w:hint="eastAsia"/>
                <w:iCs/>
                <w:szCs w:val="21"/>
              </w:rPr>
              <w:t>(s)</w:t>
            </w:r>
          </w:p>
        </w:tc>
        <w:tc>
          <w:tcPr>
            <w:tcW w:w="155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平均值</w:t>
            </w:r>
            <w:r>
              <w:rPr>
                <w:rFonts w:hint="eastAsia"/>
                <w:iCs/>
                <w:szCs w:val="21"/>
              </w:rPr>
              <w:t>(s)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297" w:type="dxa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097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9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9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5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29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97" w:type="dxa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9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9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5、漂移</w:t>
      </w:r>
    </w:p>
    <w:tbl>
      <w:tblPr>
        <w:tblStyle w:val="20"/>
        <w:tblW w:w="1008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04"/>
        <w:gridCol w:w="1286"/>
        <w:gridCol w:w="1209"/>
        <w:gridCol w:w="1362"/>
        <w:gridCol w:w="1286"/>
        <w:gridCol w:w="1286"/>
        <w:gridCol w:w="1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次数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0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8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零点示值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测量示值</w:t>
            </w:r>
          </w:p>
        </w:tc>
        <w:tc>
          <w:tcPr>
            <w:tcW w:w="1004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4759" w:type="dxa"/>
            <w:gridSpan w:val="4"/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零点漂移：</w:t>
            </w:r>
          </w:p>
        </w:tc>
        <w:tc>
          <w:tcPr>
            <w:tcW w:w="5321" w:type="dxa"/>
            <w:gridSpan w:val="4"/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示值漂移：</w:t>
            </w:r>
          </w:p>
        </w:tc>
      </w:tr>
    </w:tbl>
    <w:p>
      <w:pPr>
        <w:outlineLvl w:val="0"/>
        <w:rPr>
          <w:rFonts w:hint="eastAsia" w:eastAsia="黑体"/>
          <w:b/>
          <w:sz w:val="28"/>
          <w:szCs w:val="28"/>
        </w:rPr>
      </w:pPr>
    </w:p>
    <w:p>
      <w:pPr>
        <w:outlineLvl w:val="0"/>
        <w:rPr>
          <w:rFonts w:hint="eastAsia" w:eastAsia="黑体"/>
          <w:b/>
          <w:sz w:val="28"/>
          <w:szCs w:val="28"/>
        </w:rPr>
      </w:pPr>
    </w:p>
    <w:p>
      <w:pPr>
        <w:outlineLvl w:val="0"/>
        <w:rPr>
          <w:rFonts w:hint="eastAsia" w:eastAsia="黑体"/>
          <w:b/>
          <w:sz w:val="28"/>
          <w:szCs w:val="28"/>
        </w:rPr>
      </w:pPr>
      <w:bookmarkStart w:id="108" w:name="_Toc524974735"/>
      <w:r>
        <w:rPr>
          <w:rFonts w:hint="eastAsia" w:eastAsia="黑体"/>
          <w:b/>
          <w:sz w:val="28"/>
          <w:szCs w:val="28"/>
        </w:rPr>
        <w:t>附录B</w:t>
      </w:r>
      <w:bookmarkEnd w:id="102"/>
      <w:bookmarkEnd w:id="103"/>
      <w:bookmarkEnd w:id="104"/>
      <w:bookmarkEnd w:id="105"/>
      <w:bookmarkEnd w:id="106"/>
      <w:bookmarkEnd w:id="107"/>
      <w:r>
        <w:rPr>
          <w:rFonts w:hint="eastAsia" w:eastAsia="黑体"/>
          <w:b/>
          <w:sz w:val="28"/>
          <w:szCs w:val="28"/>
        </w:rPr>
        <w:t xml:space="preserve">  </w:t>
      </w:r>
      <w:bookmarkStart w:id="109" w:name="_Toc524431494"/>
      <w:bookmarkStart w:id="110" w:name="_Toc524429716"/>
      <w:bookmarkStart w:id="111" w:name="_Toc524432047"/>
      <w:bookmarkStart w:id="112" w:name="_Toc524431440"/>
      <w:bookmarkStart w:id="113" w:name="_Toc524431825"/>
      <w:bookmarkStart w:id="114" w:name="_Toc498939726"/>
      <w:r>
        <w:rPr>
          <w:rFonts w:hint="eastAsia" w:eastAsia="黑体"/>
          <w:b/>
          <w:sz w:val="28"/>
          <w:szCs w:val="28"/>
        </w:rPr>
        <w:t>校准证书的内容</w:t>
      </w:r>
      <w:bookmarkEnd w:id="108"/>
      <w:bookmarkEnd w:id="109"/>
      <w:bookmarkEnd w:id="110"/>
      <w:bookmarkEnd w:id="111"/>
      <w:bookmarkEnd w:id="112"/>
      <w:bookmarkEnd w:id="113"/>
      <w:bookmarkEnd w:id="114"/>
    </w:p>
    <w:p>
      <w:pPr>
        <w:spacing w:line="480" w:lineRule="exact"/>
        <w:rPr>
          <w:bCs/>
          <w:sz w:val="24"/>
        </w:rPr>
      </w:pPr>
      <w:r>
        <w:rPr>
          <w:rFonts w:ascii="宋体" w:hAnsi="宋体"/>
          <w:sz w:val="24"/>
        </w:rPr>
        <w:t>B.1  校准证书至少包括以下信息</w:t>
      </w:r>
      <w:r>
        <w:rPr>
          <w:bCs/>
          <w:sz w:val="24"/>
        </w:rPr>
        <w:t>：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标题：“校准证书”；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 xml:space="preserve">实验室名称和地址； 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进行校准的地点（如果不在实验室内进行校准）；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校准证书编号，页码及总页数的标识；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校准单位校准专用章；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送校单位的名称和地址</w:t>
      </w:r>
      <w:r>
        <w:rPr>
          <w:rFonts w:hint="eastAsia"/>
          <w:sz w:val="24"/>
        </w:rPr>
        <w:t>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被校仪器的描述和明确标识：仪器的制造单位、名称、型号及出厂编号；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校准日期；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校准所依据的技术规范的名称及代号；</w:t>
      </w:r>
    </w:p>
    <w:p>
      <w:pPr>
        <w:numPr>
          <w:ilvl w:val="0"/>
          <w:numId w:val="4"/>
        </w:numPr>
        <w:tabs>
          <w:tab w:val="left" w:pos="908"/>
          <w:tab w:val="left" w:pos="945"/>
          <w:tab w:val="clear" w:pos="1212"/>
        </w:tabs>
        <w:spacing w:line="480" w:lineRule="exact"/>
        <w:ind w:left="945" w:hanging="453"/>
        <w:rPr>
          <w:sz w:val="24"/>
        </w:rPr>
      </w:pPr>
      <w:r>
        <w:rPr>
          <w:sz w:val="24"/>
        </w:rPr>
        <w:t>本次校准所用的主要计量标准器具（包括标准物质）的名称、测量范围、不确定度或准确度等级或最大允许误差、证书编号及有效期；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校准时的环境温度、相对湿度；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校准结果及其测量不确定度的说明；</w:t>
      </w:r>
    </w:p>
    <w:p>
      <w:pPr>
        <w:numPr>
          <w:ilvl w:val="0"/>
          <w:numId w:val="4"/>
        </w:numPr>
        <w:tabs>
          <w:tab w:val="clear" w:pos="1212"/>
        </w:tabs>
        <w:spacing w:line="480" w:lineRule="exact"/>
        <w:ind w:left="945" w:hanging="453"/>
        <w:rPr>
          <w:sz w:val="24"/>
        </w:rPr>
      </w:pPr>
      <w:r>
        <w:rPr>
          <w:sz w:val="24"/>
        </w:rPr>
        <w:t>校准人与核验人的签名；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校准证书批准人的签名与职务；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校准结果仅对被校对象有效的声明；</w:t>
      </w:r>
    </w:p>
    <w:p>
      <w:pPr>
        <w:numPr>
          <w:ilvl w:val="0"/>
          <w:numId w:val="4"/>
        </w:numPr>
        <w:tabs>
          <w:tab w:val="left" w:pos="908"/>
        </w:tabs>
        <w:spacing w:line="480" w:lineRule="exact"/>
        <w:rPr>
          <w:sz w:val="24"/>
        </w:rPr>
      </w:pPr>
      <w:r>
        <w:rPr>
          <w:sz w:val="24"/>
        </w:rPr>
        <w:t>未经实验室书面批准，不得部分复制证书的声明。</w:t>
      </w:r>
    </w:p>
    <w:p>
      <w:pPr>
        <w:rPr>
          <w:rFonts w:hint="eastAsia"/>
          <w:sz w:val="24"/>
        </w:rPr>
      </w:pPr>
      <w:r>
        <w:rPr>
          <w:sz w:val="24"/>
        </w:rPr>
        <w:br w:type="page"/>
      </w:r>
      <w:r>
        <w:rPr>
          <w:rFonts w:ascii="宋体" w:hAnsi="宋体"/>
          <w:sz w:val="24"/>
        </w:rPr>
        <w:t xml:space="preserve">B.2  </w:t>
      </w:r>
      <w:r>
        <w:rPr>
          <w:sz w:val="24"/>
        </w:rPr>
        <w:t>校准证书（内页）格式</w:t>
      </w:r>
    </w:p>
    <w:p>
      <w:pPr>
        <w:rPr>
          <w:rFonts w:ascii="宋体" w:hAnsi="宋体"/>
          <w:color w:val="FF0000"/>
          <w:sz w:val="24"/>
        </w:rPr>
      </w:pPr>
    </w:p>
    <w:tbl>
      <w:tblPr>
        <w:tblStyle w:val="20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8"/>
        <w:gridCol w:w="1934"/>
        <w:gridCol w:w="1979"/>
        <w:gridCol w:w="1080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2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测量结果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外观</w:t>
            </w:r>
            <w:r>
              <w:rPr>
                <w:rFonts w:hint="eastAsia" w:ascii="宋体" w:hAnsi="宋体"/>
                <w:bCs/>
                <w:sz w:val="24"/>
              </w:rPr>
              <w:t>及通电检查</w:t>
            </w:r>
          </w:p>
        </w:tc>
        <w:tc>
          <w:tcPr>
            <w:tcW w:w="62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报警功能</w:t>
            </w: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报警动作值</w:t>
            </w:r>
          </w:p>
        </w:tc>
        <w:tc>
          <w:tcPr>
            <w:tcW w:w="234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284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示值误差</w:t>
            </w: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标准值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   ）</w:t>
            </w:r>
          </w:p>
        </w:tc>
        <w:tc>
          <w:tcPr>
            <w:tcW w:w="19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示值平均值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    ）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误差</w:t>
            </w: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4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15" w:name="示值平均值"/>
            <w:bookmarkEnd w:id="115"/>
          </w:p>
        </w:tc>
        <w:tc>
          <w:tcPr>
            <w:tcW w:w="197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4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4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重复性 </w:t>
            </w:r>
          </w:p>
        </w:tc>
        <w:tc>
          <w:tcPr>
            <w:tcW w:w="62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16" w:name="重复性"/>
            <w:bookmarkEnd w:id="116"/>
            <w:r>
              <w:rPr>
                <w:rFonts w:hint="eastAsia" w:ascii="宋体" w:hAnsi="宋体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响应时间 </w:t>
            </w:r>
          </w:p>
        </w:tc>
        <w:tc>
          <w:tcPr>
            <w:tcW w:w="62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17" w:name="响应时间"/>
            <w:bookmarkEnd w:id="117"/>
            <w:r>
              <w:rPr>
                <w:rFonts w:hint="eastAsia" w:ascii="宋体" w:hAnsi="宋体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零点漂移 </w:t>
            </w:r>
          </w:p>
        </w:tc>
        <w:tc>
          <w:tcPr>
            <w:tcW w:w="62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示值漂移 </w:t>
            </w:r>
          </w:p>
        </w:tc>
        <w:tc>
          <w:tcPr>
            <w:tcW w:w="62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</w:p>
        </w:tc>
      </w:tr>
    </w:tbl>
    <w:p>
      <w:pPr>
        <w:rPr>
          <w:rFonts w:ascii="宋体" w:hAnsi="宋体"/>
          <w:color w:val="FF0000"/>
          <w:sz w:val="24"/>
        </w:rPr>
      </w:pPr>
    </w:p>
    <w:p>
      <w:pPr>
        <w:spacing w:line="240" w:lineRule="exact"/>
        <w:jc w:val="center"/>
        <w:rPr>
          <w:rFonts w:hint="eastAsia"/>
          <w:sz w:val="24"/>
        </w:rPr>
      </w:pPr>
      <w:r>
        <w:rPr>
          <w:rFonts w:hint="eastAsia"/>
          <w:sz w:val="24"/>
        </w:rPr>
        <w:t>校准内容结束</w:t>
      </w:r>
    </w:p>
    <w:p>
      <w:pPr>
        <w:spacing w:line="480" w:lineRule="exact"/>
        <w:rPr>
          <w:rFonts w:hint="eastAsia"/>
          <w:sz w:val="24"/>
        </w:rPr>
      </w:pPr>
    </w:p>
    <w:p>
      <w:pPr>
        <w:outlineLvl w:val="0"/>
        <w:rPr>
          <w:rFonts w:hint="eastAsia" w:ascii="黑体" w:hAnsi="宋体" w:eastAsia="黑体"/>
          <w:b/>
          <w:sz w:val="28"/>
          <w:szCs w:val="28"/>
        </w:rPr>
      </w:pPr>
      <w:r>
        <w:br w:type="page"/>
      </w:r>
      <w:bookmarkStart w:id="118" w:name="_Toc524429717"/>
      <w:bookmarkStart w:id="119" w:name="_Toc524431495"/>
      <w:bookmarkStart w:id="120" w:name="_Toc524431826"/>
      <w:bookmarkStart w:id="121" w:name="_Toc524431441"/>
      <w:bookmarkStart w:id="122" w:name="_Toc410905148"/>
      <w:bookmarkStart w:id="123" w:name="_Toc524432048"/>
      <w:bookmarkStart w:id="124" w:name="_Toc524974736"/>
      <w:r>
        <w:rPr>
          <w:rFonts w:hint="eastAsia" w:ascii="黑体" w:hAnsi="宋体" w:eastAsia="黑体"/>
          <w:b/>
          <w:sz w:val="28"/>
          <w:szCs w:val="28"/>
        </w:rPr>
        <w:t>附录C</w:t>
      </w:r>
      <w:bookmarkEnd w:id="118"/>
      <w:bookmarkEnd w:id="119"/>
      <w:bookmarkEnd w:id="120"/>
      <w:bookmarkEnd w:id="121"/>
      <w:bookmarkEnd w:id="122"/>
      <w:bookmarkEnd w:id="123"/>
      <w:bookmarkStart w:id="125" w:name="_Toc524431442"/>
      <w:bookmarkStart w:id="126" w:name="_Toc410905149"/>
      <w:bookmarkStart w:id="127" w:name="_Toc524432049"/>
      <w:bookmarkStart w:id="128" w:name="_Toc524429718"/>
      <w:bookmarkStart w:id="129" w:name="_Toc524431496"/>
      <w:bookmarkStart w:id="130" w:name="_Toc524431827"/>
      <w:r>
        <w:rPr>
          <w:rFonts w:ascii="黑体" w:hAnsi="宋体" w:eastAsia="黑体"/>
          <w:b/>
          <w:sz w:val="28"/>
          <w:szCs w:val="28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宋体" w:eastAsia="黑体"/>
          <w:b/>
          <w:sz w:val="28"/>
          <w:szCs w:val="28"/>
          <w:lang w:eastAsia="zh-CN"/>
        </w:rPr>
        <w:t>氰化氢气体检测报警仪</w:t>
      </w:r>
      <w:r>
        <w:rPr>
          <w:rFonts w:hint="eastAsia" w:ascii="黑体" w:hAnsi="宋体" w:eastAsia="黑体"/>
          <w:b/>
          <w:sz w:val="28"/>
          <w:szCs w:val="28"/>
        </w:rPr>
        <w:t>示值误差测量不确定度评定示例</w:t>
      </w:r>
      <w:bookmarkEnd w:id="124"/>
      <w:bookmarkEnd w:id="125"/>
      <w:bookmarkEnd w:id="126"/>
      <w:bookmarkEnd w:id="127"/>
      <w:bookmarkEnd w:id="128"/>
      <w:bookmarkEnd w:id="129"/>
      <w:bookmarkEnd w:id="130"/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C.1 概述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C.1.1 测量依据: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校准规范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C.1.2环境条件：温度(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0-40)℃,相对湿度&lt;80%RH</w:t>
      </w:r>
    </w:p>
    <w:p>
      <w:pPr>
        <w:spacing w:line="400" w:lineRule="exact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C.1.3 测量标准：</w:t>
      </w:r>
      <w:r>
        <w:rPr>
          <w:rFonts w:hint="eastAsia" w:ascii="宋体" w:hAnsi="宋体"/>
          <w:sz w:val="24"/>
          <w:lang w:eastAsia="zh-CN"/>
        </w:rPr>
        <w:t>氰化氢</w:t>
      </w:r>
      <w:r>
        <w:rPr>
          <w:rFonts w:hint="eastAsia" w:ascii="宋体" w:hAnsi="宋体"/>
          <w:sz w:val="24"/>
        </w:rPr>
        <w:t>气体标准物质，相对不确定度</w:t>
      </w:r>
      <w:r>
        <w:rPr>
          <w:rFonts w:hint="eastAsia" w:ascii="宋体" w:hAnsi="宋体"/>
          <w:i/>
          <w:sz w:val="24"/>
        </w:rPr>
        <w:t>U</w:t>
      </w:r>
      <w:r>
        <w:rPr>
          <w:rFonts w:hint="eastAsia" w:ascii="宋体" w:hAnsi="宋体"/>
          <w:i/>
          <w:sz w:val="24"/>
          <w:vertAlign w:val="subscript"/>
        </w:rPr>
        <w:t>rel</w:t>
      </w:r>
      <w:r>
        <w:rPr>
          <w:rFonts w:hint="eastAsia" w:ascii="宋体" w:hAnsi="宋体"/>
          <w:sz w:val="24"/>
          <w:vertAlign w:val="subscript"/>
        </w:rPr>
        <w:t xml:space="preserve"> </w:t>
      </w:r>
      <w:r>
        <w:rPr>
          <w:rFonts w:hint="eastAsia" w:ascii="宋体" w:hAnsi="宋体"/>
          <w:sz w:val="24"/>
        </w:rPr>
        <w:t>=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 xml:space="preserve">%,包含因子 </w:t>
      </w:r>
      <w:r>
        <w:rPr>
          <w:rFonts w:hint="eastAsia" w:ascii="宋体" w:hAnsi="宋体"/>
          <w:i/>
          <w:sz w:val="24"/>
        </w:rPr>
        <w:t>k</w:t>
      </w:r>
      <w:r>
        <w:rPr>
          <w:rFonts w:hint="eastAsia" w:ascii="宋体" w:hAnsi="宋体"/>
          <w:sz w:val="24"/>
        </w:rPr>
        <w:t>=2。</w:t>
      </w:r>
    </w:p>
    <w:p>
      <w:pPr>
        <w:spacing w:line="400" w:lineRule="exact"/>
        <w:ind w:left="1680" w:hanging="1680" w:hangingChars="7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C.1.4被测对象: 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bCs/>
          <w:sz w:val="24"/>
        </w:rPr>
        <w:t>示值误差</w:t>
      </w:r>
      <w:r>
        <w:rPr>
          <w:rFonts w:hint="eastAsia" w:ascii="宋体" w:hAnsi="宋体"/>
          <w:sz w:val="24"/>
        </w:rPr>
        <w:t>,最大允许误差±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%,量程（0-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0）μmol/mol。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C.1.5测量过程:  通入三种不同浓度的</w:t>
      </w:r>
      <w:r>
        <w:rPr>
          <w:rFonts w:hint="eastAsia" w:ascii="宋体" w:hAnsi="宋体"/>
          <w:sz w:val="24"/>
          <w:lang w:eastAsia="zh-CN"/>
        </w:rPr>
        <w:t>氰化氢</w:t>
      </w:r>
      <w:r>
        <w:rPr>
          <w:rFonts w:hint="eastAsia" w:ascii="宋体" w:hAnsi="宋体"/>
          <w:sz w:val="24"/>
        </w:rPr>
        <w:t>气体标准物质。读取被测</w:t>
      </w: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稳定示值,重复测量3次,用3次测量的平均值计算</w:t>
      </w:r>
      <w:r>
        <w:rPr>
          <w:rFonts w:hint="eastAsia" w:ascii="宋体" w:hAnsi="宋体"/>
          <w:sz w:val="24"/>
          <w:lang w:eastAsia="zh-CN"/>
        </w:rPr>
        <w:t>仪器相对</w:t>
      </w:r>
      <w:r>
        <w:rPr>
          <w:rFonts w:hint="eastAsia" w:ascii="宋体" w:hAnsi="宋体"/>
          <w:sz w:val="24"/>
        </w:rPr>
        <w:t>误差，取最大</w:t>
      </w:r>
      <w:r>
        <w:rPr>
          <w:rFonts w:hint="eastAsia" w:ascii="宋体" w:hAnsi="宋体"/>
          <w:sz w:val="24"/>
          <w:lang w:eastAsia="zh-CN"/>
        </w:rPr>
        <w:t>相对</w:t>
      </w:r>
      <w:r>
        <w:rPr>
          <w:rFonts w:hint="eastAsia" w:ascii="宋体" w:hAnsi="宋体"/>
          <w:sz w:val="24"/>
        </w:rPr>
        <w:t>误差为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bCs/>
          <w:sz w:val="24"/>
        </w:rPr>
        <w:t>示值误差</w:t>
      </w:r>
      <w:r>
        <w:rPr>
          <w:rFonts w:hint="eastAsia" w:ascii="宋体" w:hAnsi="宋体"/>
          <w:sz w:val="24"/>
        </w:rPr>
        <w:t xml:space="preserve">。                     </w:t>
      </w:r>
    </w:p>
    <w:p>
      <w:pPr>
        <w:spacing w:line="40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C.1.6 评定结果的使用:在符合上述条件下的测量结果,一般可直接使用本不确定度的评定结果。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C.2 测量模型</w:t>
      </w:r>
    </w:p>
    <w:p>
      <w:pPr>
        <w:ind w:left="840" w:leftChars="400"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position w:val="-30"/>
          <w:sz w:val="24"/>
        </w:rPr>
        <w:object>
          <v:shape id="_x0000_i1033" o:spt="75" type="#_x0000_t75" style="height:37pt;width:98.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4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式中: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position w:val="-12"/>
          <w:sz w:val="24"/>
        </w:rPr>
        <w:object>
          <v:shape id="_x0000_i1034" o:spt="75" type="#_x0000_t75" style="height:18pt;width:16pt;" o:ole="t" filled="f" o:preferrelative="t" stroked="f" coordsize="21600,21600">
            <v:path/>
            <v:fill on="f" alignshape="1" focussize="0,0"/>
            <v:stroke on="f"/>
            <v:imagedata r:id="rId47" grayscale="f" bilevel="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6">
            <o:LockedField>false</o:LockedField>
          </o:OLEObject>
        </w:object>
      </w:r>
      <w:r>
        <w:rPr>
          <w:rFonts w:hint="eastAsia" w:ascii="宋体" w:hAnsi="宋体"/>
          <w:sz w:val="24"/>
        </w:rPr>
        <w:t>——被测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示值误差</w:t>
      </w:r>
      <w:r>
        <w:rPr>
          <w:rFonts w:hint="eastAsia" w:ascii="宋体" w:hAnsi="宋体" w:cs="黑体"/>
          <w:kern w:val="0"/>
          <w:sz w:val="24"/>
        </w:rPr>
        <w:t>（%）</w:t>
      </w:r>
    </w:p>
    <w:p>
      <w:pPr>
        <w:tabs>
          <w:tab w:val="left" w:pos="720"/>
        </w:tabs>
        <w:ind w:left="360" w:firstLine="1200" w:firstLineChars="500"/>
        <w:rPr>
          <w:rFonts w:hint="eastAsia" w:ascii="宋体" w:hAnsi="宋体"/>
          <w:sz w:val="24"/>
        </w:rPr>
      </w:pPr>
      <w:r>
        <w:rPr>
          <w:rFonts w:ascii="宋体" w:hAnsi="宋体"/>
          <w:position w:val="-4"/>
          <w:sz w:val="24"/>
        </w:rPr>
        <w:object>
          <v:shape id="_x0000_i1035" o:spt="75" type="#_x0000_t75" style="height:16pt;width:12pt;" o:ole="t" filled="f" o:preferrelative="t" stroked="f" coordsize="21600,21600">
            <v:path/>
            <v:fill on="f" alignshape="1" focussize="0,0"/>
            <v:stroke on="f"/>
            <v:imagedata r:id="rId49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8">
            <o:LockedField>false</o:LockedField>
          </o:OLEObject>
        </w:object>
      </w:r>
      <w:r>
        <w:rPr>
          <w:rFonts w:hint="eastAsia" w:ascii="宋体" w:hAnsi="宋体"/>
          <w:sz w:val="24"/>
        </w:rPr>
        <w:t>——被测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三次测量的算术平均值</w:t>
      </w:r>
      <w:r>
        <w:rPr>
          <w:rFonts w:hint="eastAsia" w:ascii="宋体" w:hAnsi="宋体" w:cs="黑体"/>
          <w:kern w:val="0"/>
          <w:sz w:val="24"/>
        </w:rPr>
        <w:t>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</w:t>
      </w:r>
    </w:p>
    <w:p>
      <w:pPr>
        <w:tabs>
          <w:tab w:val="left" w:pos="720"/>
        </w:tabs>
        <w:ind w:left="360" w:firstLine="1200" w:firstLineChars="500"/>
        <w:rPr>
          <w:rFonts w:hint="eastAsia" w:ascii="宋体" w:hAnsi="宋体" w:cs="黑体"/>
          <w:kern w:val="0"/>
          <w:sz w:val="24"/>
        </w:rPr>
      </w:pPr>
      <w:r>
        <w:rPr>
          <w:rFonts w:ascii="宋体" w:hAnsi="宋体"/>
          <w:position w:val="-12"/>
          <w:sz w:val="24"/>
        </w:rPr>
        <w:object>
          <v:shape id="_x0000_i1036" o:spt="75" type="#_x0000_t75" style="height:18pt;width:15pt;" o:ole="t" filled="f" o:preferrelative="t" stroked="f" coordsize="21600,21600">
            <v:path/>
            <v:fill on="f" alignshape="1" focussize="0,0"/>
            <v:stroke on="f"/>
            <v:imagedata r:id="rId51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50">
            <o:LockedField>false</o:LockedField>
          </o:OLEObject>
        </w:object>
      </w:r>
      <w:r>
        <w:rPr>
          <w:rFonts w:hint="eastAsia" w:ascii="宋体" w:hAnsi="宋体"/>
          <w:sz w:val="24"/>
        </w:rPr>
        <w:t>——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气体标准物质</w:t>
      </w:r>
      <w:r>
        <w:rPr>
          <w:rFonts w:hint="eastAsia" w:ascii="宋体" w:hAnsi="宋体" w:cs="黑体"/>
          <w:kern w:val="0"/>
          <w:sz w:val="24"/>
        </w:rPr>
        <w:t>（</w:t>
      </w:r>
      <w:r>
        <w:rPr>
          <w:rFonts w:hint="eastAsia"/>
          <w:sz w:val="24"/>
        </w:rPr>
        <w:t>μmol/mol</w:t>
      </w:r>
      <w:r>
        <w:rPr>
          <w:rFonts w:hint="eastAsia" w:ascii="宋体" w:hAnsi="宋体" w:cs="黑体"/>
          <w:kern w:val="0"/>
          <w:sz w:val="24"/>
        </w:rPr>
        <w:t>）</w:t>
      </w:r>
    </w:p>
    <w:p>
      <w:pPr>
        <w:tabs>
          <w:tab w:val="left" w:pos="1080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C.2.2灵敏系数 </w:t>
      </w:r>
      <w:r>
        <w:rPr>
          <w:rFonts w:ascii="宋体" w:hAnsi="宋体"/>
          <w:position w:val="-30"/>
          <w:sz w:val="24"/>
        </w:rPr>
        <w:object>
          <v:shape id="_x0000_i1037" o:spt="75" alt="" type="#_x0000_t75" style="height:36pt;width:11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52">
            <o:LockedField>false</o:LockedField>
          </o:OLEObject>
        </w:object>
      </w:r>
    </w:p>
    <w:p>
      <w:pPr>
        <w:ind w:firstLine="1800" w:firstLineChars="750"/>
        <w:rPr>
          <w:rFonts w:hint="eastAsia" w:ascii="宋体" w:hAnsi="宋体"/>
          <w:sz w:val="24"/>
        </w:rPr>
      </w:pPr>
      <w:r>
        <w:rPr>
          <w:rFonts w:ascii="宋体" w:hAnsi="宋体"/>
          <w:position w:val="-30"/>
          <w:sz w:val="24"/>
        </w:rPr>
        <w:object>
          <v:shape id="_x0000_i1038" o:spt="75" alt="" type="#_x0000_t75" style="height:36pt;width:102.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54">
            <o:LockedField>false</o:LockedField>
          </o:OLEObject>
        </w:object>
      </w:r>
    </w:p>
    <w:p>
      <w:pPr>
        <w:rPr>
          <w:rFonts w:hint="eastAsia" w:ascii="宋体" w:hAnsi="宋体"/>
          <w:sz w:val="24"/>
        </w:rPr>
      </w:pPr>
    </w:p>
    <w:p>
      <w:pPr>
        <w:tabs>
          <w:tab w:val="left" w:pos="720"/>
          <w:tab w:val="left" w:pos="5400"/>
        </w:tabs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C.2.3传播律公式：因各输入量彼此独立不相关，</w:t>
      </w:r>
      <w:r>
        <w:rPr>
          <w:rFonts w:hint="eastAsia" w:ascii="宋体" w:hAnsi="宋体"/>
          <w:sz w:val="24"/>
          <w:lang w:eastAsia="zh-CN"/>
        </w:rPr>
        <w:t>合成标准不确定度为</w:t>
      </w:r>
    </w:p>
    <w:p>
      <w:pPr>
        <w:tabs>
          <w:tab w:val="left" w:pos="720"/>
          <w:tab w:val="left" w:pos="5400"/>
        </w:tabs>
        <w:jc w:val="left"/>
        <w:rPr>
          <w:rFonts w:hint="eastAsia" w:ascii="宋体" w:hAnsi="宋体"/>
          <w:sz w:val="24"/>
          <w:lang w:val="pl-PL"/>
        </w:rPr>
      </w:pPr>
    </w:p>
    <w:p>
      <w:pPr>
        <w:tabs>
          <w:tab w:val="left" w:pos="720"/>
          <w:tab w:val="left" w:pos="5400"/>
        </w:tabs>
        <w:jc w:val="left"/>
        <w:rPr>
          <w:rFonts w:hint="eastAsia" w:ascii="宋体" w:hAnsi="宋体"/>
          <w:sz w:val="24"/>
          <w:lang w:val="pl-PL"/>
        </w:rPr>
      </w:pPr>
      <w:r>
        <w:rPr>
          <w:rFonts w:hint="eastAsia" w:ascii="宋体" w:hAnsi="宋体"/>
          <w:sz w:val="24"/>
          <w:lang w:val="pl-PL"/>
        </w:rPr>
        <w:t xml:space="preserve">     </w:t>
      </w:r>
      <w:r>
        <w:rPr>
          <w:rFonts w:hint="eastAsia" w:ascii="宋体" w:hAnsi="宋体"/>
          <w:position w:val="-32"/>
          <w:sz w:val="24"/>
          <w:lang w:val="pl-PL"/>
        </w:rPr>
        <w:object>
          <v:shape id="_x0000_i1061" o:spt="75" type="#_x0000_t75" style="height:41pt;width:26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1" DrawAspect="Content" ObjectID="_1468075739" r:id="rId56">
            <o:LockedField>false</o:LockedField>
          </o:OLEObject>
        </w:object>
      </w:r>
      <w:r>
        <w:rPr>
          <w:rFonts w:hint="eastAsia" w:ascii="宋体" w:hAnsi="宋体"/>
          <w:sz w:val="24"/>
          <w:lang w:val="pl-PL"/>
        </w:rPr>
        <w:t xml:space="preserve">     </w:t>
      </w:r>
    </w:p>
    <w:p>
      <w:pPr>
        <w:tabs>
          <w:tab w:val="left" w:pos="720"/>
          <w:tab w:val="left" w:pos="5400"/>
        </w:tabs>
        <w:jc w:val="lef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pl-PL"/>
        </w:rPr>
        <w:t xml:space="preserve"> </w:t>
      </w:r>
      <w:r>
        <w:rPr>
          <w:rFonts w:hint="eastAsia" w:ascii="宋体" w:hAnsi="宋体"/>
          <w:sz w:val="24"/>
          <w:lang w:val="pl-PL" w:eastAsia="zh-CN"/>
        </w:rPr>
        <w:t>一般对于常规测量，测量结果与约定真值很接近，因此可以认为</w:t>
      </w:r>
      <w:r>
        <w:rPr>
          <w:rFonts w:hint="eastAsia" w:ascii="宋体" w:hAnsi="宋体"/>
          <w:position w:val="-12"/>
          <w:sz w:val="24"/>
          <w:lang w:val="pl-PL" w:eastAsia="zh-CN"/>
        </w:rPr>
        <w:object>
          <v:shape id="_x0000_i1060" o:spt="75" type="#_x0000_t75" style="height:20pt;width:36pt;" o:ole="t" filled="f" o:preferrelative="t" stroked="f" coordsize="21600,21600"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0" DrawAspect="Content" ObjectID="_1468075740" r:id="rId58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,则上式可以简化为</w:t>
      </w:r>
      <w:r>
        <w:rPr>
          <w:rFonts w:hint="eastAsia" w:ascii="宋体" w:hAnsi="宋体"/>
          <w:position w:val="-32"/>
          <w:sz w:val="24"/>
          <w:lang w:val="pl-PL"/>
        </w:rPr>
        <w:object>
          <v:shape id="_x0000_i1062" o:spt="75" alt="" type="#_x0000_t75" style="height:41pt;width:337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62" DrawAspect="Content" ObjectID="_1468075741" r:id="rId60">
            <o:LockedField>false</o:LockedField>
          </o:OLEObject>
        </w:object>
      </w:r>
    </w:p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 w:ascii="宋体" w:hAnsi="宋体"/>
          <w:bCs/>
          <w:sz w:val="24"/>
        </w:rPr>
        <w:t>3 输入量的标准不确定度分析和评定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C.3.1输入量</w:t>
      </w:r>
      <w:r>
        <w:rPr>
          <w:rFonts w:ascii="宋体" w:hAnsi="宋体"/>
          <w:position w:val="-4"/>
          <w:sz w:val="24"/>
        </w:rPr>
        <w:object>
          <v:shape id="_x0000_i1040" o:spt="75" type="#_x0000_t75" style="height:16pt;width:12pt;" o:ole="t" filled="f" o:preferrelative="t" stroked="f" coordsize="21600,21600">
            <v:path/>
            <v:fill on="f" alignshape="1" focussize="0,0"/>
            <v:stroke on="f"/>
            <v:imagedata r:id="rId63" grayscale="f" bilevel="f" o:title=""/>
            <o:lock v:ext="edit" aspectratio="t"/>
            <w10:wrap type="none"/>
            <w10:anchorlock/>
          </v:shape>
          <o:OLEObject Type="Embed" ProgID="Equation.3" ShapeID="_x0000_i1040" DrawAspect="Content" ObjectID="_1468075742" r:id="rId62">
            <o:LockedField>false</o:LockedField>
          </o:OLEObject>
        </w:object>
      </w:r>
      <w:r>
        <w:rPr>
          <w:rFonts w:hint="eastAsia" w:ascii="宋体" w:hAnsi="宋体"/>
          <w:sz w:val="24"/>
        </w:rPr>
        <w:t>的标准不确定度</w:t>
      </w:r>
      <w:r>
        <w:rPr>
          <w:rFonts w:hint="eastAsia" w:ascii="宋体" w:hAnsi="宋体"/>
          <w:position w:val="-12"/>
          <w:sz w:val="24"/>
        </w:rPr>
        <w:object>
          <v:shape id="_x0000_i1063" o:spt="75" type="#_x0000_t75" style="height:20pt;width:36pt;" o:ole="t" filled="f" o:preferrelative="t" stroked="f" coordsize="21600,21600"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3" DrawAspect="Content" ObjectID="_1468075743" r:id="rId64">
            <o:LockedField>false</o:LockedField>
          </o:OLEObject>
        </w:object>
      </w:r>
      <w:r>
        <w:rPr>
          <w:rFonts w:hint="eastAsia" w:ascii="宋体" w:hAnsi="宋体"/>
          <w:sz w:val="24"/>
        </w:rPr>
        <w:t>的评定</w:t>
      </w:r>
    </w:p>
    <w:p>
      <w:pPr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输入量</w:t>
      </w:r>
      <w:r>
        <w:rPr>
          <w:rFonts w:ascii="宋体" w:hAnsi="宋体"/>
          <w:position w:val="-4"/>
          <w:sz w:val="24"/>
        </w:rPr>
        <w:object>
          <v:shape id="_x0000_i1042" o:spt="75" type="#_x0000_t75" style="height:16pt;width:12pt;" o:ole="t" filled="f" o:preferrelative="t" stroked="f" coordsize="21600,21600">
            <v:path/>
            <v:fill on="f" alignshape="1" focussize="0,0"/>
            <v:stroke on="f"/>
            <v:imagedata r:id="rId63" grayscale="f" bilevel="f" o:title=""/>
            <o:lock v:ext="edit" aspectratio="t"/>
            <w10:wrap type="none"/>
            <w10:anchorlock/>
          </v:shape>
          <o:OLEObject Type="Embed" ProgID="Equation.3" ShapeID="_x0000_i1042" DrawAspect="Content" ObjectID="_1468075744" r:id="rId66">
            <o:LockedField>false</o:LockedField>
          </o:OLEObject>
        </w:object>
      </w:r>
      <w:r>
        <w:rPr>
          <w:rFonts w:hint="eastAsia" w:ascii="宋体" w:hAnsi="宋体"/>
          <w:sz w:val="24"/>
        </w:rPr>
        <w:t>的标准不确定度来源是：（1）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的测量重复性；（2）数字分辨力。下面分别予以评定。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C.3.1.1  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的测量重复性引入的标准不确定度</w:t>
      </w:r>
      <w:r>
        <w:rPr>
          <w:rFonts w:hint="eastAsia" w:ascii="宋体" w:hAnsi="宋体"/>
          <w:position w:val="-12"/>
          <w:sz w:val="24"/>
        </w:rPr>
        <w:object>
          <v:shape id="_x0000_i1071" o:spt="75" type="#_x0000_t75" style="height:20pt;width:3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1" DrawAspect="Content" ObjectID="_1468075745" r:id="rId67">
            <o:LockedField>false</o:LockedField>
          </o:OLEObject>
        </w:object>
      </w:r>
      <w:r>
        <w:rPr>
          <w:rFonts w:hint="eastAsia" w:ascii="宋体" w:hAnsi="宋体"/>
          <w:sz w:val="24"/>
        </w:rPr>
        <w:t>,可通过连续测量得到测量列,采用A类方法进行评定。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取一台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,选择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.4</w:t>
      </w:r>
      <w:r>
        <w:rPr>
          <w:rFonts w:hint="eastAsia" w:ascii="宋体" w:hAnsi="宋体"/>
          <w:sz w:val="24"/>
        </w:rPr>
        <w:t>μmol/mol的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气体标准物质,连续测量10次,得到测量列(单位：μmol/mol)：</w:t>
      </w:r>
    </w:p>
    <w:p>
      <w:pPr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24.5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24.5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24.0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24.0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24.5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24.5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25.0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25.0</w:t>
      </w:r>
      <w:r>
        <w:rPr>
          <w:rFonts w:hint="eastAsia" w:ascii="宋体" w:hAnsi="宋体"/>
          <w:sz w:val="24"/>
        </w:rPr>
        <w:t>,</w:t>
      </w:r>
      <w:r>
        <w:rPr>
          <w:rFonts w:hint="eastAsia" w:ascii="宋体" w:hAnsi="宋体"/>
          <w:sz w:val="24"/>
          <w:lang w:val="en-US" w:eastAsia="zh-CN"/>
        </w:rPr>
        <w:t>24.5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val="en-US" w:eastAsia="zh-CN"/>
        </w:rPr>
        <w:t>25.0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position w:val="-10"/>
          <w:sz w:val="24"/>
        </w:rPr>
        <w:drawing>
          <wp:inline distT="0" distB="0" distL="114300" distR="114300">
            <wp:extent cx="114300" cy="215900"/>
            <wp:effectExtent l="0" t="0" r="0" b="0"/>
            <wp:docPr id="3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position w:val="-28"/>
          <w:sz w:val="24"/>
        </w:rPr>
        <w:object>
          <v:shape id="_x0000_i1044" o:spt="75" type="#_x0000_t75" style="height:34pt;width:149.1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3" ShapeID="_x0000_i1044" DrawAspect="Content" ObjectID="_1468075746" r:id="rId70">
            <o:LockedField>false</o:LockedField>
          </o:OLEObject>
        </w:objec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</w:t>
      </w:r>
      <w:r>
        <w:rPr>
          <w:rFonts w:ascii="宋体" w:hAnsi="宋体"/>
          <w:position w:val="-26"/>
          <w:sz w:val="24"/>
        </w:rPr>
        <w:object>
          <v:shape id="_x0000_i1045" o:spt="75" type="#_x0000_t75" style="height:38pt;width:125.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45" DrawAspect="Content" ObjectID="_1468075747" r:id="rId72">
            <o:LockedField>false</o:LockedField>
          </o:OLEObject>
        </w:object>
      </w:r>
    </w:p>
    <w:p>
      <w:pPr>
        <w:ind w:firstLine="240" w:firstLineChars="100"/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按校准规范要求，</w:t>
      </w:r>
      <w:r>
        <w:rPr>
          <w:rFonts w:hint="eastAsia" w:ascii="宋体" w:hAnsi="宋体"/>
          <w:sz w:val="24"/>
          <w:lang w:eastAsia="zh-CN"/>
        </w:rPr>
        <w:t>仪器</w:t>
      </w:r>
      <w:r>
        <w:rPr>
          <w:rFonts w:hint="eastAsia" w:ascii="宋体" w:hAnsi="宋体"/>
          <w:sz w:val="24"/>
        </w:rPr>
        <w:t>示值误差以3次测量的算术平均值进行计算，则测量重复性引入的标准不确定度为:</w:t>
      </w:r>
    </w:p>
    <w:p>
      <w:pPr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de-DE"/>
        </w:rPr>
        <w:t xml:space="preserve">                 </w:t>
      </w:r>
      <w:r>
        <w:rPr>
          <w:rFonts w:hint="eastAsia" w:ascii="宋体" w:hAnsi="宋体"/>
          <w:position w:val="-12"/>
          <w:sz w:val="24"/>
        </w:rPr>
        <w:object>
          <v:shape id="_x0000_i1070" o:spt="75" alt="" type="#_x0000_t75" style="height:20pt;width:3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70" DrawAspect="Content" ObjectID="_1468075748" r:id="rId74">
            <o:LockedField>false</o:LockedField>
          </o:OLEObject>
        </w:object>
      </w:r>
      <w:r>
        <w:rPr>
          <w:rFonts w:hint="eastAsia" w:ascii="宋体" w:hAnsi="宋体"/>
          <w:sz w:val="24"/>
          <w:lang w:val="de-DE"/>
        </w:rPr>
        <w:t>=s/</w:t>
      </w:r>
      <w:r>
        <w:rPr>
          <w:rFonts w:ascii="宋体" w:hAnsi="宋体"/>
          <w:position w:val="-8"/>
          <w:sz w:val="24"/>
        </w:rPr>
        <w:drawing>
          <wp:inline distT="0" distB="0" distL="114300" distR="114300">
            <wp:extent cx="228600" cy="228600"/>
            <wp:effectExtent l="0" t="0" r="0" b="0"/>
            <wp:docPr id="3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lang w:val="de-DE"/>
        </w:rPr>
        <w:t>=</w:t>
      </w:r>
      <w:r>
        <w:rPr>
          <w:rFonts w:hint="eastAsia" w:ascii="宋体" w:hAnsi="宋体"/>
          <w:sz w:val="24"/>
          <w:lang w:val="en-US" w:eastAsia="zh-CN"/>
        </w:rPr>
        <w:t>1.5%</w:t>
      </w:r>
      <w:r>
        <w:rPr>
          <w:rFonts w:hint="eastAsia" w:ascii="宋体" w:hAnsi="宋体"/>
          <w:sz w:val="24"/>
          <w:lang w:val="de-DE"/>
        </w:rPr>
        <w:t>/</w:t>
      </w:r>
      <w:r>
        <w:rPr>
          <w:rFonts w:ascii="宋体" w:hAnsi="宋体"/>
          <w:position w:val="-8"/>
          <w:sz w:val="24"/>
        </w:rPr>
        <w:drawing>
          <wp:inline distT="0" distB="0" distL="114300" distR="114300">
            <wp:extent cx="228600" cy="228600"/>
            <wp:effectExtent l="0" t="0" r="0" b="0"/>
            <wp:docPr id="3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lang w:val="de-DE"/>
        </w:rPr>
        <w:t>=</w:t>
      </w:r>
      <w:r>
        <w:rPr>
          <w:rFonts w:hint="eastAsia" w:ascii="宋体" w:hAnsi="宋体"/>
          <w:sz w:val="24"/>
          <w:lang w:val="en-US" w:eastAsia="zh-CN"/>
        </w:rPr>
        <w:t>0.9%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C.3.1.2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读数引入的标准不确定度</w:t>
      </w:r>
      <w:r>
        <w:rPr>
          <w:rFonts w:hint="eastAsia" w:ascii="宋体" w:hAnsi="宋体"/>
          <w:position w:val="-12"/>
          <w:sz w:val="24"/>
        </w:rPr>
        <w:object>
          <v:shape id="_x0000_i1072" o:spt="75" alt="" type="#_x0000_t75" style="height:20pt;width:4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2" DrawAspect="Content" ObjectID="_1468075749" r:id="rId76">
            <o:LockedField>false</o:LockedField>
          </o:OLEObject>
        </w:object>
      </w:r>
      <w:r>
        <w:rPr>
          <w:rFonts w:hint="eastAsia" w:ascii="宋体" w:hAnsi="宋体"/>
          <w:sz w:val="24"/>
        </w:rPr>
        <w:t>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的分度值为</w:t>
      </w:r>
      <w:r>
        <w:rPr>
          <w:rFonts w:hint="eastAsia" w:ascii="宋体" w:hAnsi="宋体"/>
          <w:sz w:val="24"/>
          <w:lang w:val="en-US" w:eastAsia="zh-CN"/>
        </w:rPr>
        <w:t>0.5</w:t>
      </w:r>
      <w:r>
        <w:rPr>
          <w:rFonts w:hint="eastAsia" w:ascii="宋体" w:hAnsi="宋体"/>
          <w:sz w:val="24"/>
        </w:rPr>
        <w:t>μmol/mol,按均匀分布计算，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position w:val="-28"/>
          <w:sz w:val="24"/>
          <w:lang w:val="en-US" w:eastAsia="zh-CN"/>
        </w:rPr>
        <w:object>
          <v:shape id="_x0000_i1048" o:spt="75" alt="" type="#_x0000_t75" style="height:33pt;width:16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48" DrawAspect="Content" ObjectID="_1468075750" r:id="rId78">
            <o:LockedField>false</o:LockedField>
          </o:OLEObject>
        </w:object>
      </w:r>
      <w:bookmarkStart w:id="131" w:name="_GoBack"/>
      <w:bookmarkEnd w:id="131"/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读数引入的标准不确定度小于测量重复性引入的标准不确定度相同，取重复性引入的标准不确定度。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C.3.1.3输入量</w:t>
      </w:r>
      <w:r>
        <w:rPr>
          <w:rFonts w:ascii="宋体" w:hAnsi="宋体"/>
          <w:position w:val="-4"/>
          <w:sz w:val="24"/>
        </w:rPr>
        <w:object>
          <v:shape id="_x0000_i1049" o:spt="75" type="#_x0000_t75" style="height:16pt;width:12pt;" o:ole="t" filled="f" o:preferrelative="t" stroked="f" coordsize="21600,21600">
            <v:path/>
            <v:fill on="f" alignshape="1" focussize="0,0"/>
            <v:stroke on="f"/>
            <v:imagedata r:id="rId81" grayscale="f" bilevel="f" o:title=""/>
            <o:lock v:ext="edit" aspectratio="t"/>
            <w10:wrap type="none"/>
            <w10:anchorlock/>
          </v:shape>
          <o:OLEObject Type="Embed" ProgID="Equation.3" ShapeID="_x0000_i1049" DrawAspect="Content" ObjectID="_1468075751" r:id="rId80">
            <o:LockedField>false</o:LockedField>
          </o:OLEObject>
        </w:object>
      </w:r>
      <w:r>
        <w:rPr>
          <w:rFonts w:hint="eastAsia" w:ascii="宋体" w:hAnsi="宋体"/>
          <w:sz w:val="24"/>
        </w:rPr>
        <w:t>的标准不确定度</w:t>
      </w:r>
      <w:r>
        <w:rPr>
          <w:rFonts w:hint="eastAsia" w:ascii="宋体" w:hAnsi="宋体"/>
          <w:position w:val="-12"/>
          <w:sz w:val="24"/>
        </w:rPr>
        <w:object>
          <v:shape id="_x0000_i1064" o:spt="75" type="#_x0000_t75" style="height:20pt;width:3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4" DrawAspect="Content" ObjectID="_1468075752" r:id="rId82">
            <o:LockedField>false</o:LockedField>
          </o:OLEObject>
        </w:object>
      </w:r>
      <w:r>
        <w:rPr>
          <w:rFonts w:hint="eastAsia" w:ascii="宋体" w:hAnsi="宋体"/>
          <w:sz w:val="24"/>
        </w:rPr>
        <w:t>的标准不确定度：</w:t>
      </w:r>
      <w:r>
        <w:rPr>
          <w:rFonts w:hint="eastAsia" w:ascii="宋体" w:hAnsi="宋体"/>
          <w:position w:val="-12"/>
          <w:sz w:val="24"/>
        </w:rPr>
        <w:object>
          <v:shape id="_x0000_i1065" o:spt="75" alt="" type="#_x0000_t75" style="height:20pt;width:7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53" r:id="rId83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C.3.2输入量A</w:t>
      </w:r>
      <w:r>
        <w:rPr>
          <w:rFonts w:hint="eastAsia" w:ascii="宋体" w:hAnsi="宋体"/>
          <w:sz w:val="24"/>
          <w:vertAlign w:val="subscript"/>
        </w:rPr>
        <w:t>S</w:t>
      </w:r>
      <w:r>
        <w:rPr>
          <w:rFonts w:hint="eastAsia" w:ascii="宋体" w:hAnsi="宋体"/>
          <w:sz w:val="24"/>
        </w:rPr>
        <w:t>的标准不确定度</w:t>
      </w:r>
      <w:r>
        <w:rPr>
          <w:rFonts w:hint="eastAsia" w:ascii="宋体" w:hAnsi="宋体"/>
          <w:position w:val="-12"/>
          <w:sz w:val="24"/>
        </w:rPr>
        <w:object>
          <v:shape id="_x0000_i1066" o:spt="75" alt="" type="#_x0000_t75" style="height:18pt;width:4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54" r:id="rId85">
            <o:LockedField>false</o:LockedField>
          </o:OLEObject>
        </w:object>
      </w:r>
      <w:r>
        <w:rPr>
          <w:rFonts w:hint="eastAsia" w:ascii="宋体" w:hAnsi="宋体"/>
          <w:sz w:val="24"/>
        </w:rPr>
        <w:t>的评定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输入量A</w:t>
      </w:r>
      <w:r>
        <w:rPr>
          <w:rFonts w:hint="eastAsia" w:ascii="宋体" w:hAnsi="宋体"/>
          <w:sz w:val="24"/>
          <w:vertAlign w:val="subscript"/>
        </w:rPr>
        <w:t>S</w:t>
      </w:r>
      <w:r>
        <w:rPr>
          <w:rFonts w:hint="eastAsia" w:ascii="宋体" w:hAnsi="宋体"/>
          <w:sz w:val="24"/>
        </w:rPr>
        <w:t>的标准不确定度主要来源于标准气体定值的不确定度，可根据证书给出定值不确定度来评定，因此采用B类方法来评定</w:t>
      </w:r>
    </w:p>
    <w:p>
      <w:pPr>
        <w:ind w:firstLine="6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标准可燃气体为国家二类标准物质，其不确定度</w:t>
      </w:r>
      <w:r>
        <w:rPr>
          <w:rFonts w:hint="eastAsia" w:ascii="宋体" w:hAnsi="宋体"/>
          <w:i/>
          <w:sz w:val="24"/>
        </w:rPr>
        <w:t>U</w:t>
      </w:r>
      <w:r>
        <w:rPr>
          <w:rFonts w:hint="eastAsia" w:ascii="宋体" w:hAnsi="宋体"/>
          <w:i/>
          <w:sz w:val="24"/>
          <w:vertAlign w:val="subscript"/>
        </w:rPr>
        <w:t>rel</w:t>
      </w:r>
      <w:r>
        <w:rPr>
          <w:rFonts w:hint="eastAsia" w:ascii="宋体" w:hAnsi="宋体"/>
          <w:sz w:val="24"/>
        </w:rPr>
        <w:t>=3%，包含因子</w:t>
      </w:r>
      <w:r>
        <w:rPr>
          <w:rFonts w:hint="eastAsia" w:ascii="宋体" w:hAnsi="宋体"/>
          <w:i/>
          <w:sz w:val="24"/>
        </w:rPr>
        <w:t>k</w:t>
      </w:r>
      <w:r>
        <w:rPr>
          <w:rFonts w:hint="eastAsia" w:ascii="宋体" w:hAnsi="宋体"/>
          <w:sz w:val="24"/>
        </w:rPr>
        <w:t>=2，此值可按正态分布估计,且认为充分可靠。</w:t>
      </w:r>
    </w:p>
    <w:p>
      <w:pPr>
        <w:ind w:firstLine="6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则其标准不确定度</w:t>
      </w:r>
    </w:p>
    <w:p>
      <w:pPr>
        <w:ind w:firstLine="6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position w:val="-24"/>
          <w:sz w:val="24"/>
          <w:lang w:eastAsia="zh-CN"/>
        </w:rPr>
        <w:object>
          <v:shape id="_x0000_i1052" o:spt="75" alt="" type="#_x0000_t75" style="height:31pt;width:10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52" DrawAspect="Content" ObjectID="_1468075755" r:id="rId87">
            <o:LockedField>false</o:LockedField>
          </o:OLEObject>
        </w:object>
      </w:r>
    </w:p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 w:ascii="宋体" w:hAnsi="宋体"/>
          <w:bCs/>
          <w:sz w:val="24"/>
        </w:rPr>
        <w:t>4标准不确定度汇总表</w:t>
      </w:r>
    </w:p>
    <w:p>
      <w:pPr>
        <w:rPr>
          <w:rFonts w:hint="eastAsia" w:ascii="宋体" w:hAnsi="宋体"/>
          <w:bCs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</w:p>
    <w:tbl>
      <w:tblPr>
        <w:tblStyle w:val="20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1928"/>
        <w:gridCol w:w="1927"/>
        <w:gridCol w:w="1161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927" w:type="dxa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标准不确定度分量</w:t>
            </w:r>
            <w:r>
              <w:rPr>
                <w:rFonts w:hint="eastAsia" w:ascii="宋体" w:hAnsi="宋体"/>
                <w:position w:val="-12"/>
                <w:sz w:val="24"/>
              </w:rPr>
              <w:object>
                <v:shape id="_x0000_i1069" o:spt="75" alt="" type="#_x0000_t75" style="height:18pt;width:38pt;" o:ole="t" filled="f" o:preferrelative="t" stroked="f" coordsize="21600,21600">
                  <v:path/>
                  <v:fill on="f" focussize="0,0"/>
                  <v:stroke on="f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KSEE3" ShapeID="_x0000_i1069" DrawAspect="Content" ObjectID="_1468075756" r:id="rId89">
                  <o:LockedField>false</o:LockedField>
                </o:OLEObject>
              </w:object>
            </w:r>
          </w:p>
        </w:tc>
        <w:tc>
          <w:tcPr>
            <w:tcW w:w="1928" w:type="dxa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不确定度来源</w:t>
            </w:r>
          </w:p>
        </w:tc>
        <w:tc>
          <w:tcPr>
            <w:tcW w:w="1927" w:type="dxa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标准不确定度</w:t>
            </w:r>
          </w:p>
        </w:tc>
        <w:tc>
          <w:tcPr>
            <w:tcW w:w="1161" w:type="dxa"/>
            <w:vAlign w:val="top"/>
          </w:tcPr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  <w:r>
              <w:rPr>
                <w:rFonts w:hint="eastAsia" w:ascii="宋体" w:hAnsi="宋体"/>
                <w:sz w:val="24"/>
                <w:vertAlign w:val="subscript"/>
              </w:rPr>
              <w:t>i</w:t>
            </w:r>
          </w:p>
        </w:tc>
        <w:tc>
          <w:tcPr>
            <w:tcW w:w="1937" w:type="dxa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|c</w:t>
            </w:r>
            <w:r>
              <w:rPr>
                <w:rFonts w:hint="eastAsia" w:ascii="宋体" w:hAnsi="宋体"/>
                <w:sz w:val="24"/>
                <w:vertAlign w:val="subscript"/>
              </w:rPr>
              <w:t>i</w:t>
            </w:r>
            <w:r>
              <w:rPr>
                <w:rFonts w:hint="eastAsia" w:ascii="宋体" w:hAnsi="宋体"/>
                <w:sz w:val="24"/>
              </w:rPr>
              <w:t>|u（A）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927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position w:val="-12"/>
                <w:sz w:val="24"/>
              </w:rPr>
              <w:object>
                <v:shape id="_x0000_i1068" o:spt="75" type="#_x0000_t75" style="height:20pt;width:36pt;" o:ole="t" filled="f" o:preferrelative="t" stroked="f" coordsize="21600,21600">
                  <v:path/>
                  <v:fill on="f" focussize="0,0"/>
                  <v:stroke on="f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KSEE3" ShapeID="_x0000_i1068" DrawAspect="Content" ObjectID="_1468075757" r:id="rId91">
                  <o:LockedField>false</o:LockedField>
                </o:OLEObject>
              </w:object>
            </w:r>
          </w:p>
        </w:tc>
        <w:tc>
          <w:tcPr>
            <w:tcW w:w="1928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测量重复性</w:t>
            </w:r>
          </w:p>
        </w:tc>
        <w:tc>
          <w:tcPr>
            <w:tcW w:w="1927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0.9%</w:t>
            </w:r>
          </w:p>
        </w:tc>
        <w:tc>
          <w:tcPr>
            <w:tcW w:w="1161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937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927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position w:val="-12"/>
                <w:sz w:val="24"/>
              </w:rPr>
              <w:object>
                <v:shape id="_x0000_i1067" o:spt="75" type="#_x0000_t75" style="height:18pt;width:40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KSEE3" ShapeID="_x0000_i1067" DrawAspect="Content" ObjectID="_1468075758" r:id="rId92">
                  <o:LockedField>false</o:LockedField>
                </o:OLEObject>
              </w:object>
            </w:r>
          </w:p>
        </w:tc>
        <w:tc>
          <w:tcPr>
            <w:tcW w:w="1928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标准气体的不确定度</w:t>
            </w:r>
          </w:p>
        </w:tc>
        <w:tc>
          <w:tcPr>
            <w:tcW w:w="1927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1.5%</w:t>
            </w:r>
          </w:p>
        </w:tc>
        <w:tc>
          <w:tcPr>
            <w:tcW w:w="1161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-1</w:t>
            </w:r>
          </w:p>
        </w:tc>
        <w:tc>
          <w:tcPr>
            <w:tcW w:w="1937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1.5%</w:t>
            </w:r>
          </w:p>
        </w:tc>
      </w:tr>
    </w:tbl>
    <w:p>
      <w:pPr>
        <w:rPr>
          <w:rFonts w:hint="eastAsia" w:ascii="宋体" w:hAnsi="宋体"/>
          <w:bCs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 w:ascii="宋体" w:hAnsi="宋体"/>
          <w:bCs/>
          <w:sz w:val="24"/>
        </w:rPr>
        <w:t xml:space="preserve">5 合成标准不确定度的计算 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position w:val="-30"/>
          <w:sz w:val="24"/>
        </w:rPr>
        <w:object>
          <v:shape id="_x0000_i1054" o:spt="75" type="#_x0000_t75" style="height:38pt;width:245.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3" ShapeID="_x0000_i1054" DrawAspect="Content" ObjectID="_1468075759" r:id="rId94">
            <o:LockedField>false</o:LockedField>
          </o:OLEObject>
        </w:object>
      </w:r>
    </w:p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 w:ascii="宋体" w:hAnsi="宋体"/>
          <w:bCs/>
          <w:sz w:val="24"/>
        </w:rPr>
        <w:t>6 扩展不确定度的评定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C.6.1取包含因子</w:t>
      </w:r>
      <w:r>
        <w:rPr>
          <w:rFonts w:hint="eastAsia" w:ascii="宋体" w:hAnsi="宋体"/>
          <w:i/>
          <w:sz w:val="24"/>
        </w:rPr>
        <w:t>k</w:t>
      </w:r>
      <w:r>
        <w:rPr>
          <w:rFonts w:hint="eastAsia" w:ascii="宋体" w:hAnsi="宋体"/>
          <w:sz w:val="24"/>
        </w:rPr>
        <w:t>=2，则扩展不确定度为：</w:t>
      </w:r>
    </w:p>
    <w:p>
      <w:pPr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宋体" w:hAnsi="宋体"/>
          <w:i/>
          <w:sz w:val="24"/>
        </w:rPr>
        <w:t>U</w:t>
      </w:r>
      <w:r>
        <w:rPr>
          <w:rFonts w:hint="eastAsia" w:ascii="宋体" w:hAnsi="宋体"/>
          <w:sz w:val="24"/>
        </w:rPr>
        <w:t>=2×</w:t>
      </w:r>
      <w:r>
        <w:rPr>
          <w:rFonts w:hint="eastAsia" w:ascii="宋体" w:hAnsi="宋体"/>
          <w:sz w:val="24"/>
          <w:lang w:val="en-US" w:eastAsia="zh-CN"/>
        </w:rPr>
        <w:t>1.7%</w:t>
      </w:r>
      <w:r>
        <w:rPr>
          <w:rFonts w:hint="eastAsia" w:ascii="宋体" w:hAnsi="宋体"/>
          <w:sz w:val="24"/>
        </w:rPr>
        <w:t>=</w:t>
      </w:r>
      <w:r>
        <w:rPr>
          <w:rFonts w:hint="eastAsia" w:ascii="宋体" w:hAnsi="宋体"/>
          <w:sz w:val="24"/>
          <w:lang w:val="en-US" w:eastAsia="zh-CN"/>
        </w:rPr>
        <w:t>3.4%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C.6.2根据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气体校准规范的规定，常规测量应对</w:t>
      </w:r>
      <w:r>
        <w:rPr>
          <w:rFonts w:hint="eastAsia" w:ascii="宋体" w:hAnsi="宋体"/>
          <w:sz w:val="24"/>
          <w:lang w:eastAsia="zh-CN"/>
        </w:rPr>
        <w:t>氰化氢气体检测报警仪仪器</w:t>
      </w:r>
      <w:r>
        <w:rPr>
          <w:rFonts w:hint="eastAsia" w:ascii="宋体" w:hAnsi="宋体"/>
          <w:sz w:val="24"/>
        </w:rPr>
        <w:t>的量程中其他两个点进行测量，其测量不确定度见下表：</w:t>
      </w:r>
    </w:p>
    <w:tbl>
      <w:tblPr>
        <w:tblStyle w:val="20"/>
        <w:tblW w:w="94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10"/>
        <w:gridCol w:w="1412"/>
        <w:gridCol w:w="961"/>
        <w:gridCol w:w="1169"/>
        <w:gridCol w:w="1356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8" w:type="dxa"/>
            <w:vMerge w:val="restart"/>
            <w:shd w:val="clear" w:color="auto" w:fill="auto"/>
            <w:vAlign w:val="top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测量点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hint="eastAsia" w:ascii="宋体" w:hAnsi="宋体" w:cs="Courier New"/>
                <w:sz w:val="24"/>
              </w:rPr>
              <w:t>μmol/mol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5052" w:type="dxa"/>
            <w:gridSpan w:val="4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不确定度分量(μmol/mol)</w:t>
            </w:r>
          </w:p>
        </w:tc>
        <w:tc>
          <w:tcPr>
            <w:tcW w:w="1356" w:type="dxa"/>
            <w:vMerge w:val="restart"/>
            <w:shd w:val="clear" w:color="auto" w:fill="auto"/>
            <w:vAlign w:val="top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u</w:t>
            </w:r>
            <w:r>
              <w:rPr>
                <w:rFonts w:hint="eastAsia" w:ascii="宋体" w:hAnsi="宋体"/>
                <w:sz w:val="24"/>
                <w:vertAlign w:val="subscript"/>
              </w:rPr>
              <w:t>c</w:t>
            </w:r>
            <w:r>
              <w:rPr>
                <w:rFonts w:hint="eastAsia" w:ascii="宋体" w:hAnsi="宋体"/>
                <w:sz w:val="24"/>
              </w:rPr>
              <w:t>(%)</w:t>
            </w:r>
          </w:p>
        </w:tc>
        <w:tc>
          <w:tcPr>
            <w:tcW w:w="1428" w:type="dxa"/>
            <w:vMerge w:val="restart"/>
            <w:shd w:val="clear" w:color="auto" w:fill="auto"/>
            <w:vAlign w:val="top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U</w:t>
            </w:r>
            <w:r>
              <w:rPr>
                <w:rFonts w:hint="eastAsia" w:ascii="宋体" w:hAnsi="宋体"/>
                <w:sz w:val="24"/>
              </w:rPr>
              <w:t>(%)</w:t>
            </w:r>
          </w:p>
          <w:p>
            <w:pPr>
              <w:spacing w:line="360" w:lineRule="auto"/>
              <w:ind w:firstLine="120" w:firstLineChars="50"/>
              <w:rPr>
                <w:rFonts w:hint="eastAsia" w:ascii="宋体" w:hAnsi="宋体"/>
                <w:i/>
                <w:sz w:val="24"/>
              </w:rPr>
            </w:pPr>
            <w:r>
              <w:rPr>
                <w:rFonts w:hint="eastAsia" w:ascii="宋体" w:hAnsi="宋体"/>
                <w:i/>
                <w:sz w:val="24"/>
              </w:rPr>
              <w:t>k</w:t>
            </w:r>
            <w:r>
              <w:rPr>
                <w:rFonts w:hint="eastAsia" w:ascii="宋体" w:hAnsi="宋体"/>
                <w:sz w:val="24"/>
              </w:rPr>
              <w:t>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8" w:type="dxa"/>
            <w:vMerge w:val="continue"/>
            <w:shd w:val="clear" w:color="auto" w:fill="auto"/>
            <w:vAlign w:val="top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重复性分量u</w:t>
            </w:r>
            <w:r>
              <w:rPr>
                <w:rFonts w:hint="eastAsia" w:ascii="宋体" w:hAnsi="宋体"/>
                <w:sz w:val="24"/>
                <w:vertAlign w:val="subscript"/>
              </w:rPr>
              <w:t>1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/>
                <w:position w:val="-4"/>
                <w:sz w:val="24"/>
              </w:rPr>
              <w:object>
                <v:shape id="_x0000_i1055" o:spt="75" type="#_x0000_t75" style="height:16pt;width:12pt;" o:ole="t" filled="f" o:preferrelative="t" stroked="f" coordsize="21600,21600">
                  <v:path/>
                  <v:fill on="f" alignshape="1" focussize="0,0"/>
                  <v:stroke on="f"/>
                  <v:imagedata r:id="rId81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60" r:id="rId96">
                  <o:LockedField>false</o:LockedField>
                </o:OLEObject>
              </w:objec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412" w:type="dxa"/>
            <w:shd w:val="clear" w:color="auto" w:fill="auto"/>
            <w:vAlign w:val="top"/>
          </w:tcPr>
          <w:p>
            <w:pPr>
              <w:spacing w:line="360" w:lineRule="auto"/>
              <w:ind w:left="57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分辨率分量u</w:t>
            </w:r>
            <w:r>
              <w:rPr>
                <w:rFonts w:hint="eastAsia" w:ascii="宋体" w:hAnsi="宋体"/>
                <w:sz w:val="24"/>
                <w:vertAlign w:val="subscript"/>
              </w:rPr>
              <w:t>2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/>
                <w:position w:val="-4"/>
                <w:sz w:val="24"/>
              </w:rPr>
              <w:object>
                <v:shape id="_x0000_i1056" o:spt="75" type="#_x0000_t75" style="height:16pt;width:12pt;" o:ole="t" filled="f" o:preferrelative="t" stroked="f" coordsize="21600,21600">
                  <v:path/>
                  <v:fill on="f" alignshape="1" focussize="0,0"/>
                  <v:stroke on="f"/>
                  <v:imagedata r:id="rId81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61" r:id="rId97">
                  <o:LockedField>false</o:LockedField>
                </o:OLEObject>
              </w:objec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961" w:type="dxa"/>
            <w:shd w:val="clear" w:color="auto" w:fill="auto"/>
            <w:vAlign w:val="top"/>
          </w:tcPr>
          <w:p>
            <w:pPr>
              <w:spacing w:line="360" w:lineRule="auto"/>
              <w:ind w:left="57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u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/>
                <w:position w:val="-4"/>
                <w:sz w:val="24"/>
              </w:rPr>
              <w:object>
                <v:shape id="_x0000_i1057" o:spt="75" type="#_x0000_t75" style="height:16pt;width:12pt;" o:ole="t" filled="f" o:preferrelative="t" stroked="f" coordsize="21600,21600">
                  <v:path/>
                  <v:fill on="f" alignshape="1" focussize="0,0"/>
                  <v:stroke on="f"/>
                  <v:imagedata r:id="rId81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62" r:id="rId98">
                  <o:LockedField>false</o:LockedField>
                </o:OLEObject>
              </w:objec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169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u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/>
                <w:position w:val="-12"/>
                <w:sz w:val="24"/>
              </w:rPr>
              <w:object>
                <v:shape id="_x0000_i1058" o:spt="75" type="#_x0000_t75" style="height:18pt;width:13.95pt;" o:ole="t" filled="f" o:preferrelative="t" stroked="f" coordsize="21600,21600">
                  <v:path/>
                  <v:fill on="f" focussize="0,0"/>
                  <v:stroke on="f"/>
                  <v:imagedata r:id="rId100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63" r:id="rId99">
                  <o:LockedField>false</o:LockedField>
                </o:OLEObject>
              </w:objec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356" w:type="dxa"/>
            <w:vMerge w:val="continue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Merge w:val="continue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shd w:val="clear" w:color="auto" w:fill="auto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1510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1.5%</w:t>
            </w:r>
          </w:p>
        </w:tc>
        <w:tc>
          <w:tcPr>
            <w:tcW w:w="1412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1.4%</w:t>
            </w:r>
          </w:p>
        </w:tc>
        <w:tc>
          <w:tcPr>
            <w:tcW w:w="961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1.5%</w:t>
            </w:r>
          </w:p>
        </w:tc>
        <w:tc>
          <w:tcPr>
            <w:tcW w:w="1169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1.5%</w:t>
            </w:r>
          </w:p>
        </w:tc>
        <w:tc>
          <w:tcPr>
            <w:tcW w:w="1356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2.1</w:t>
            </w:r>
          </w:p>
        </w:tc>
        <w:tc>
          <w:tcPr>
            <w:tcW w:w="1428" w:type="dxa"/>
            <w:shd w:val="clear" w:color="auto" w:fill="auto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shd w:val="clear" w:color="auto" w:fill="auto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40</w:t>
            </w:r>
          </w:p>
        </w:tc>
        <w:tc>
          <w:tcPr>
            <w:tcW w:w="1510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0.6%</w:t>
            </w:r>
          </w:p>
        </w:tc>
        <w:tc>
          <w:tcPr>
            <w:tcW w:w="1412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0.4%</w:t>
            </w:r>
          </w:p>
        </w:tc>
        <w:tc>
          <w:tcPr>
            <w:tcW w:w="961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0.6%</w:t>
            </w:r>
          </w:p>
        </w:tc>
        <w:tc>
          <w:tcPr>
            <w:tcW w:w="1169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1.5%</w:t>
            </w:r>
          </w:p>
        </w:tc>
        <w:tc>
          <w:tcPr>
            <w:tcW w:w="1356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1.6</w:t>
            </w:r>
          </w:p>
        </w:tc>
        <w:tc>
          <w:tcPr>
            <w:tcW w:w="1428" w:type="dxa"/>
            <w:shd w:val="clear" w:color="auto" w:fill="auto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3.2</w:t>
            </w:r>
          </w:p>
        </w:tc>
      </w:tr>
    </w:tbl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C.</w:t>
      </w:r>
      <w:r>
        <w:rPr>
          <w:rFonts w:hint="eastAsia" w:ascii="宋体" w:hAnsi="宋体"/>
          <w:bCs/>
          <w:sz w:val="24"/>
        </w:rPr>
        <w:t>7 测量不确定度的报告与表示</w:t>
      </w:r>
    </w:p>
    <w:p>
      <w:pPr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量程为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0μmol/mol的</w:t>
      </w:r>
      <w:r>
        <w:rPr>
          <w:rFonts w:hint="eastAsia" w:ascii="宋体" w:hAnsi="宋体"/>
          <w:sz w:val="24"/>
          <w:lang w:eastAsia="zh-CN"/>
        </w:rPr>
        <w:t>氰化氢气体检测报警仪</w:t>
      </w:r>
      <w:r>
        <w:rPr>
          <w:rFonts w:hint="eastAsia" w:ascii="宋体" w:hAnsi="宋体"/>
          <w:sz w:val="24"/>
        </w:rPr>
        <w:t>示值误差测量结果的扩展不确定度：</w:t>
      </w:r>
    </w:p>
    <w:p>
      <w:pPr>
        <w:ind w:firstLine="720" w:firstLineChars="3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测量点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r>
        <w:rPr>
          <w:rFonts w:hint="eastAsia" w:ascii="宋体" w:hAnsi="宋体" w:cs="Courier New"/>
          <w:sz w:val="24"/>
        </w:rPr>
        <w:t xml:space="preserve">0μmol/mol </w:t>
      </w:r>
      <w:r>
        <w:rPr>
          <w:rFonts w:hint="eastAsia" w:ascii="宋体" w:hAnsi="宋体" w:cs="Courier New"/>
          <w:i/>
          <w:sz w:val="24"/>
        </w:rPr>
        <w:t>U</w:t>
      </w:r>
      <w:r>
        <w:rPr>
          <w:rFonts w:hint="eastAsia" w:ascii="宋体" w:hAnsi="宋体" w:cs="Courier New"/>
          <w:sz w:val="24"/>
        </w:rPr>
        <w:t xml:space="preserve"> =</w:t>
      </w:r>
      <w:r>
        <w:rPr>
          <w:rFonts w:hint="eastAsia" w:ascii="宋体" w:hAnsi="宋体" w:cs="Courier New"/>
          <w:sz w:val="24"/>
          <w:lang w:val="en-US" w:eastAsia="zh-CN"/>
        </w:rPr>
        <w:t>4.2</w:t>
      </w:r>
      <w:r>
        <w:rPr>
          <w:rFonts w:hint="eastAsia" w:ascii="宋体" w:hAnsi="宋体" w:cs="Courier New"/>
          <w:sz w:val="24"/>
        </w:rPr>
        <w:t xml:space="preserve">%    </w:t>
      </w:r>
      <w:r>
        <w:rPr>
          <w:rFonts w:hint="eastAsia" w:ascii="宋体" w:hAnsi="宋体" w:cs="Courier New"/>
          <w:i/>
          <w:sz w:val="24"/>
        </w:rPr>
        <w:t>k</w:t>
      </w:r>
      <w:r>
        <w:rPr>
          <w:rFonts w:hint="eastAsia" w:ascii="宋体" w:hAnsi="宋体" w:cs="Courier New"/>
          <w:sz w:val="24"/>
        </w:rPr>
        <w:t>=2</w:t>
      </w:r>
    </w:p>
    <w:p>
      <w:pPr>
        <w:ind w:firstLine="720" w:firstLineChars="3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测量点</w:t>
      </w:r>
      <w:r>
        <w:rPr>
          <w:rFonts w:hint="eastAsia" w:ascii="宋体" w:hAnsi="宋体" w:cs="Courier New"/>
          <w:sz w:val="24"/>
          <w:lang w:val="en-US" w:eastAsia="zh-CN"/>
        </w:rPr>
        <w:t>25</w:t>
      </w:r>
      <w:r>
        <w:rPr>
          <w:rFonts w:hint="eastAsia" w:ascii="宋体" w:hAnsi="宋体" w:cs="Courier New"/>
          <w:sz w:val="24"/>
        </w:rPr>
        <w:t xml:space="preserve">μmol/mol </w:t>
      </w:r>
      <w:r>
        <w:rPr>
          <w:rFonts w:hint="eastAsia" w:ascii="宋体" w:hAnsi="宋体" w:cs="Courier New"/>
          <w:i/>
          <w:sz w:val="24"/>
        </w:rPr>
        <w:t>U</w:t>
      </w:r>
      <w:r>
        <w:rPr>
          <w:rFonts w:hint="eastAsia" w:ascii="宋体" w:hAnsi="宋体" w:cs="Courier New"/>
          <w:sz w:val="24"/>
        </w:rPr>
        <w:t xml:space="preserve"> =</w:t>
      </w:r>
      <w:r>
        <w:rPr>
          <w:rFonts w:hint="eastAsia" w:ascii="宋体" w:hAnsi="宋体" w:cs="Courier New"/>
          <w:sz w:val="24"/>
          <w:lang w:val="en-US" w:eastAsia="zh-CN"/>
        </w:rPr>
        <w:t>3.4</w:t>
      </w:r>
      <w:r>
        <w:rPr>
          <w:rFonts w:hint="eastAsia" w:ascii="宋体" w:hAnsi="宋体" w:cs="Courier New"/>
          <w:sz w:val="24"/>
        </w:rPr>
        <w:t xml:space="preserve">%    </w:t>
      </w:r>
      <w:r>
        <w:rPr>
          <w:rFonts w:hint="eastAsia" w:ascii="宋体" w:hAnsi="宋体" w:cs="Courier New"/>
          <w:i/>
          <w:sz w:val="24"/>
        </w:rPr>
        <w:t>k</w:t>
      </w:r>
      <w:r>
        <w:rPr>
          <w:rFonts w:hint="eastAsia" w:ascii="宋体" w:hAnsi="宋体" w:cs="Courier New"/>
          <w:sz w:val="24"/>
        </w:rPr>
        <w:t>=2</w:t>
      </w:r>
    </w:p>
    <w:p>
      <w:pPr>
        <w:ind w:firstLine="720" w:firstLineChars="3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测量点</w:t>
      </w:r>
      <w:r>
        <w:rPr>
          <w:rFonts w:hint="eastAsia" w:ascii="宋体" w:hAnsi="宋体" w:cs="Courier New"/>
          <w:sz w:val="24"/>
          <w:lang w:val="en-US" w:eastAsia="zh-CN"/>
        </w:rPr>
        <w:t>40</w:t>
      </w:r>
      <w:r>
        <w:rPr>
          <w:rFonts w:hint="eastAsia" w:ascii="宋体" w:hAnsi="宋体" w:cs="Courier New"/>
          <w:sz w:val="24"/>
        </w:rPr>
        <w:t xml:space="preserve">μmol/mol </w:t>
      </w:r>
      <w:r>
        <w:rPr>
          <w:rFonts w:hint="eastAsia" w:ascii="宋体" w:hAnsi="宋体" w:cs="Courier New"/>
          <w:i/>
          <w:sz w:val="24"/>
        </w:rPr>
        <w:t>U</w:t>
      </w:r>
      <w:r>
        <w:rPr>
          <w:rFonts w:hint="eastAsia" w:ascii="宋体" w:hAnsi="宋体" w:cs="Courier New"/>
          <w:sz w:val="24"/>
        </w:rPr>
        <w:t xml:space="preserve"> =</w:t>
      </w:r>
      <w:r>
        <w:rPr>
          <w:rFonts w:hint="eastAsia" w:ascii="宋体" w:hAnsi="宋体" w:cs="Courier New"/>
          <w:sz w:val="24"/>
          <w:lang w:val="en-US" w:eastAsia="zh-CN"/>
        </w:rPr>
        <w:t>3.2</w:t>
      </w:r>
      <w:r>
        <w:rPr>
          <w:rFonts w:hint="eastAsia" w:ascii="宋体" w:hAnsi="宋体" w:cs="Courier New"/>
          <w:sz w:val="24"/>
        </w:rPr>
        <w:t xml:space="preserve">%    </w:t>
      </w:r>
      <w:r>
        <w:rPr>
          <w:rFonts w:hint="eastAsia" w:ascii="宋体" w:hAnsi="宋体" w:cs="Courier New"/>
          <w:i/>
          <w:sz w:val="24"/>
        </w:rPr>
        <w:t>k</w:t>
      </w:r>
      <w:r>
        <w:rPr>
          <w:rFonts w:hint="eastAsia" w:ascii="宋体" w:hAnsi="宋体" w:cs="Courier New"/>
          <w:sz w:val="24"/>
        </w:rPr>
        <w:t>=2</w:t>
      </w:r>
    </w:p>
    <w:p>
      <w:pPr>
        <w:spacing w:line="312" w:lineRule="auto"/>
      </w:pPr>
      <w:r>
        <w:t xml:space="preserve">             __</w:t>
      </w:r>
      <w:r>
        <w:rPr>
          <w:u w:val="single"/>
        </w:rPr>
        <w:t>______</w:t>
      </w:r>
      <w:r>
        <w:rPr>
          <w:rFonts w:hint="eastAsia"/>
          <w:u w:val="single"/>
        </w:rPr>
        <w:t xml:space="preserve">              </w:t>
      </w:r>
      <w:r>
        <w:rPr>
          <w:u w:val="single"/>
        </w:rPr>
        <w:t>__</w:t>
      </w:r>
      <w:r>
        <w:t>_____</w:t>
      </w:r>
    </w:p>
    <w:p>
      <w:pPr>
        <w:spacing w:line="312" w:lineRule="auto"/>
        <w:rPr>
          <w:rFonts w:hint="eastAsia"/>
        </w:rPr>
      </w:pPr>
    </w:p>
    <w:p>
      <w:pPr>
        <w:rPr>
          <w:rFonts w:hint="eastAsia" w:ascii="黑体" w:hAnsi="宋体" w:eastAsia="黑体"/>
          <w:szCs w:val="21"/>
        </w:rPr>
      </w:pPr>
    </w:p>
    <w:p>
      <w:pPr>
        <w:spacing w:line="480" w:lineRule="auto"/>
        <w:rPr>
          <w:rFonts w:hint="eastAsia"/>
        </w:rPr>
        <w:sectPr>
          <w:footerReference r:id="rId11" w:type="default"/>
          <w:pgSz w:w="11906" w:h="16838"/>
          <w:pgMar w:top="1247" w:right="1134" w:bottom="1440" w:left="1848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480" w:lineRule="auto"/>
        <w:rPr>
          <w:rFonts w:hint="eastAsia"/>
        </w:rPr>
      </w:pPr>
    </w:p>
    <w:p>
      <w:pPr>
        <w:spacing w:line="480" w:lineRule="auto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5793105</wp:posOffset>
                </wp:positionH>
                <wp:positionV relativeFrom="paragraph">
                  <wp:posOffset>99060</wp:posOffset>
                </wp:positionV>
                <wp:extent cx="474345" cy="1725295"/>
                <wp:effectExtent l="4445" t="4445" r="16510" b="22860"/>
                <wp:wrapSquare wrapText="bothSides"/>
                <wp:docPr id="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  <w:t>J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</w:rPr>
                              <w:t>JF</w:t>
                            </w:r>
                            <w:r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  <w:t>（新）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</w:rPr>
                              <w:t>×</w:t>
                            </w:r>
                            <w:r>
                              <w:rPr>
                                <w:rFonts w:eastAsia="黑体"/>
                                <w:b/>
                                <w:sz w:val="28"/>
                                <w:szCs w:val="28"/>
                              </w:rPr>
                              <w:t>－20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eastAsia="黑体"/>
                                <w:b/>
                                <w:sz w:val="28"/>
                                <w:szCs w:val="28"/>
                              </w:rPr>
                              <w:t>×</w:t>
                            </w:r>
                          </w:p>
                        </w:txbxContent>
                      </wps:txbx>
                      <wps:bodyPr vert="vert270" wrap="none"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456.15pt;margin-top:7.8pt;height:135.85pt;width:37.35pt;mso-wrap-distance-bottom:0pt;mso-wrap-distance-left:9pt;mso-wrap-distance-right:9pt;mso-wrap-distance-top:0pt;mso-wrap-style:none;z-index:251659264;mso-width-relative:page;mso-height-relative:page;" fillcolor="#FFFFFF" filled="t" stroked="t" coordsize="21600,21600" o:gfxdata="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/xwDbYAAAACgEAAA8AAAAAAAAAAQAgAAAAIgAAAGRycy9kb3ducmV2&#10;LnhtbFBLAQIUABQAAAAIAIdO4kBFnUvm/AEAAAQEAAAOAAAAAAAAAAEAIAAAACcBAABkcnMvZTJv&#10;RG9jLnhtbFBLBQYAAAAABgAGAFkBAACVBQAAAAA=&#10;">
                <v:fill on="t" focussize="0,0"/>
                <v:stroke color="#FFFFFF" joinstyle="miter" dashstyle="dash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right"/>
                        <w:rPr>
                          <w:rFonts w:hint="eastAsia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b/>
                          <w:sz w:val="28"/>
                          <w:szCs w:val="28"/>
                        </w:rPr>
                        <w:t>J</w:t>
                      </w:r>
                      <w:r>
                        <w:rPr>
                          <w:rFonts w:hint="eastAsia" w:eastAsia="黑体"/>
                          <w:b/>
                          <w:sz w:val="28"/>
                          <w:szCs w:val="28"/>
                        </w:rPr>
                        <w:t>JF</w:t>
                      </w:r>
                      <w:r>
                        <w:rPr>
                          <w:rFonts w:eastAsia="黑体"/>
                          <w:b/>
                          <w:sz w:val="28"/>
                          <w:szCs w:val="28"/>
                        </w:rPr>
                        <w:t>（新）</w:t>
                      </w:r>
                      <w:r>
                        <w:rPr>
                          <w:rFonts w:hint="eastAsia" w:eastAsia="黑体"/>
                          <w:b/>
                          <w:sz w:val="28"/>
                          <w:szCs w:val="28"/>
                        </w:rPr>
                        <w:t>×</w:t>
                      </w:r>
                      <w:r>
                        <w:rPr>
                          <w:rFonts w:eastAsia="黑体"/>
                          <w:b/>
                          <w:sz w:val="28"/>
                          <w:szCs w:val="28"/>
                        </w:rPr>
                        <w:t>－20</w:t>
                      </w:r>
                      <w:r>
                        <w:rPr>
                          <w:rFonts w:hint="eastAsia" w:eastAsia="黑体"/>
                          <w:b/>
                          <w:sz w:val="28"/>
                          <w:szCs w:val="2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eastAsia="黑体"/>
                          <w:b/>
                          <w:sz w:val="28"/>
                          <w:szCs w:val="28"/>
                        </w:rPr>
                        <w:t>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480" w:lineRule="auto"/>
        <w:jc w:val="center"/>
      </w:pPr>
    </w:p>
    <w:p>
      <w:pPr>
        <w:spacing w:line="480" w:lineRule="auto"/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                                           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eastAsia="黑体"/>
          <w:sz w:val="28"/>
          <w:szCs w:val="28"/>
        </w:rPr>
      </w:pPr>
    </w:p>
    <w:p>
      <w:pPr>
        <w:rPr>
          <w:rFonts w:eastAsia="黑体"/>
          <w:sz w:val="24"/>
        </w:rPr>
      </w:pPr>
    </w:p>
    <w:p>
      <w:pPr>
        <w:spacing w:line="360" w:lineRule="exact"/>
        <w:jc w:val="center"/>
        <w:rPr>
          <w:rFonts w:eastAsia="华文中宋"/>
          <w:b/>
          <w:sz w:val="28"/>
          <w:szCs w:val="28"/>
        </w:rPr>
      </w:pPr>
      <w:r>
        <w:rPr>
          <w:rFonts w:eastAsia="华文中宋"/>
          <w:b/>
          <w:sz w:val="28"/>
          <w:szCs w:val="28"/>
        </w:rPr>
        <w:t>新疆维吾尔自治区</w:t>
      </w:r>
    </w:p>
    <w:p>
      <w:pPr>
        <w:spacing w:line="360" w:lineRule="exact"/>
        <w:jc w:val="center"/>
        <w:rPr>
          <w:rFonts w:eastAsia="华文中宋"/>
          <w:sz w:val="28"/>
          <w:szCs w:val="28"/>
        </w:rPr>
      </w:pPr>
      <w:r>
        <w:rPr>
          <w:rFonts w:eastAsia="华文中宋"/>
          <w:b/>
          <w:sz w:val="28"/>
          <w:szCs w:val="28"/>
        </w:rPr>
        <w:t>地方计量校准规范</w:t>
      </w:r>
    </w:p>
    <w:p>
      <w:pPr>
        <w:spacing w:line="360" w:lineRule="exact"/>
        <w:jc w:val="center"/>
        <w:rPr>
          <w:rFonts w:eastAsia="黑体"/>
          <w:sz w:val="24"/>
        </w:rPr>
      </w:pPr>
    </w:p>
    <w:p>
      <w:pPr>
        <w:spacing w:line="360" w:lineRule="exact"/>
        <w:jc w:val="center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数字温湿度计</w:t>
      </w:r>
      <w:r>
        <w:rPr>
          <w:rFonts w:eastAsia="黑体"/>
          <w:b/>
          <w:sz w:val="24"/>
        </w:rPr>
        <w:t>校准规范</w:t>
      </w:r>
    </w:p>
    <w:p>
      <w:pPr>
        <w:spacing w:line="360" w:lineRule="exact"/>
        <w:jc w:val="center"/>
        <w:rPr>
          <w:rFonts w:hint="eastAsia" w:eastAsia="黑体"/>
          <w:b/>
          <w:sz w:val="24"/>
        </w:rPr>
      </w:pPr>
      <w:r>
        <w:rPr>
          <w:rFonts w:eastAsia="黑体"/>
          <w:b/>
          <w:sz w:val="24"/>
        </w:rPr>
        <w:t>JJF(新)</w:t>
      </w:r>
      <w:r>
        <w:rPr>
          <w:rFonts w:hint="eastAsia"/>
        </w:rPr>
        <w:t xml:space="preserve"> </w:t>
      </w:r>
      <w:r>
        <w:rPr>
          <w:rFonts w:hint="eastAsia" w:eastAsia="黑体"/>
          <w:b/>
          <w:sz w:val="24"/>
        </w:rPr>
        <w:t>××</w:t>
      </w:r>
      <w:r>
        <w:rPr>
          <w:rFonts w:eastAsia="黑体"/>
          <w:b/>
          <w:sz w:val="24"/>
        </w:rPr>
        <w:t>－201</w:t>
      </w:r>
      <w:r>
        <w:rPr>
          <w:rFonts w:hint="eastAsia" w:eastAsia="黑体"/>
          <w:b/>
          <w:sz w:val="24"/>
        </w:rPr>
        <w:t>×</w:t>
      </w:r>
    </w:p>
    <w:p>
      <w:pPr>
        <w:spacing w:line="360" w:lineRule="exact"/>
        <w:jc w:val="center"/>
        <w:rPr>
          <w:b/>
          <w:sz w:val="24"/>
        </w:rPr>
      </w:pPr>
      <w:r>
        <w:rPr>
          <w:b/>
          <w:sz w:val="24"/>
        </w:rPr>
        <w:t>新疆维吾尔自治区</w:t>
      </w:r>
      <w:r>
        <w:rPr>
          <w:rFonts w:hint="eastAsia"/>
          <w:b/>
          <w:sz w:val="24"/>
          <w:lang w:eastAsia="zh-CN"/>
        </w:rPr>
        <w:t>市场</w:t>
      </w:r>
      <w:r>
        <w:rPr>
          <w:b/>
          <w:sz w:val="24"/>
        </w:rPr>
        <w:t>监督</w:t>
      </w:r>
      <w:r>
        <w:rPr>
          <w:rFonts w:hint="eastAsia"/>
          <w:b/>
          <w:sz w:val="24"/>
          <w:lang w:eastAsia="zh-CN"/>
        </w:rPr>
        <w:t>管理</w:t>
      </w:r>
      <w:r>
        <w:rPr>
          <w:b/>
          <w:sz w:val="24"/>
        </w:rPr>
        <w:t>局发布</w:t>
      </w:r>
    </w:p>
    <w:p>
      <w:pPr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*</w:t>
      </w:r>
    </w:p>
    <w:p>
      <w:pPr>
        <w:jc w:val="center"/>
        <w:rPr>
          <w:rFonts w:eastAsia="黑体"/>
          <w:b/>
          <w:sz w:val="18"/>
          <w:szCs w:val="18"/>
        </w:rPr>
      </w:pPr>
      <w:r>
        <w:rPr>
          <w:rFonts w:eastAsia="黑体"/>
          <w:b/>
          <w:sz w:val="18"/>
          <w:szCs w:val="18"/>
        </w:rPr>
        <w:t>版权所有 不得翻印</w:t>
      </w:r>
    </w:p>
    <w:p>
      <w:pPr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*</w:t>
      </w:r>
    </w:p>
    <w:p>
      <w:pPr>
        <w:jc w:val="center"/>
        <w:rPr>
          <w:b/>
          <w:sz w:val="18"/>
        </w:rPr>
      </w:pPr>
      <w:r>
        <w:rPr>
          <w:b/>
          <w:sz w:val="18"/>
          <w:szCs w:val="21"/>
        </w:rPr>
        <w:t>880</w:t>
      </w:r>
      <w:r>
        <w:rPr>
          <w:b/>
          <w:sz w:val="18"/>
        </w:rPr>
        <w:t>mm×1230mm 16开本</w:t>
      </w:r>
    </w:p>
    <w:p>
      <w:pPr>
        <w:jc w:val="center"/>
        <w:rPr>
          <w:b/>
          <w:sz w:val="18"/>
        </w:rPr>
      </w:pPr>
      <w:r>
        <w:rPr>
          <w:b/>
          <w:sz w:val="18"/>
        </w:rPr>
        <w:t>20</w:t>
      </w:r>
      <w:r>
        <w:rPr>
          <w:rFonts w:hint="eastAsia"/>
          <w:b/>
          <w:sz w:val="18"/>
          <w:lang w:val="en-US" w:eastAsia="zh-CN"/>
        </w:rPr>
        <w:t>2</w:t>
      </w:r>
      <w:r>
        <w:rPr>
          <w:rFonts w:hint="eastAsia"/>
          <w:b/>
          <w:sz w:val="18"/>
        </w:rPr>
        <w:t>×</w:t>
      </w:r>
      <w:r>
        <w:rPr>
          <w:b/>
          <w:sz w:val="18"/>
        </w:rPr>
        <w:t>年</w:t>
      </w:r>
      <w:r>
        <w:rPr>
          <w:rFonts w:hint="eastAsia"/>
          <w:b/>
          <w:sz w:val="18"/>
        </w:rPr>
        <w:t>×</w:t>
      </w:r>
      <w:r>
        <w:rPr>
          <w:b/>
          <w:sz w:val="18"/>
        </w:rPr>
        <w:t>月第</w:t>
      </w:r>
      <w:r>
        <w:rPr>
          <w:rFonts w:hint="eastAsia"/>
          <w:b/>
          <w:sz w:val="18"/>
        </w:rPr>
        <w:t>×</w:t>
      </w:r>
      <w:r>
        <w:rPr>
          <w:b/>
          <w:sz w:val="18"/>
        </w:rPr>
        <w:t>版  20</w:t>
      </w:r>
      <w:r>
        <w:rPr>
          <w:rFonts w:hint="eastAsia"/>
          <w:b/>
          <w:sz w:val="18"/>
          <w:lang w:val="en-US" w:eastAsia="zh-CN"/>
        </w:rPr>
        <w:t>2</w:t>
      </w:r>
      <w:r>
        <w:rPr>
          <w:rFonts w:hint="eastAsia"/>
          <w:b/>
          <w:sz w:val="18"/>
        </w:rPr>
        <w:t>×</w:t>
      </w:r>
      <w:r>
        <w:rPr>
          <w:b/>
          <w:sz w:val="18"/>
        </w:rPr>
        <w:t>年</w:t>
      </w:r>
      <w:r>
        <w:rPr>
          <w:rFonts w:hint="eastAsia"/>
          <w:b/>
          <w:sz w:val="18"/>
        </w:rPr>
        <w:t>×</w:t>
      </w:r>
      <w:r>
        <w:rPr>
          <w:b/>
          <w:sz w:val="18"/>
        </w:rPr>
        <w:t>月第</w:t>
      </w:r>
      <w:r>
        <w:rPr>
          <w:rFonts w:hint="eastAsia"/>
          <w:b/>
          <w:sz w:val="18"/>
        </w:rPr>
        <w:t>×</w:t>
      </w:r>
      <w:r>
        <w:rPr>
          <w:b/>
          <w:sz w:val="18"/>
        </w:rPr>
        <w:t>次印刷</w:t>
      </w:r>
    </w:p>
    <w:p>
      <w:pPr>
        <w:jc w:val="center"/>
        <w:rPr>
          <w:rFonts w:hint="eastAsia"/>
          <w:b/>
          <w:sz w:val="18"/>
        </w:rPr>
      </w:pPr>
      <w:r>
        <w:rPr>
          <w:b/>
          <w:sz w:val="18"/>
        </w:rPr>
        <w:t xml:space="preserve">印数  </w:t>
      </w:r>
      <w:r>
        <w:rPr>
          <w:rFonts w:hint="eastAsia"/>
          <w:b/>
          <w:sz w:val="18"/>
        </w:rPr>
        <w:t>1-100</w:t>
      </w:r>
    </w:p>
    <w:sectPr>
      <w:headerReference r:id="rId12" w:type="default"/>
      <w:footerReference r:id="rId13" w:type="default"/>
      <w:pgSz w:w="11906" w:h="16838"/>
      <w:pgMar w:top="1247" w:right="1134" w:bottom="1440" w:left="184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right" w:y="1"/>
      <w:rPr>
        <w:rStyle w:val="17"/>
        <w:rFonts w:hint="eastAsia"/>
      </w:rPr>
    </w:pPr>
  </w:p>
  <w:p>
    <w:pPr>
      <w:pStyle w:val="11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inside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11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inside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II</w:t>
    </w:r>
    <w:r>
      <w:rPr>
        <w:rStyle w:val="17"/>
      </w:rPr>
      <w:fldChar w:fldCharType="end"/>
    </w:r>
  </w:p>
  <w:p>
    <w:pPr>
      <w:pStyle w:val="11"/>
      <w:ind w:right="360" w:firstLine="360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7920" w:right="360" w:hanging="7920" w:hangingChars="440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5" name="文本框 1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8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J4zpvG5AQAAVw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9240" w:firstLine="8100" w:firstLineChars="450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6200" cy="262890"/>
              <wp:effectExtent l="0" t="0" r="0" b="0"/>
              <wp:wrapNone/>
              <wp:docPr id="37" name="文本框 1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2628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II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43" o:spid="_x0000_s1026" o:spt="202" type="#_x0000_t202" style="position:absolute;left:0pt;margin-top:0pt;height:20.7pt;width:6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5VDoZ0AAAAAMBAAAPAAAAAAAAAAEAIAAAACIAAABkcnMvZG93bnJldi54bWxQSwECFAAUAAAA&#10;CACHTuJAHuvujb0BAABUAwAADgAAAAAAAAABACAAAAAf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II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36" name="文本框 1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9" o:spid="_x0000_s1026" o:spt="202" type="#_x0000_t202" style="position:absolute;left:0pt;margin-top:0pt;height:10.3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D5X5J0AAAAAMBAAAPAAAAAAAAAAEAIAAAACIAAABkcnMvZG93bnJldi54bWxQSwECFAAUAAAA&#10;CACHTuJAfXKyOL0BAABVAwAADgAAAAAAAAABACAAAAAf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　　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inside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12</w:t>
    </w:r>
    <w:r>
      <w:rPr>
        <w:rStyle w:val="17"/>
      </w:rPr>
      <w:fldChar w:fldCharType="end"/>
    </w:r>
  </w:p>
  <w:p>
    <w:pPr>
      <w:pStyle w:val="11"/>
      <w:tabs>
        <w:tab w:val="left" w:pos="551"/>
        <w:tab w:val="clear" w:pos="4153"/>
        <w:tab w:val="clear" w:pos="8306"/>
      </w:tabs>
      <w:ind w:right="360" w:firstLine="360"/>
      <w:rPr>
        <w:rFonts w:hint="eastAsia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left" w:pos="551"/>
        <w:tab w:val="clear" w:pos="4153"/>
        <w:tab w:val="clear" w:pos="8306"/>
      </w:tabs>
      <w:ind w:right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ascii="黑体" w:eastAsia="黑体"/>
        <w:b/>
        <w:sz w:val="21"/>
        <w:szCs w:val="21"/>
      </w:rPr>
    </w:pPr>
    <w:r>
      <w:rPr>
        <w:rFonts w:hint="eastAsia" w:ascii="黑体" w:hAnsi="宋体" w:eastAsia="黑体"/>
        <w:b/>
        <w:sz w:val="21"/>
        <w:szCs w:val="21"/>
      </w:rPr>
      <w:t>JJF(新)</w:t>
    </w:r>
    <w:r>
      <w:rPr>
        <w:rFonts w:hint="eastAsia"/>
      </w:rPr>
      <w:t xml:space="preserve"> </w:t>
    </w:r>
    <w:r>
      <w:rPr>
        <w:rFonts w:hint="eastAsia" w:ascii="黑体" w:hAnsi="宋体" w:eastAsia="黑体"/>
        <w:b/>
        <w:sz w:val="21"/>
        <w:szCs w:val="21"/>
      </w:rPr>
      <w:t>××－20</w:t>
    </w:r>
    <w:r>
      <w:rPr>
        <w:rFonts w:hint="eastAsia" w:ascii="黑体" w:hAnsi="宋体" w:eastAsia="黑体"/>
        <w:b/>
        <w:sz w:val="21"/>
        <w:szCs w:val="21"/>
        <w:lang w:val="en-US" w:eastAsia="zh-CN"/>
      </w:rPr>
      <w:t>2</w:t>
    </w:r>
    <w:r>
      <w:rPr>
        <w:rFonts w:hint="eastAsia" w:ascii="黑体" w:hAnsi="宋体" w:eastAsia="黑体"/>
        <w:b/>
        <w:sz w:val="21"/>
        <w:szCs w:val="21"/>
      </w:rPr>
      <w:t>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rFonts w:hint="eastAsia" w:ascii="黑体" w:eastAsia="黑体"/>
        <w:sz w:val="21"/>
        <w:szCs w:val="21"/>
      </w:rPr>
      <w:t>JJF(新)06－2017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ascii="黑体" w:eastAsia="黑体"/>
        <w:b/>
        <w:sz w:val="21"/>
        <w:szCs w:val="21"/>
      </w:rPr>
    </w:pPr>
    <w:r>
      <w:rPr>
        <w:rFonts w:hint="eastAsia" w:ascii="黑体" w:eastAsia="黑体"/>
        <w:b/>
        <w:sz w:val="21"/>
        <w:szCs w:val="21"/>
      </w:rPr>
      <w:t>JJF(新)××－20</w:t>
    </w:r>
    <w:r>
      <w:rPr>
        <w:rFonts w:hint="eastAsia" w:ascii="黑体" w:eastAsia="黑体"/>
        <w:b/>
        <w:sz w:val="21"/>
        <w:szCs w:val="21"/>
        <w:lang w:val="en-US" w:eastAsia="zh-CN"/>
      </w:rPr>
      <w:t>2</w:t>
    </w:r>
    <w:r>
      <w:rPr>
        <w:rFonts w:hint="eastAsia" w:ascii="黑体" w:eastAsia="黑体"/>
        <w:b/>
        <w:sz w:val="21"/>
        <w:szCs w:val="21"/>
      </w:rPr>
      <w:t>×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jc w:val="both"/>
      <w:rPr>
        <w:rFonts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2B2E"/>
    <w:multiLevelType w:val="multilevel"/>
    <w:tmpl w:val="085E2B2E"/>
    <w:lvl w:ilvl="0" w:tentative="0">
      <w:start w:val="1"/>
      <w:numFmt w:val="lowerLetter"/>
      <w:lvlText w:val="%1）"/>
      <w:lvlJc w:val="left"/>
      <w:pPr>
        <w:tabs>
          <w:tab w:val="left" w:pos="720"/>
        </w:tabs>
        <w:ind w:left="720" w:hanging="720"/>
      </w:pPr>
      <w:rPr>
        <w:rFonts w:hint="default"/>
        <w:b w:val="0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2394985"/>
    <w:multiLevelType w:val="multilevel"/>
    <w:tmpl w:val="1239498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FB013F7"/>
    <w:multiLevelType w:val="multilevel"/>
    <w:tmpl w:val="3FB013F7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 w:ascii="黑体" w:eastAsia="黑体" w:cs="Times New Roman"/>
        <w:b/>
        <w:sz w:val="24"/>
        <w:szCs w:val="24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360"/>
        </w:tabs>
        <w:ind w:left="360" w:hanging="360"/>
      </w:pPr>
      <w:rPr>
        <w:rFonts w:hint="default" w:ascii="宋体" w:hAnsi="宋体" w:eastAsia="宋体" w:cs="Times New Roman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 w:cs="Times New Roman"/>
      </w:rPr>
    </w:lvl>
  </w:abstractNum>
  <w:abstractNum w:abstractNumId="3">
    <w:nsid w:val="4B832352"/>
    <w:multiLevelType w:val="multilevel"/>
    <w:tmpl w:val="4B832352"/>
    <w:lvl w:ilvl="0" w:tentative="0">
      <w:start w:val="1"/>
      <w:numFmt w:val="lowerLetter"/>
      <w:lvlText w:val="%1）"/>
      <w:lvlJc w:val="left"/>
      <w:pPr>
        <w:tabs>
          <w:tab w:val="left" w:pos="1212"/>
        </w:tabs>
        <w:ind w:left="1212" w:hanging="720"/>
      </w:pPr>
      <w:rPr>
        <w:rFonts w:hint="default" w:ascii="宋体" w:hAnsi="宋体" w:eastAsia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C39"/>
    <w:rsid w:val="00001129"/>
    <w:rsid w:val="0000322C"/>
    <w:rsid w:val="0000509B"/>
    <w:rsid w:val="00006A96"/>
    <w:rsid w:val="00011627"/>
    <w:rsid w:val="000136B1"/>
    <w:rsid w:val="00013A5C"/>
    <w:rsid w:val="00017753"/>
    <w:rsid w:val="0002033E"/>
    <w:rsid w:val="00021FB1"/>
    <w:rsid w:val="00025434"/>
    <w:rsid w:val="0002636E"/>
    <w:rsid w:val="00031937"/>
    <w:rsid w:val="00034AB1"/>
    <w:rsid w:val="000422BF"/>
    <w:rsid w:val="000478D5"/>
    <w:rsid w:val="00047E70"/>
    <w:rsid w:val="00051D32"/>
    <w:rsid w:val="000554B6"/>
    <w:rsid w:val="00061A54"/>
    <w:rsid w:val="00065FE9"/>
    <w:rsid w:val="000660B7"/>
    <w:rsid w:val="00067B50"/>
    <w:rsid w:val="00067C5F"/>
    <w:rsid w:val="00072F98"/>
    <w:rsid w:val="00074ADE"/>
    <w:rsid w:val="00084CD2"/>
    <w:rsid w:val="0008673C"/>
    <w:rsid w:val="0009185E"/>
    <w:rsid w:val="000971F0"/>
    <w:rsid w:val="000971F2"/>
    <w:rsid w:val="000A0278"/>
    <w:rsid w:val="000A2255"/>
    <w:rsid w:val="000A6D2E"/>
    <w:rsid w:val="000B4243"/>
    <w:rsid w:val="000B4F9D"/>
    <w:rsid w:val="000C313B"/>
    <w:rsid w:val="000D052F"/>
    <w:rsid w:val="000D2A90"/>
    <w:rsid w:val="000D38E9"/>
    <w:rsid w:val="000D3DA2"/>
    <w:rsid w:val="000D4CC8"/>
    <w:rsid w:val="000D6A4F"/>
    <w:rsid w:val="000E1781"/>
    <w:rsid w:val="000E1982"/>
    <w:rsid w:val="000E2402"/>
    <w:rsid w:val="000E4080"/>
    <w:rsid w:val="000E4AF3"/>
    <w:rsid w:val="000E6E1E"/>
    <w:rsid w:val="000F1DB1"/>
    <w:rsid w:val="000F4827"/>
    <w:rsid w:val="000F5422"/>
    <w:rsid w:val="00101972"/>
    <w:rsid w:val="00102EFD"/>
    <w:rsid w:val="001032F0"/>
    <w:rsid w:val="00106DBD"/>
    <w:rsid w:val="00115239"/>
    <w:rsid w:val="001201D7"/>
    <w:rsid w:val="00120BA5"/>
    <w:rsid w:val="00121793"/>
    <w:rsid w:val="00126600"/>
    <w:rsid w:val="0013465F"/>
    <w:rsid w:val="0013505A"/>
    <w:rsid w:val="00135C5C"/>
    <w:rsid w:val="0013666C"/>
    <w:rsid w:val="00142C46"/>
    <w:rsid w:val="00146D0A"/>
    <w:rsid w:val="00151297"/>
    <w:rsid w:val="00157593"/>
    <w:rsid w:val="00161AD3"/>
    <w:rsid w:val="00165B05"/>
    <w:rsid w:val="00165B7F"/>
    <w:rsid w:val="00171DEC"/>
    <w:rsid w:val="00173525"/>
    <w:rsid w:val="00175DA1"/>
    <w:rsid w:val="00176AF6"/>
    <w:rsid w:val="00181290"/>
    <w:rsid w:val="00181D21"/>
    <w:rsid w:val="0018271B"/>
    <w:rsid w:val="00183E6E"/>
    <w:rsid w:val="0018510A"/>
    <w:rsid w:val="0018785E"/>
    <w:rsid w:val="00191CC4"/>
    <w:rsid w:val="00193691"/>
    <w:rsid w:val="00193B02"/>
    <w:rsid w:val="001A0291"/>
    <w:rsid w:val="001A20AB"/>
    <w:rsid w:val="001A7CD4"/>
    <w:rsid w:val="001B1589"/>
    <w:rsid w:val="001B1DFB"/>
    <w:rsid w:val="001B34B3"/>
    <w:rsid w:val="001B3729"/>
    <w:rsid w:val="001B3999"/>
    <w:rsid w:val="001B4F6E"/>
    <w:rsid w:val="001B6945"/>
    <w:rsid w:val="001B6E1A"/>
    <w:rsid w:val="001C3751"/>
    <w:rsid w:val="001D0B7D"/>
    <w:rsid w:val="001D1045"/>
    <w:rsid w:val="001D6ED5"/>
    <w:rsid w:val="001E0F1D"/>
    <w:rsid w:val="001E4403"/>
    <w:rsid w:val="001E45C9"/>
    <w:rsid w:val="001F1A94"/>
    <w:rsid w:val="001F70B4"/>
    <w:rsid w:val="00203C37"/>
    <w:rsid w:val="00203C98"/>
    <w:rsid w:val="00211BB0"/>
    <w:rsid w:val="002123FA"/>
    <w:rsid w:val="0021343D"/>
    <w:rsid w:val="00217834"/>
    <w:rsid w:val="00221FD8"/>
    <w:rsid w:val="00224C2E"/>
    <w:rsid w:val="00224DFF"/>
    <w:rsid w:val="00224FA0"/>
    <w:rsid w:val="00227F66"/>
    <w:rsid w:val="002309F3"/>
    <w:rsid w:val="00231B70"/>
    <w:rsid w:val="00231C7B"/>
    <w:rsid w:val="00240F8B"/>
    <w:rsid w:val="00241290"/>
    <w:rsid w:val="00242710"/>
    <w:rsid w:val="00244911"/>
    <w:rsid w:val="00244BF6"/>
    <w:rsid w:val="00250417"/>
    <w:rsid w:val="002546DE"/>
    <w:rsid w:val="00255748"/>
    <w:rsid w:val="00261333"/>
    <w:rsid w:val="00266574"/>
    <w:rsid w:val="00273526"/>
    <w:rsid w:val="00277FEC"/>
    <w:rsid w:val="0028001E"/>
    <w:rsid w:val="002804B4"/>
    <w:rsid w:val="00284BA5"/>
    <w:rsid w:val="0028600F"/>
    <w:rsid w:val="0028627C"/>
    <w:rsid w:val="002964DB"/>
    <w:rsid w:val="002A021A"/>
    <w:rsid w:val="002A0A1D"/>
    <w:rsid w:val="002A2226"/>
    <w:rsid w:val="002A2796"/>
    <w:rsid w:val="002A3154"/>
    <w:rsid w:val="002A5514"/>
    <w:rsid w:val="002A6C7A"/>
    <w:rsid w:val="002A7D87"/>
    <w:rsid w:val="002B0D33"/>
    <w:rsid w:val="002B2149"/>
    <w:rsid w:val="002B2F9C"/>
    <w:rsid w:val="002B32DF"/>
    <w:rsid w:val="002B597C"/>
    <w:rsid w:val="002B7A46"/>
    <w:rsid w:val="002C066A"/>
    <w:rsid w:val="002C1FC9"/>
    <w:rsid w:val="002C37C9"/>
    <w:rsid w:val="002C5410"/>
    <w:rsid w:val="002C7101"/>
    <w:rsid w:val="002D4EA6"/>
    <w:rsid w:val="002D6C7E"/>
    <w:rsid w:val="002D6C92"/>
    <w:rsid w:val="002E6256"/>
    <w:rsid w:val="002F03F3"/>
    <w:rsid w:val="002F1ED0"/>
    <w:rsid w:val="002F2633"/>
    <w:rsid w:val="002F3E96"/>
    <w:rsid w:val="002F582B"/>
    <w:rsid w:val="00300204"/>
    <w:rsid w:val="003004E9"/>
    <w:rsid w:val="00301AEE"/>
    <w:rsid w:val="00303D86"/>
    <w:rsid w:val="00304B47"/>
    <w:rsid w:val="00312DAE"/>
    <w:rsid w:val="003168EA"/>
    <w:rsid w:val="003203D5"/>
    <w:rsid w:val="003213AA"/>
    <w:rsid w:val="00321A09"/>
    <w:rsid w:val="00322606"/>
    <w:rsid w:val="0032777B"/>
    <w:rsid w:val="003278FA"/>
    <w:rsid w:val="00327A20"/>
    <w:rsid w:val="00330352"/>
    <w:rsid w:val="00330491"/>
    <w:rsid w:val="003373CC"/>
    <w:rsid w:val="00340DB7"/>
    <w:rsid w:val="0034202B"/>
    <w:rsid w:val="00343D3C"/>
    <w:rsid w:val="00343E2E"/>
    <w:rsid w:val="0034646D"/>
    <w:rsid w:val="00351A3C"/>
    <w:rsid w:val="00353ADF"/>
    <w:rsid w:val="00356B5E"/>
    <w:rsid w:val="00357316"/>
    <w:rsid w:val="00357F17"/>
    <w:rsid w:val="00362221"/>
    <w:rsid w:val="00365EEE"/>
    <w:rsid w:val="00366C36"/>
    <w:rsid w:val="003702FC"/>
    <w:rsid w:val="0037033E"/>
    <w:rsid w:val="00372DDB"/>
    <w:rsid w:val="00380746"/>
    <w:rsid w:val="00380BF0"/>
    <w:rsid w:val="0038423E"/>
    <w:rsid w:val="0038424D"/>
    <w:rsid w:val="00385D99"/>
    <w:rsid w:val="003923F5"/>
    <w:rsid w:val="00392C7B"/>
    <w:rsid w:val="00393FAC"/>
    <w:rsid w:val="00396133"/>
    <w:rsid w:val="00397183"/>
    <w:rsid w:val="003A0759"/>
    <w:rsid w:val="003A1593"/>
    <w:rsid w:val="003A1A0B"/>
    <w:rsid w:val="003A7D5E"/>
    <w:rsid w:val="003B2287"/>
    <w:rsid w:val="003B3D0A"/>
    <w:rsid w:val="003B7B6F"/>
    <w:rsid w:val="003B7FA9"/>
    <w:rsid w:val="003C4BD6"/>
    <w:rsid w:val="003C518E"/>
    <w:rsid w:val="003D026A"/>
    <w:rsid w:val="003D33B7"/>
    <w:rsid w:val="003D547B"/>
    <w:rsid w:val="003D6C63"/>
    <w:rsid w:val="003E387E"/>
    <w:rsid w:val="003F159F"/>
    <w:rsid w:val="00406AB7"/>
    <w:rsid w:val="00411BC1"/>
    <w:rsid w:val="00411DDC"/>
    <w:rsid w:val="00411F2F"/>
    <w:rsid w:val="004128DA"/>
    <w:rsid w:val="00415DEA"/>
    <w:rsid w:val="00416081"/>
    <w:rsid w:val="00416C21"/>
    <w:rsid w:val="00417865"/>
    <w:rsid w:val="00420171"/>
    <w:rsid w:val="0042152F"/>
    <w:rsid w:val="0042254E"/>
    <w:rsid w:val="00422ECA"/>
    <w:rsid w:val="00425275"/>
    <w:rsid w:val="00425F1A"/>
    <w:rsid w:val="0042763D"/>
    <w:rsid w:val="00433ABE"/>
    <w:rsid w:val="004363D7"/>
    <w:rsid w:val="0043762D"/>
    <w:rsid w:val="004379EF"/>
    <w:rsid w:val="00437E5F"/>
    <w:rsid w:val="00440372"/>
    <w:rsid w:val="00446AB3"/>
    <w:rsid w:val="0045661A"/>
    <w:rsid w:val="00456DD5"/>
    <w:rsid w:val="00464B5F"/>
    <w:rsid w:val="00464C1F"/>
    <w:rsid w:val="004676E5"/>
    <w:rsid w:val="0047296E"/>
    <w:rsid w:val="00480765"/>
    <w:rsid w:val="004823C1"/>
    <w:rsid w:val="00486EBA"/>
    <w:rsid w:val="004941E5"/>
    <w:rsid w:val="004946BA"/>
    <w:rsid w:val="004968C1"/>
    <w:rsid w:val="004970E6"/>
    <w:rsid w:val="004B08E3"/>
    <w:rsid w:val="004B1F91"/>
    <w:rsid w:val="004B3155"/>
    <w:rsid w:val="004B44CA"/>
    <w:rsid w:val="004B45E1"/>
    <w:rsid w:val="004B4A74"/>
    <w:rsid w:val="004B71CD"/>
    <w:rsid w:val="004B741E"/>
    <w:rsid w:val="004C753F"/>
    <w:rsid w:val="004D0562"/>
    <w:rsid w:val="004D0B44"/>
    <w:rsid w:val="004D17A4"/>
    <w:rsid w:val="004D5BC8"/>
    <w:rsid w:val="004D7841"/>
    <w:rsid w:val="004E3C1F"/>
    <w:rsid w:val="004E41DC"/>
    <w:rsid w:val="004F0EB4"/>
    <w:rsid w:val="004F6CD5"/>
    <w:rsid w:val="004F72B8"/>
    <w:rsid w:val="00500395"/>
    <w:rsid w:val="00502D7C"/>
    <w:rsid w:val="00505578"/>
    <w:rsid w:val="00507B54"/>
    <w:rsid w:val="00510941"/>
    <w:rsid w:val="00510D81"/>
    <w:rsid w:val="00511F43"/>
    <w:rsid w:val="00511F48"/>
    <w:rsid w:val="00512FD3"/>
    <w:rsid w:val="00513ACD"/>
    <w:rsid w:val="005200F0"/>
    <w:rsid w:val="0052456A"/>
    <w:rsid w:val="00533040"/>
    <w:rsid w:val="005333DB"/>
    <w:rsid w:val="00534D16"/>
    <w:rsid w:val="00544238"/>
    <w:rsid w:val="00545764"/>
    <w:rsid w:val="00546DC9"/>
    <w:rsid w:val="005561E2"/>
    <w:rsid w:val="00561D37"/>
    <w:rsid w:val="005623E9"/>
    <w:rsid w:val="005648C4"/>
    <w:rsid w:val="00566107"/>
    <w:rsid w:val="005662AD"/>
    <w:rsid w:val="00566781"/>
    <w:rsid w:val="00567536"/>
    <w:rsid w:val="00571D61"/>
    <w:rsid w:val="00571E82"/>
    <w:rsid w:val="005729C7"/>
    <w:rsid w:val="00581A03"/>
    <w:rsid w:val="00581EB8"/>
    <w:rsid w:val="00581ECA"/>
    <w:rsid w:val="00584FFD"/>
    <w:rsid w:val="005864A7"/>
    <w:rsid w:val="00586B3D"/>
    <w:rsid w:val="00595986"/>
    <w:rsid w:val="005A2F2B"/>
    <w:rsid w:val="005A3432"/>
    <w:rsid w:val="005B6A2B"/>
    <w:rsid w:val="005B781D"/>
    <w:rsid w:val="005C3A25"/>
    <w:rsid w:val="005C45F0"/>
    <w:rsid w:val="005C5CCD"/>
    <w:rsid w:val="005D1032"/>
    <w:rsid w:val="005D6E3F"/>
    <w:rsid w:val="005E6DAD"/>
    <w:rsid w:val="005E7658"/>
    <w:rsid w:val="005F6B80"/>
    <w:rsid w:val="00600E22"/>
    <w:rsid w:val="00601283"/>
    <w:rsid w:val="006017DA"/>
    <w:rsid w:val="00605A22"/>
    <w:rsid w:val="00606A20"/>
    <w:rsid w:val="00611483"/>
    <w:rsid w:val="00613CE8"/>
    <w:rsid w:val="0062061C"/>
    <w:rsid w:val="00625380"/>
    <w:rsid w:val="006253DF"/>
    <w:rsid w:val="006265F2"/>
    <w:rsid w:val="00627C1B"/>
    <w:rsid w:val="006317AA"/>
    <w:rsid w:val="00637F54"/>
    <w:rsid w:val="00640604"/>
    <w:rsid w:val="00643AD1"/>
    <w:rsid w:val="00644CBE"/>
    <w:rsid w:val="0064658B"/>
    <w:rsid w:val="006468A7"/>
    <w:rsid w:val="006475C1"/>
    <w:rsid w:val="006508FE"/>
    <w:rsid w:val="0065454A"/>
    <w:rsid w:val="00667120"/>
    <w:rsid w:val="00670893"/>
    <w:rsid w:val="00671091"/>
    <w:rsid w:val="006731AB"/>
    <w:rsid w:val="00676030"/>
    <w:rsid w:val="00677CC3"/>
    <w:rsid w:val="0068121A"/>
    <w:rsid w:val="00682ED3"/>
    <w:rsid w:val="006837F5"/>
    <w:rsid w:val="00685B2B"/>
    <w:rsid w:val="00686435"/>
    <w:rsid w:val="00692F20"/>
    <w:rsid w:val="00696675"/>
    <w:rsid w:val="006A0FA8"/>
    <w:rsid w:val="006A65E9"/>
    <w:rsid w:val="006B1913"/>
    <w:rsid w:val="006B377D"/>
    <w:rsid w:val="006B47D7"/>
    <w:rsid w:val="006B4B4E"/>
    <w:rsid w:val="006B5626"/>
    <w:rsid w:val="006B737D"/>
    <w:rsid w:val="006B7E9C"/>
    <w:rsid w:val="006C1641"/>
    <w:rsid w:val="006C298B"/>
    <w:rsid w:val="006C4403"/>
    <w:rsid w:val="006C5347"/>
    <w:rsid w:val="006C60B1"/>
    <w:rsid w:val="006D671A"/>
    <w:rsid w:val="006E204E"/>
    <w:rsid w:val="006E239F"/>
    <w:rsid w:val="006E3EA7"/>
    <w:rsid w:val="006E59A8"/>
    <w:rsid w:val="006F0772"/>
    <w:rsid w:val="006F2D7C"/>
    <w:rsid w:val="00703F57"/>
    <w:rsid w:val="00706BC5"/>
    <w:rsid w:val="00715C39"/>
    <w:rsid w:val="00720095"/>
    <w:rsid w:val="0072484E"/>
    <w:rsid w:val="00724FE7"/>
    <w:rsid w:val="00732C5C"/>
    <w:rsid w:val="007333D4"/>
    <w:rsid w:val="00734100"/>
    <w:rsid w:val="00734C27"/>
    <w:rsid w:val="00735CC7"/>
    <w:rsid w:val="0074296A"/>
    <w:rsid w:val="00742F25"/>
    <w:rsid w:val="00744CC4"/>
    <w:rsid w:val="00747271"/>
    <w:rsid w:val="0074746A"/>
    <w:rsid w:val="00752C02"/>
    <w:rsid w:val="00753FE2"/>
    <w:rsid w:val="007563D1"/>
    <w:rsid w:val="00756591"/>
    <w:rsid w:val="00760644"/>
    <w:rsid w:val="00760C7D"/>
    <w:rsid w:val="00771CDA"/>
    <w:rsid w:val="00774630"/>
    <w:rsid w:val="00775763"/>
    <w:rsid w:val="007775E2"/>
    <w:rsid w:val="0078263B"/>
    <w:rsid w:val="00790F1B"/>
    <w:rsid w:val="007923EB"/>
    <w:rsid w:val="0079344B"/>
    <w:rsid w:val="0079522F"/>
    <w:rsid w:val="00795E19"/>
    <w:rsid w:val="0079674D"/>
    <w:rsid w:val="007A3681"/>
    <w:rsid w:val="007A4D09"/>
    <w:rsid w:val="007B0AE6"/>
    <w:rsid w:val="007B12AB"/>
    <w:rsid w:val="007B4F10"/>
    <w:rsid w:val="007B63C5"/>
    <w:rsid w:val="007C1BE7"/>
    <w:rsid w:val="007C1DE6"/>
    <w:rsid w:val="007C4068"/>
    <w:rsid w:val="007C5C56"/>
    <w:rsid w:val="007D0C91"/>
    <w:rsid w:val="007D2C24"/>
    <w:rsid w:val="007D61A1"/>
    <w:rsid w:val="007E4319"/>
    <w:rsid w:val="007E4D1E"/>
    <w:rsid w:val="007F0E56"/>
    <w:rsid w:val="007F4334"/>
    <w:rsid w:val="007F7594"/>
    <w:rsid w:val="008044D4"/>
    <w:rsid w:val="008053A5"/>
    <w:rsid w:val="008068D2"/>
    <w:rsid w:val="0081301C"/>
    <w:rsid w:val="00814168"/>
    <w:rsid w:val="00814AD4"/>
    <w:rsid w:val="008150B0"/>
    <w:rsid w:val="0081563F"/>
    <w:rsid w:val="00815642"/>
    <w:rsid w:val="00817D0B"/>
    <w:rsid w:val="00820551"/>
    <w:rsid w:val="008246D7"/>
    <w:rsid w:val="00824A68"/>
    <w:rsid w:val="00827C1C"/>
    <w:rsid w:val="00827D0D"/>
    <w:rsid w:val="00831B7B"/>
    <w:rsid w:val="008335D1"/>
    <w:rsid w:val="00834A23"/>
    <w:rsid w:val="00837976"/>
    <w:rsid w:val="00840108"/>
    <w:rsid w:val="008408C7"/>
    <w:rsid w:val="00843390"/>
    <w:rsid w:val="008553F7"/>
    <w:rsid w:val="00863F17"/>
    <w:rsid w:val="00865F32"/>
    <w:rsid w:val="00871D1F"/>
    <w:rsid w:val="0087275E"/>
    <w:rsid w:val="00874599"/>
    <w:rsid w:val="0087763F"/>
    <w:rsid w:val="00882F16"/>
    <w:rsid w:val="008832FA"/>
    <w:rsid w:val="00884D44"/>
    <w:rsid w:val="00884F09"/>
    <w:rsid w:val="00886E1C"/>
    <w:rsid w:val="00896977"/>
    <w:rsid w:val="008A362B"/>
    <w:rsid w:val="008A4837"/>
    <w:rsid w:val="008B0005"/>
    <w:rsid w:val="008B0785"/>
    <w:rsid w:val="008B0F72"/>
    <w:rsid w:val="008B2263"/>
    <w:rsid w:val="008B44E4"/>
    <w:rsid w:val="008C0EC0"/>
    <w:rsid w:val="008C5E3E"/>
    <w:rsid w:val="008C62E9"/>
    <w:rsid w:val="008C65DF"/>
    <w:rsid w:val="008D0074"/>
    <w:rsid w:val="008D379B"/>
    <w:rsid w:val="008D3A47"/>
    <w:rsid w:val="008D4760"/>
    <w:rsid w:val="008D63A9"/>
    <w:rsid w:val="008E2D01"/>
    <w:rsid w:val="008F37D2"/>
    <w:rsid w:val="008F5F48"/>
    <w:rsid w:val="008F6E49"/>
    <w:rsid w:val="008F7AC1"/>
    <w:rsid w:val="00901D2A"/>
    <w:rsid w:val="00903F48"/>
    <w:rsid w:val="00906632"/>
    <w:rsid w:val="009108F7"/>
    <w:rsid w:val="0091234D"/>
    <w:rsid w:val="009131CB"/>
    <w:rsid w:val="00915075"/>
    <w:rsid w:val="00921392"/>
    <w:rsid w:val="00921A13"/>
    <w:rsid w:val="0092305B"/>
    <w:rsid w:val="009276AD"/>
    <w:rsid w:val="009349C5"/>
    <w:rsid w:val="00936540"/>
    <w:rsid w:val="009367BE"/>
    <w:rsid w:val="00937CEE"/>
    <w:rsid w:val="00945F7A"/>
    <w:rsid w:val="00947BF8"/>
    <w:rsid w:val="00953511"/>
    <w:rsid w:val="009552DA"/>
    <w:rsid w:val="009622DA"/>
    <w:rsid w:val="00962DC8"/>
    <w:rsid w:val="00964248"/>
    <w:rsid w:val="00964C6E"/>
    <w:rsid w:val="00971482"/>
    <w:rsid w:val="00977CF6"/>
    <w:rsid w:val="00981F43"/>
    <w:rsid w:val="009826FB"/>
    <w:rsid w:val="00986ED5"/>
    <w:rsid w:val="00987E8B"/>
    <w:rsid w:val="009932E8"/>
    <w:rsid w:val="00993401"/>
    <w:rsid w:val="009A1D47"/>
    <w:rsid w:val="009A2956"/>
    <w:rsid w:val="009A4F5C"/>
    <w:rsid w:val="009A5C46"/>
    <w:rsid w:val="009A6E7A"/>
    <w:rsid w:val="009B33FB"/>
    <w:rsid w:val="009B4BE2"/>
    <w:rsid w:val="009B5B6F"/>
    <w:rsid w:val="009D2439"/>
    <w:rsid w:val="009D2E21"/>
    <w:rsid w:val="009D6287"/>
    <w:rsid w:val="009E15E7"/>
    <w:rsid w:val="009E255B"/>
    <w:rsid w:val="009E32D9"/>
    <w:rsid w:val="009E7C93"/>
    <w:rsid w:val="009F337B"/>
    <w:rsid w:val="009F34A2"/>
    <w:rsid w:val="00A00D79"/>
    <w:rsid w:val="00A0386B"/>
    <w:rsid w:val="00A0402B"/>
    <w:rsid w:val="00A04A89"/>
    <w:rsid w:val="00A07610"/>
    <w:rsid w:val="00A11E78"/>
    <w:rsid w:val="00A130F6"/>
    <w:rsid w:val="00A14EDD"/>
    <w:rsid w:val="00A220D1"/>
    <w:rsid w:val="00A235CC"/>
    <w:rsid w:val="00A237D1"/>
    <w:rsid w:val="00A266CC"/>
    <w:rsid w:val="00A268DC"/>
    <w:rsid w:val="00A353E0"/>
    <w:rsid w:val="00A35CBF"/>
    <w:rsid w:val="00A3666F"/>
    <w:rsid w:val="00A378CD"/>
    <w:rsid w:val="00A37F79"/>
    <w:rsid w:val="00A41346"/>
    <w:rsid w:val="00A41F49"/>
    <w:rsid w:val="00A42D1B"/>
    <w:rsid w:val="00A430D5"/>
    <w:rsid w:val="00A466B8"/>
    <w:rsid w:val="00A63645"/>
    <w:rsid w:val="00A6795C"/>
    <w:rsid w:val="00A70ECB"/>
    <w:rsid w:val="00A7194A"/>
    <w:rsid w:val="00A77866"/>
    <w:rsid w:val="00A817B8"/>
    <w:rsid w:val="00A83616"/>
    <w:rsid w:val="00A90E29"/>
    <w:rsid w:val="00A9291B"/>
    <w:rsid w:val="00A92BDB"/>
    <w:rsid w:val="00A93C12"/>
    <w:rsid w:val="00A940C4"/>
    <w:rsid w:val="00A9742B"/>
    <w:rsid w:val="00AA069A"/>
    <w:rsid w:val="00AA3F66"/>
    <w:rsid w:val="00AB32C1"/>
    <w:rsid w:val="00AB3FF6"/>
    <w:rsid w:val="00AB4D33"/>
    <w:rsid w:val="00AB624E"/>
    <w:rsid w:val="00AB72CC"/>
    <w:rsid w:val="00AB734E"/>
    <w:rsid w:val="00AC51E2"/>
    <w:rsid w:val="00AD33F6"/>
    <w:rsid w:val="00AE1E85"/>
    <w:rsid w:val="00AE2005"/>
    <w:rsid w:val="00AE33FA"/>
    <w:rsid w:val="00AE4097"/>
    <w:rsid w:val="00AE40FC"/>
    <w:rsid w:val="00AE4650"/>
    <w:rsid w:val="00AE5BBA"/>
    <w:rsid w:val="00AE7812"/>
    <w:rsid w:val="00B01999"/>
    <w:rsid w:val="00B0306B"/>
    <w:rsid w:val="00B0479B"/>
    <w:rsid w:val="00B047FA"/>
    <w:rsid w:val="00B057A3"/>
    <w:rsid w:val="00B07488"/>
    <w:rsid w:val="00B108F9"/>
    <w:rsid w:val="00B12D8E"/>
    <w:rsid w:val="00B132C5"/>
    <w:rsid w:val="00B13C91"/>
    <w:rsid w:val="00B17B42"/>
    <w:rsid w:val="00B17C53"/>
    <w:rsid w:val="00B2060B"/>
    <w:rsid w:val="00B227E4"/>
    <w:rsid w:val="00B2288C"/>
    <w:rsid w:val="00B232AD"/>
    <w:rsid w:val="00B26C60"/>
    <w:rsid w:val="00B26E2E"/>
    <w:rsid w:val="00B369A2"/>
    <w:rsid w:val="00B45E80"/>
    <w:rsid w:val="00B479B0"/>
    <w:rsid w:val="00B5349A"/>
    <w:rsid w:val="00B54ED9"/>
    <w:rsid w:val="00B55FC5"/>
    <w:rsid w:val="00B57DD2"/>
    <w:rsid w:val="00B62B53"/>
    <w:rsid w:val="00B6468E"/>
    <w:rsid w:val="00B66BFE"/>
    <w:rsid w:val="00B70EDC"/>
    <w:rsid w:val="00B72175"/>
    <w:rsid w:val="00B751BB"/>
    <w:rsid w:val="00B767E5"/>
    <w:rsid w:val="00B771EA"/>
    <w:rsid w:val="00B80F3D"/>
    <w:rsid w:val="00B827FA"/>
    <w:rsid w:val="00B83A16"/>
    <w:rsid w:val="00B8424B"/>
    <w:rsid w:val="00B845C0"/>
    <w:rsid w:val="00B85E7E"/>
    <w:rsid w:val="00B87EAD"/>
    <w:rsid w:val="00B91B00"/>
    <w:rsid w:val="00B95B2C"/>
    <w:rsid w:val="00BA02C7"/>
    <w:rsid w:val="00BA136E"/>
    <w:rsid w:val="00BA2453"/>
    <w:rsid w:val="00BA2733"/>
    <w:rsid w:val="00BA38B5"/>
    <w:rsid w:val="00BB12D0"/>
    <w:rsid w:val="00BB7A4D"/>
    <w:rsid w:val="00BC3EAD"/>
    <w:rsid w:val="00BD073D"/>
    <w:rsid w:val="00BD127C"/>
    <w:rsid w:val="00BD206A"/>
    <w:rsid w:val="00BD3EFD"/>
    <w:rsid w:val="00BE2893"/>
    <w:rsid w:val="00BE42B5"/>
    <w:rsid w:val="00BE504D"/>
    <w:rsid w:val="00BE6597"/>
    <w:rsid w:val="00BE77F3"/>
    <w:rsid w:val="00BF0F41"/>
    <w:rsid w:val="00BF14EB"/>
    <w:rsid w:val="00BF1795"/>
    <w:rsid w:val="00BF1C1A"/>
    <w:rsid w:val="00BF61F1"/>
    <w:rsid w:val="00BF76EC"/>
    <w:rsid w:val="00BF7BA6"/>
    <w:rsid w:val="00C009C6"/>
    <w:rsid w:val="00C12E05"/>
    <w:rsid w:val="00C154B0"/>
    <w:rsid w:val="00C16DC6"/>
    <w:rsid w:val="00C174E4"/>
    <w:rsid w:val="00C20727"/>
    <w:rsid w:val="00C21A28"/>
    <w:rsid w:val="00C25484"/>
    <w:rsid w:val="00C26E0A"/>
    <w:rsid w:val="00C26FCA"/>
    <w:rsid w:val="00C3223F"/>
    <w:rsid w:val="00C35025"/>
    <w:rsid w:val="00C3515D"/>
    <w:rsid w:val="00C36043"/>
    <w:rsid w:val="00C408B3"/>
    <w:rsid w:val="00C44510"/>
    <w:rsid w:val="00C4692D"/>
    <w:rsid w:val="00C46AA9"/>
    <w:rsid w:val="00C52036"/>
    <w:rsid w:val="00C5349A"/>
    <w:rsid w:val="00C541F8"/>
    <w:rsid w:val="00C5765F"/>
    <w:rsid w:val="00C607B2"/>
    <w:rsid w:val="00C62E3C"/>
    <w:rsid w:val="00C63088"/>
    <w:rsid w:val="00C659CB"/>
    <w:rsid w:val="00C72433"/>
    <w:rsid w:val="00C728B2"/>
    <w:rsid w:val="00C72CE1"/>
    <w:rsid w:val="00C73CD6"/>
    <w:rsid w:val="00C8016F"/>
    <w:rsid w:val="00C8222C"/>
    <w:rsid w:val="00C822E2"/>
    <w:rsid w:val="00C855D3"/>
    <w:rsid w:val="00C86E1F"/>
    <w:rsid w:val="00C91F32"/>
    <w:rsid w:val="00C9283E"/>
    <w:rsid w:val="00C95FBE"/>
    <w:rsid w:val="00CA217C"/>
    <w:rsid w:val="00CA3D27"/>
    <w:rsid w:val="00CA3EC5"/>
    <w:rsid w:val="00CA6261"/>
    <w:rsid w:val="00CA6BFF"/>
    <w:rsid w:val="00CA7869"/>
    <w:rsid w:val="00CB0A7E"/>
    <w:rsid w:val="00CB0DA8"/>
    <w:rsid w:val="00CB1BDC"/>
    <w:rsid w:val="00CB3655"/>
    <w:rsid w:val="00CB4010"/>
    <w:rsid w:val="00CB4665"/>
    <w:rsid w:val="00CB5359"/>
    <w:rsid w:val="00CB5460"/>
    <w:rsid w:val="00CB7A41"/>
    <w:rsid w:val="00CC0DB7"/>
    <w:rsid w:val="00CC2027"/>
    <w:rsid w:val="00CC2B04"/>
    <w:rsid w:val="00CD303A"/>
    <w:rsid w:val="00CD3D14"/>
    <w:rsid w:val="00CE5084"/>
    <w:rsid w:val="00CF1BA8"/>
    <w:rsid w:val="00CF3F10"/>
    <w:rsid w:val="00CF43F9"/>
    <w:rsid w:val="00D0784A"/>
    <w:rsid w:val="00D12B99"/>
    <w:rsid w:val="00D12F73"/>
    <w:rsid w:val="00D13509"/>
    <w:rsid w:val="00D145BF"/>
    <w:rsid w:val="00D16442"/>
    <w:rsid w:val="00D200A7"/>
    <w:rsid w:val="00D20E55"/>
    <w:rsid w:val="00D214E1"/>
    <w:rsid w:val="00D252DE"/>
    <w:rsid w:val="00D267F3"/>
    <w:rsid w:val="00D273C4"/>
    <w:rsid w:val="00D37865"/>
    <w:rsid w:val="00D37CAD"/>
    <w:rsid w:val="00D43285"/>
    <w:rsid w:val="00D4382E"/>
    <w:rsid w:val="00D44F82"/>
    <w:rsid w:val="00D45135"/>
    <w:rsid w:val="00D46E8B"/>
    <w:rsid w:val="00D54866"/>
    <w:rsid w:val="00D568B0"/>
    <w:rsid w:val="00D57679"/>
    <w:rsid w:val="00D579F2"/>
    <w:rsid w:val="00D6248E"/>
    <w:rsid w:val="00D62AA6"/>
    <w:rsid w:val="00D65458"/>
    <w:rsid w:val="00D66495"/>
    <w:rsid w:val="00D675D9"/>
    <w:rsid w:val="00D72AA2"/>
    <w:rsid w:val="00D76767"/>
    <w:rsid w:val="00D805FF"/>
    <w:rsid w:val="00D90C7B"/>
    <w:rsid w:val="00D936CA"/>
    <w:rsid w:val="00DA1B2E"/>
    <w:rsid w:val="00DA20F1"/>
    <w:rsid w:val="00DA241B"/>
    <w:rsid w:val="00DA24FB"/>
    <w:rsid w:val="00DA2866"/>
    <w:rsid w:val="00DA498D"/>
    <w:rsid w:val="00DB11D9"/>
    <w:rsid w:val="00DB46DA"/>
    <w:rsid w:val="00DB72D1"/>
    <w:rsid w:val="00DC0421"/>
    <w:rsid w:val="00DC1A89"/>
    <w:rsid w:val="00DC23EB"/>
    <w:rsid w:val="00DC2458"/>
    <w:rsid w:val="00DC74EB"/>
    <w:rsid w:val="00DD68DC"/>
    <w:rsid w:val="00DE0225"/>
    <w:rsid w:val="00DE2A9D"/>
    <w:rsid w:val="00DE4C6D"/>
    <w:rsid w:val="00DE5A23"/>
    <w:rsid w:val="00DF127F"/>
    <w:rsid w:val="00DF2B5F"/>
    <w:rsid w:val="00DF3C80"/>
    <w:rsid w:val="00DF52A9"/>
    <w:rsid w:val="00DF7705"/>
    <w:rsid w:val="00DF7954"/>
    <w:rsid w:val="00E02B92"/>
    <w:rsid w:val="00E043CB"/>
    <w:rsid w:val="00E04D08"/>
    <w:rsid w:val="00E05EA1"/>
    <w:rsid w:val="00E06FBB"/>
    <w:rsid w:val="00E076D4"/>
    <w:rsid w:val="00E1044F"/>
    <w:rsid w:val="00E15A8F"/>
    <w:rsid w:val="00E242C4"/>
    <w:rsid w:val="00E2697D"/>
    <w:rsid w:val="00E34B9A"/>
    <w:rsid w:val="00E34F02"/>
    <w:rsid w:val="00E37C75"/>
    <w:rsid w:val="00E46FAF"/>
    <w:rsid w:val="00E47588"/>
    <w:rsid w:val="00E475FA"/>
    <w:rsid w:val="00E513AF"/>
    <w:rsid w:val="00E51AC2"/>
    <w:rsid w:val="00E534BB"/>
    <w:rsid w:val="00E55161"/>
    <w:rsid w:val="00E55D3E"/>
    <w:rsid w:val="00E568A6"/>
    <w:rsid w:val="00E57C78"/>
    <w:rsid w:val="00E60403"/>
    <w:rsid w:val="00E632E3"/>
    <w:rsid w:val="00E65657"/>
    <w:rsid w:val="00E6757D"/>
    <w:rsid w:val="00E67901"/>
    <w:rsid w:val="00E77EC7"/>
    <w:rsid w:val="00E8207B"/>
    <w:rsid w:val="00E844C7"/>
    <w:rsid w:val="00E84995"/>
    <w:rsid w:val="00E917DB"/>
    <w:rsid w:val="00E93C19"/>
    <w:rsid w:val="00E95EAB"/>
    <w:rsid w:val="00E96D0E"/>
    <w:rsid w:val="00E9734B"/>
    <w:rsid w:val="00EA09EE"/>
    <w:rsid w:val="00EB1407"/>
    <w:rsid w:val="00EB5C04"/>
    <w:rsid w:val="00EC2770"/>
    <w:rsid w:val="00EC314E"/>
    <w:rsid w:val="00EC4274"/>
    <w:rsid w:val="00EC51EE"/>
    <w:rsid w:val="00ED17AE"/>
    <w:rsid w:val="00ED1B2B"/>
    <w:rsid w:val="00ED4BEE"/>
    <w:rsid w:val="00ED4F79"/>
    <w:rsid w:val="00ED7603"/>
    <w:rsid w:val="00EE1430"/>
    <w:rsid w:val="00EE5071"/>
    <w:rsid w:val="00EF044A"/>
    <w:rsid w:val="00EF0F5C"/>
    <w:rsid w:val="00F01B3B"/>
    <w:rsid w:val="00F03852"/>
    <w:rsid w:val="00F060A5"/>
    <w:rsid w:val="00F0651E"/>
    <w:rsid w:val="00F0770C"/>
    <w:rsid w:val="00F10493"/>
    <w:rsid w:val="00F15715"/>
    <w:rsid w:val="00F17502"/>
    <w:rsid w:val="00F21BC3"/>
    <w:rsid w:val="00F24576"/>
    <w:rsid w:val="00F25A21"/>
    <w:rsid w:val="00F25DD7"/>
    <w:rsid w:val="00F31737"/>
    <w:rsid w:val="00F3385D"/>
    <w:rsid w:val="00F3432E"/>
    <w:rsid w:val="00F3525A"/>
    <w:rsid w:val="00F37ABD"/>
    <w:rsid w:val="00F37F2C"/>
    <w:rsid w:val="00F409E5"/>
    <w:rsid w:val="00F40C6D"/>
    <w:rsid w:val="00F40DD4"/>
    <w:rsid w:val="00F42D08"/>
    <w:rsid w:val="00F43BF2"/>
    <w:rsid w:val="00F43D56"/>
    <w:rsid w:val="00F441FF"/>
    <w:rsid w:val="00F50E9E"/>
    <w:rsid w:val="00F523CC"/>
    <w:rsid w:val="00F55798"/>
    <w:rsid w:val="00F60417"/>
    <w:rsid w:val="00F61729"/>
    <w:rsid w:val="00F6290B"/>
    <w:rsid w:val="00F62CE7"/>
    <w:rsid w:val="00F653E9"/>
    <w:rsid w:val="00F758E7"/>
    <w:rsid w:val="00F819AB"/>
    <w:rsid w:val="00F83967"/>
    <w:rsid w:val="00F83A75"/>
    <w:rsid w:val="00F85003"/>
    <w:rsid w:val="00F861F3"/>
    <w:rsid w:val="00F906A4"/>
    <w:rsid w:val="00F94CF4"/>
    <w:rsid w:val="00F95CAC"/>
    <w:rsid w:val="00FA113D"/>
    <w:rsid w:val="00FA1657"/>
    <w:rsid w:val="00FA6E4D"/>
    <w:rsid w:val="00FA6F66"/>
    <w:rsid w:val="00FA7E56"/>
    <w:rsid w:val="00FB20B3"/>
    <w:rsid w:val="00FB3B6D"/>
    <w:rsid w:val="00FB5A02"/>
    <w:rsid w:val="00FC1D38"/>
    <w:rsid w:val="00FC2720"/>
    <w:rsid w:val="00FD017F"/>
    <w:rsid w:val="00FD03D4"/>
    <w:rsid w:val="00FD59F7"/>
    <w:rsid w:val="00FD5B00"/>
    <w:rsid w:val="00FD6236"/>
    <w:rsid w:val="00FD6ACE"/>
    <w:rsid w:val="00FD6E08"/>
    <w:rsid w:val="00FE2F6F"/>
    <w:rsid w:val="00FF2BA0"/>
    <w:rsid w:val="00FF2CD7"/>
    <w:rsid w:val="00FF727B"/>
    <w:rsid w:val="02900B45"/>
    <w:rsid w:val="0AF44A66"/>
    <w:rsid w:val="0B6B0D5A"/>
    <w:rsid w:val="10D9766E"/>
    <w:rsid w:val="116051C4"/>
    <w:rsid w:val="1680017A"/>
    <w:rsid w:val="189B11D8"/>
    <w:rsid w:val="1A795B80"/>
    <w:rsid w:val="1D566DF3"/>
    <w:rsid w:val="22841A78"/>
    <w:rsid w:val="2B8303FF"/>
    <w:rsid w:val="2D563DA3"/>
    <w:rsid w:val="31732662"/>
    <w:rsid w:val="320F64B6"/>
    <w:rsid w:val="32FB0FB2"/>
    <w:rsid w:val="34C245AB"/>
    <w:rsid w:val="34EB4DCD"/>
    <w:rsid w:val="37A33463"/>
    <w:rsid w:val="43E8319C"/>
    <w:rsid w:val="45412ED8"/>
    <w:rsid w:val="49837F5E"/>
    <w:rsid w:val="4DC07075"/>
    <w:rsid w:val="54101A00"/>
    <w:rsid w:val="5785413F"/>
    <w:rsid w:val="57B92108"/>
    <w:rsid w:val="589831BA"/>
    <w:rsid w:val="5D8A2B6E"/>
    <w:rsid w:val="5FDE501F"/>
    <w:rsid w:val="629F1C95"/>
    <w:rsid w:val="647C7508"/>
    <w:rsid w:val="695663D8"/>
    <w:rsid w:val="69846652"/>
    <w:rsid w:val="6D260C91"/>
    <w:rsid w:val="6E444339"/>
    <w:rsid w:val="721649D6"/>
    <w:rsid w:val="752976BB"/>
    <w:rsid w:val="76B803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黑体" w:eastAsia="黑体"/>
      <w:bCs/>
      <w:sz w:val="44"/>
      <w:szCs w:val="36"/>
    </w:rPr>
  </w:style>
  <w:style w:type="paragraph" w:styleId="3">
    <w:name w:val="heading 2"/>
    <w:basedOn w:val="1"/>
    <w:next w:val="1"/>
    <w:link w:val="35"/>
    <w:qFormat/>
    <w:uiPriority w:val="0"/>
    <w:pPr>
      <w:keepNext/>
      <w:keepLines/>
      <w:numPr>
        <w:ilvl w:val="1"/>
        <w:numId w:val="1"/>
      </w:numPr>
      <w:tabs>
        <w:tab w:val="left" w:pos="567"/>
        <w:tab w:val="clear" w:pos="360"/>
      </w:tabs>
      <w:snapToGrid w:val="0"/>
      <w:spacing w:before="156" w:beforeLines="50" w:line="360" w:lineRule="auto"/>
      <w:ind w:left="567" w:hanging="567"/>
      <w:jc w:val="left"/>
      <w:outlineLvl w:val="1"/>
    </w:pPr>
    <w:rPr>
      <w:rFonts w:ascii="黑体" w:hAnsi="黑体" w:eastAsia="黑体"/>
      <w:bCs/>
      <w:sz w:val="24"/>
      <w:szCs w:val="20"/>
    </w:rPr>
  </w:style>
  <w:style w:type="character" w:default="1" w:styleId="16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  <w:style w:type="paragraph" w:styleId="4">
    <w:name w:val="annotation subject"/>
    <w:basedOn w:val="5"/>
    <w:next w:val="5"/>
    <w:semiHidden/>
    <w:qFormat/>
    <w:uiPriority w:val="0"/>
    <w:rPr>
      <w:b/>
      <w:bCs/>
    </w:r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Indent"/>
    <w:basedOn w:val="1"/>
    <w:link w:val="37"/>
    <w:qFormat/>
    <w:uiPriority w:val="0"/>
    <w:pPr>
      <w:ind w:firstLine="475" w:firstLineChars="198"/>
    </w:pPr>
    <w:rPr>
      <w:sz w:val="24"/>
      <w:szCs w:val="20"/>
    </w:rPr>
  </w:style>
  <w:style w:type="paragraph" w:styleId="8">
    <w:name w:val="toc 3"/>
    <w:basedOn w:val="1"/>
    <w:next w:val="1"/>
    <w:qFormat/>
    <w:uiPriority w:val="39"/>
    <w:pPr>
      <w:tabs>
        <w:tab w:val="right" w:leader="dot" w:pos="8914"/>
      </w:tabs>
      <w:ind w:left="840" w:leftChars="400"/>
      <w:jc w:val="center"/>
    </w:pPr>
  </w:style>
  <w:style w:type="paragraph" w:styleId="9">
    <w:name w:val="Body Text Indent 2"/>
    <w:basedOn w:val="1"/>
    <w:qFormat/>
    <w:uiPriority w:val="0"/>
    <w:pPr>
      <w:spacing w:line="360" w:lineRule="auto"/>
      <w:ind w:firstLine="425" w:firstLineChars="177"/>
    </w:pPr>
    <w:rPr>
      <w:sz w:val="24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3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8302"/>
      </w:tabs>
      <w:spacing w:line="360" w:lineRule="auto"/>
    </w:pPr>
    <w:rPr>
      <w:szCs w:val="20"/>
    </w:rPr>
  </w:style>
  <w:style w:type="paragraph" w:styleId="14">
    <w:name w:val="Subtitle"/>
    <w:basedOn w:val="1"/>
    <w:next w:val="1"/>
    <w:link w:val="36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15">
    <w:name w:val="toc 2"/>
    <w:basedOn w:val="1"/>
    <w:next w:val="1"/>
    <w:qFormat/>
    <w:uiPriority w:val="39"/>
    <w:pPr>
      <w:ind w:right="200" w:rightChars="200"/>
    </w:pPr>
  </w:style>
  <w:style w:type="character" w:styleId="17">
    <w:name w:val="page number"/>
    <w:basedOn w:val="16"/>
    <w:qFormat/>
    <w:uiPriority w:val="0"/>
  </w:style>
  <w:style w:type="character" w:styleId="18">
    <w:name w:val="Hyperlink"/>
    <w:qFormat/>
    <w:uiPriority w:val="99"/>
    <w:rPr>
      <w:color w:val="0000FF"/>
      <w:u w:val="single"/>
    </w:rPr>
  </w:style>
  <w:style w:type="character" w:styleId="19">
    <w:name w:val="annotation reference"/>
    <w:semiHidden/>
    <w:qFormat/>
    <w:uiPriority w:val="0"/>
    <w:rPr>
      <w:sz w:val="21"/>
      <w:szCs w:val="21"/>
    </w:rPr>
  </w:style>
  <w:style w:type="table" w:styleId="21">
    <w:name w:val="Table Grid"/>
    <w:basedOn w:val="20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22">
    <w:name w:val="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段 Char"/>
    <w:link w:val="3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Char Char Char Char"/>
    <w:basedOn w:val="1"/>
    <w:next w:val="1"/>
    <w:qFormat/>
    <w:uiPriority w:val="0"/>
    <w:pPr>
      <w:spacing w:line="360" w:lineRule="auto"/>
      <w:jc w:val="left"/>
    </w:pPr>
    <w:rPr>
      <w:sz w:val="28"/>
    </w:rPr>
  </w:style>
  <w:style w:type="paragraph" w:customStyle="1" w:styleId="26">
    <w:name w:val="章标题"/>
    <w:next w:val="1"/>
    <w:uiPriority w:val="0"/>
    <w:p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">
    <w:name w:val="Normal_0"/>
    <w:link w:val="33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Normal_3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30">
    <w:name w:val="TOC 标题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 w:cs="Times New Roman"/>
      <w:bCs w:val="0"/>
      <w:color w:val="2E74B5"/>
      <w:kern w:val="0"/>
      <w:sz w:val="32"/>
      <w:szCs w:val="32"/>
    </w:rPr>
  </w:style>
  <w:style w:type="character" w:customStyle="1" w:styleId="31">
    <w:name w:val="段 Char Char"/>
    <w:link w:val="24"/>
    <w:qFormat/>
    <w:uiPriority w:val="0"/>
    <w:rPr>
      <w:rFonts w:ascii="宋体"/>
      <w:kern w:val="2"/>
      <w:sz w:val="21"/>
      <w:szCs w:val="24"/>
      <w:lang w:val="en-US" w:eastAsia="zh-CN" w:bidi="ar-SA"/>
    </w:rPr>
  </w:style>
  <w:style w:type="character" w:customStyle="1" w:styleId="32">
    <w:name w:val=" Char Char1"/>
    <w:link w:val="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3">
    <w:name w:val="Normal_0 Char"/>
    <w:link w:val="27"/>
    <w:qFormat/>
    <w:uiPriority w:val="0"/>
    <w:rPr>
      <w:rFonts w:ascii="Calibri" w:hAnsi="Calibri" w:eastAsia="Calibri"/>
      <w:sz w:val="22"/>
      <w:szCs w:val="22"/>
      <w:lang w:val="ru-RU" w:eastAsia="en-US" w:bidi="ar-SA"/>
    </w:rPr>
  </w:style>
  <w:style w:type="character" w:customStyle="1" w:styleId="34">
    <w:name w:val=" Char Char4"/>
    <w:link w:val="2"/>
    <w:qFormat/>
    <w:uiPriority w:val="0"/>
    <w:rPr>
      <w:rFonts w:ascii="黑体" w:eastAsia="黑体"/>
      <w:bCs/>
      <w:kern w:val="2"/>
      <w:sz w:val="44"/>
      <w:szCs w:val="36"/>
    </w:rPr>
  </w:style>
  <w:style w:type="character" w:customStyle="1" w:styleId="35">
    <w:name w:val=" Char Char3"/>
    <w:link w:val="3"/>
    <w:qFormat/>
    <w:uiPriority w:val="0"/>
    <w:rPr>
      <w:rFonts w:ascii="黑体" w:hAnsi="黑体" w:eastAsia="黑体"/>
      <w:bCs/>
      <w:kern w:val="2"/>
      <w:sz w:val="24"/>
    </w:rPr>
  </w:style>
  <w:style w:type="character" w:customStyle="1" w:styleId="36">
    <w:name w:val=" Char Char"/>
    <w:link w:val="14"/>
    <w:qFormat/>
    <w:uiPriority w:val="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7">
    <w:name w:val=" Char Char2"/>
    <w:link w:val="7"/>
    <w:qFormat/>
    <w:locked/>
    <w:uiPriority w:val="0"/>
    <w:rPr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oleObject" Target="embeddings/oleObject38.bin"/><Relationship Id="rId97" Type="http://schemas.openxmlformats.org/officeDocument/2006/relationships/oleObject" Target="embeddings/oleObject37.bin"/><Relationship Id="rId96" Type="http://schemas.openxmlformats.org/officeDocument/2006/relationships/oleObject" Target="embeddings/oleObject3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3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4.bin"/><Relationship Id="rId91" Type="http://schemas.openxmlformats.org/officeDocument/2006/relationships/oleObject" Target="embeddings/oleObject33.bin"/><Relationship Id="rId90" Type="http://schemas.openxmlformats.org/officeDocument/2006/relationships/image" Target="media/image44.wmf"/><Relationship Id="rId9" Type="http://schemas.openxmlformats.org/officeDocument/2006/relationships/footer" Target="footer4.xml"/><Relationship Id="rId89" Type="http://schemas.openxmlformats.org/officeDocument/2006/relationships/oleObject" Target="embeddings/oleObject3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29.bin"/><Relationship Id="rId82" Type="http://schemas.openxmlformats.org/officeDocument/2006/relationships/oleObject" Target="embeddings/oleObject2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27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2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2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2.bin"/><Relationship Id="rId7" Type="http://schemas.openxmlformats.org/officeDocument/2006/relationships/header" Target="header3.xml"/><Relationship Id="rId69" Type="http://schemas.openxmlformats.org/officeDocument/2006/relationships/image" Target="media/image34.wmf"/><Relationship Id="rId68" Type="http://schemas.openxmlformats.org/officeDocument/2006/relationships/image" Target="media/image33.wmf"/><Relationship Id="rId67" Type="http://schemas.openxmlformats.org/officeDocument/2006/relationships/oleObject" Target="embeddings/oleObject21.bin"/><Relationship Id="rId66" Type="http://schemas.openxmlformats.org/officeDocument/2006/relationships/oleObject" Target="embeddings/oleObject2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1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1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17.bin"/><Relationship Id="rId6" Type="http://schemas.openxmlformats.org/officeDocument/2006/relationships/footer" Target="footer2.xml"/><Relationship Id="rId59" Type="http://schemas.openxmlformats.org/officeDocument/2006/relationships/image" Target="media/image29.wmf"/><Relationship Id="rId58" Type="http://schemas.openxmlformats.org/officeDocument/2006/relationships/oleObject" Target="embeddings/oleObject1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1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2.bin"/><Relationship Id="rId5" Type="http://schemas.openxmlformats.org/officeDocument/2006/relationships/footer" Target="footer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9.bin"/><Relationship Id="rId43" Type="http://schemas.openxmlformats.org/officeDocument/2006/relationships/image" Target="media/image21.wmf"/><Relationship Id="rId42" Type="http://schemas.openxmlformats.org/officeDocument/2006/relationships/image" Target="media/image20.wmf"/><Relationship Id="rId41" Type="http://schemas.openxmlformats.org/officeDocument/2006/relationships/image" Target="media/image19.wmf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image" Target="media/image16.wmf"/><Relationship Id="rId37" Type="http://schemas.openxmlformats.org/officeDocument/2006/relationships/image" Target="media/image15.wmf"/><Relationship Id="rId36" Type="http://schemas.openxmlformats.org/officeDocument/2006/relationships/image" Target="media/image14.wmf"/><Relationship Id="rId35" Type="http://schemas.openxmlformats.org/officeDocument/2006/relationships/image" Target="media/image13.wmf"/><Relationship Id="rId34" Type="http://schemas.openxmlformats.org/officeDocument/2006/relationships/image" Target="media/image12.wmf"/><Relationship Id="rId33" Type="http://schemas.openxmlformats.org/officeDocument/2006/relationships/image" Target="media/image11.wmf"/><Relationship Id="rId32" Type="http://schemas.openxmlformats.org/officeDocument/2006/relationships/image" Target="media/image10.wmf"/><Relationship Id="rId31" Type="http://schemas.openxmlformats.org/officeDocument/2006/relationships/image" Target="media/image9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oleObject" Target="embeddings/oleObject7.bin"/><Relationship Id="rId27" Type="http://schemas.openxmlformats.org/officeDocument/2006/relationships/image" Target="media/image7.wmf"/><Relationship Id="rId26" Type="http://schemas.openxmlformats.org/officeDocument/2006/relationships/oleObject" Target="embeddings/oleObject6.bin"/><Relationship Id="rId25" Type="http://schemas.openxmlformats.org/officeDocument/2006/relationships/oleObject" Target="embeddings/oleObject5.bin"/><Relationship Id="rId24" Type="http://schemas.openxmlformats.org/officeDocument/2006/relationships/image" Target="media/image6.wmf"/><Relationship Id="rId23" Type="http://schemas.openxmlformats.org/officeDocument/2006/relationships/oleObject" Target="embeddings/oleObject4.bin"/><Relationship Id="rId22" Type="http://schemas.openxmlformats.org/officeDocument/2006/relationships/image" Target="media/image5.wmf"/><Relationship Id="rId21" Type="http://schemas.openxmlformats.org/officeDocument/2006/relationships/oleObject" Target="embeddings/oleObject3.bin"/><Relationship Id="rId20" Type="http://schemas.openxmlformats.org/officeDocument/2006/relationships/image" Target="media/image4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3.wmf"/><Relationship Id="rId17" Type="http://schemas.openxmlformats.org/officeDocument/2006/relationships/oleObject" Target="embeddings/oleObject1.bin"/><Relationship Id="rId16" Type="http://schemas.openxmlformats.org/officeDocument/2006/relationships/image" Target="media/image2.png"/><Relationship Id="rId15" Type="http://schemas.openxmlformats.org/officeDocument/2006/relationships/image" Target="media/image1.jpe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header" Target="header4.xml"/><Relationship Id="rId11" Type="http://schemas.openxmlformats.org/officeDocument/2006/relationships/footer" Target="footer6.xml"/><Relationship Id="rId103" Type="http://schemas.openxmlformats.org/officeDocument/2006/relationships/fontTable" Target="fontTable.xml"/><Relationship Id="rId102" Type="http://schemas.openxmlformats.org/officeDocument/2006/relationships/numbering" Target="numbering.xml"/><Relationship Id="rId101" Type="http://schemas.openxmlformats.org/officeDocument/2006/relationships/customXml" Target="../customXml/item1.xml"/><Relationship Id="rId100" Type="http://schemas.openxmlformats.org/officeDocument/2006/relationships/image" Target="media/image47.wmf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新疆计量所</Company>
  <Pages>1</Pages>
  <Words>1659</Words>
  <Characters>9458</Characters>
  <Lines>78</Lines>
  <Paragraphs>22</Paragraphs>
  <TotalTime>2</TotalTime>
  <ScaleCrop>false</ScaleCrop>
  <LinksUpToDate>false</LinksUpToDate>
  <CharactersWithSpaces>11095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2018-09-11T14:59:00Z</dcterms:created>
  <dc:creator>whb</dc:creator>
  <cp:lastModifiedBy>常新春</cp:lastModifiedBy>
  <cp:lastPrinted>2017-11-20T03:13:00Z</cp:lastPrinted>
  <dcterms:modified xsi:type="dcterms:W3CDTF">2020-12-23T05:16:01Z</dcterms:modified>
  <dc:title>2004年度 0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