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firstLine="420" w:firstLineChars="200"/>
        <w:jc w:val="right"/>
        <w:rPr>
          <w:rFonts w:ascii="黑体" w:hAnsi="新宋体" w:eastAsia="黑体"/>
          <w:sz w:val="150"/>
          <w:szCs w:val="150"/>
        </w:rPr>
      </w:pPr>
      <w:r>
        <w:drawing>
          <wp:anchor distT="0" distB="0" distL="114300" distR="114300" simplePos="0" relativeHeight="251677696" behindDoc="0" locked="0" layoutInCell="1" allowOverlap="1">
            <wp:simplePos x="0" y="0"/>
            <wp:positionH relativeFrom="column">
              <wp:posOffset>3827145</wp:posOffset>
            </wp:positionH>
            <wp:positionV relativeFrom="paragraph">
              <wp:posOffset>-201930</wp:posOffset>
            </wp:positionV>
            <wp:extent cx="1971675" cy="970915"/>
            <wp:effectExtent l="0" t="0" r="9525" b="635"/>
            <wp:wrapNone/>
            <wp:docPr id="1" name="图片 11" descr="QQ图片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QQ图片22"/>
                    <pic:cNvPicPr>
                      <a:picLocks noChangeAspect="1"/>
                    </pic:cNvPicPr>
                  </pic:nvPicPr>
                  <pic:blipFill>
                    <a:blip r:embed="rId18"/>
                    <a:stretch>
                      <a:fillRect/>
                    </a:stretch>
                  </pic:blipFill>
                  <pic:spPr>
                    <a:xfrm>
                      <a:off x="0" y="0"/>
                      <a:ext cx="1971675" cy="970915"/>
                    </a:xfrm>
                    <a:prstGeom prst="rect">
                      <a:avLst/>
                    </a:prstGeom>
                    <a:noFill/>
                    <a:ln>
                      <a:noFill/>
                    </a:ln>
                  </pic:spPr>
                </pic:pic>
              </a:graphicData>
            </a:graphic>
          </wp:anchor>
        </w:drawing>
      </w:r>
      <w:r>
        <w:rPr>
          <w:lang w:val="en-US" w:eastAsia="zh-CN"/>
        </w:rPr>
        <w:pict>
          <v:rect id="_x0000_s1026" o:spid="_x0000_s1026" o:spt="1" style="position:absolute;left:0pt;margin-left:-3pt;margin-top:-29.5pt;height:23.4pt;width:504pt;z-index:251658240;mso-width-relative:page;mso-height-relative:page;" stroked="t" coordsize="21600,21600">
            <v:path/>
            <v:fill color2="#BBD5F0" focussize="0,0"/>
            <v:stroke weight="1.25pt" color="#FFFFFF"/>
            <v:imagedata o:title=""/>
            <o:lock v:ext="edit"/>
            <v:textbox>
              <w:txbxContent>
                <w:p/>
              </w:txbxContent>
            </v:textbox>
          </v:rect>
        </w:pict>
      </w:r>
    </w:p>
    <w:p>
      <w:pPr>
        <w:spacing w:line="240" w:lineRule="exact"/>
        <w:ind w:firstLine="3000" w:firstLineChars="200"/>
        <w:jc w:val="right"/>
        <w:rPr>
          <w:rFonts w:ascii="黑体" w:hAnsi="新宋体" w:eastAsia="黑体"/>
          <w:sz w:val="150"/>
          <w:szCs w:val="150"/>
        </w:rPr>
      </w:pPr>
    </w:p>
    <w:p>
      <w:pPr>
        <w:spacing w:line="240" w:lineRule="exact"/>
        <w:ind w:firstLine="3000" w:firstLineChars="200"/>
        <w:jc w:val="right"/>
        <w:rPr>
          <w:rFonts w:ascii="黑体" w:hAnsi="新宋体" w:eastAsia="黑体"/>
          <w:sz w:val="150"/>
          <w:szCs w:val="150"/>
        </w:rPr>
      </w:pPr>
    </w:p>
    <w:p>
      <w:pPr>
        <w:spacing w:line="240" w:lineRule="exact"/>
        <w:ind w:firstLine="3000" w:firstLineChars="200"/>
        <w:jc w:val="right"/>
        <w:rPr>
          <w:rFonts w:ascii="黑体" w:hAnsi="新宋体" w:eastAsia="黑体"/>
          <w:sz w:val="150"/>
          <w:szCs w:val="150"/>
        </w:rPr>
      </w:pPr>
    </w:p>
    <w:p>
      <w:pPr>
        <w:spacing w:before="100" w:beforeAutospacing="1"/>
        <w:jc w:val="center"/>
        <w:rPr>
          <w:rFonts w:hint="eastAsia" w:ascii="方正小标宋简体" w:hAnsi="宋体" w:eastAsia="方正小标宋简体" w:cs="宋体"/>
          <w:b/>
          <w:kern w:val="36"/>
          <w:sz w:val="52"/>
          <w:szCs w:val="52"/>
        </w:rPr>
      </w:pPr>
      <w:r>
        <w:rPr>
          <w:rFonts w:hint="eastAsia" w:ascii="方正小标宋简体" w:hAnsi="Times New Roman" w:eastAsia="方正小标宋简体" w:cs="宋体"/>
          <w:b/>
          <w:kern w:val="36"/>
          <w:sz w:val="52"/>
          <w:szCs w:val="52"/>
        </w:rPr>
        <w:t>新疆维吾尔自治区地方计量</w:t>
      </w:r>
      <w:r>
        <w:rPr>
          <w:rFonts w:hint="eastAsia" w:ascii="方正小标宋简体" w:eastAsia="方正小标宋简体" w:cs="宋体"/>
          <w:b/>
          <w:kern w:val="36"/>
          <w:sz w:val="52"/>
          <w:szCs w:val="52"/>
          <w:lang w:val="en-US" w:eastAsia="zh-CN"/>
        </w:rPr>
        <w:t>技术</w:t>
      </w:r>
      <w:r>
        <w:rPr>
          <w:rFonts w:hint="eastAsia" w:ascii="方正小标宋简体" w:hAnsi="Times New Roman" w:eastAsia="方正小标宋简体" w:cs="宋体"/>
          <w:b/>
          <w:kern w:val="36"/>
          <w:sz w:val="52"/>
          <w:szCs w:val="52"/>
        </w:rPr>
        <w:t>规范</w:t>
      </w:r>
    </w:p>
    <w:p>
      <w:pPr>
        <w:spacing w:line="360" w:lineRule="auto"/>
        <w:ind w:firstLine="6094" w:firstLineChars="2168"/>
        <w:rPr>
          <w:rFonts w:hint="eastAsia" w:eastAsia="黑体"/>
          <w:lang w:eastAsia="zh-CN"/>
        </w:rPr>
      </w:pPr>
      <w:r>
        <w:rPr>
          <w:rFonts w:ascii="Times New Roman" w:hAnsi="Times New Roman" w:eastAsia="黑体" w:cs="Times New Roman"/>
          <w:b/>
          <w:sz w:val="28"/>
          <w:szCs w:val="28"/>
        </w:rPr>
        <w:t>JJ</w:t>
      </w:r>
      <w:r>
        <w:rPr>
          <w:rFonts w:hint="eastAsia" w:ascii="Times New Roman" w:hAnsi="Times New Roman" w:eastAsia="黑体" w:cs="Times New Roman"/>
          <w:b/>
          <w:sz w:val="28"/>
          <w:szCs w:val="28"/>
          <w:lang w:val="en-US" w:eastAsia="zh-CN"/>
        </w:rPr>
        <w:t>F</w:t>
      </w:r>
      <w:r>
        <w:rPr>
          <w:rFonts w:ascii="Times New Roman" w:hAnsi="Times New Roman" w:eastAsia="黑体" w:cs="Times New Roman"/>
          <w:b/>
          <w:sz w:val="28"/>
          <w:szCs w:val="28"/>
        </w:rPr>
        <w:t>（新）</w:t>
      </w:r>
      <w:r>
        <w:rPr>
          <w:rFonts w:hint="eastAsia" w:eastAsia="黑体" w:cs="Times New Roman"/>
          <w:b/>
          <w:sz w:val="28"/>
          <w:szCs w:val="28"/>
          <w:lang w:val="en-US" w:eastAsia="zh-CN"/>
        </w:rPr>
        <w:t>XX</w:t>
      </w:r>
      <w:r>
        <w:rPr>
          <w:rFonts w:hint="eastAsia" w:ascii="Times New Roman" w:hAnsi="Times New Roman" w:eastAsia="黑体" w:cs="Times New Roman"/>
          <w:b/>
          <w:sz w:val="28"/>
          <w:szCs w:val="28"/>
        </w:rPr>
        <w:t>－</w:t>
      </w:r>
      <w:r>
        <w:rPr>
          <w:rFonts w:ascii="Times New Roman" w:hAnsi="Times New Roman" w:eastAsia="黑体" w:cs="Times New Roman"/>
          <w:b/>
          <w:sz w:val="28"/>
          <w:szCs w:val="28"/>
        </w:rPr>
        <w:t>20</w:t>
      </w:r>
      <w:r>
        <w:rPr>
          <w:rFonts w:hint="eastAsia" w:ascii="Times New Roman" w:hAnsi="Times New Roman" w:eastAsia="黑体" w:cs="Times New Roman"/>
          <w:b/>
          <w:sz w:val="28"/>
          <w:szCs w:val="28"/>
        </w:rPr>
        <w:t>2</w:t>
      </w:r>
      <w:r>
        <w:rPr>
          <w:rFonts w:hint="eastAsia" w:eastAsia="黑体" w:cs="Times New Roman"/>
          <w:b/>
          <w:sz w:val="28"/>
          <w:szCs w:val="28"/>
          <w:lang w:val="en-US" w:eastAsia="zh-CN"/>
        </w:rPr>
        <w:t>1</w:t>
      </w:r>
    </w:p>
    <w:p>
      <w:r>
        <w:rPr>
          <w:lang w:val="en-US" w:eastAsia="zh-CN"/>
        </w:rPr>
        <w:pict>
          <v:line id="_x0000_s1028" o:spid="_x0000_s1028" o:spt="20" style="position:absolute;left:0pt;margin-left:0pt;margin-top:3.6pt;height:0pt;width:468pt;z-index:251656192;mso-width-relative:page;mso-height-relative:page;" coordsize="21600,21600">
            <v:path arrowok="t"/>
            <v:fill focussize="0,0"/>
            <v:stroke/>
            <v:imagedata o:title=""/>
            <o:lock v:ext="edit"/>
          </v:line>
        </w:pict>
      </w:r>
    </w:p>
    <w:p/>
    <w:p/>
    <w:p/>
    <w:p/>
    <w:p>
      <w:pPr>
        <w:jc w:val="center"/>
        <w:rPr>
          <w:rFonts w:hint="eastAsia" w:ascii="黑体" w:hAnsi="Times New Roman" w:eastAsia="黑体" w:cs="Times New Roman"/>
          <w:b/>
          <w:sz w:val="52"/>
          <w:szCs w:val="52"/>
        </w:rPr>
      </w:pPr>
      <w:r>
        <w:rPr>
          <w:rFonts w:hint="eastAsia" w:ascii="黑体" w:hAnsi="Times New Roman" w:eastAsia="黑体" w:cs="Times New Roman"/>
          <w:b/>
          <w:sz w:val="52"/>
          <w:szCs w:val="52"/>
        </w:rPr>
        <w:t>发电厂集散控制系统</w:t>
      </w:r>
      <w:r>
        <w:rPr>
          <w:rFonts w:hint="eastAsia" w:ascii="黑体" w:hAnsi="Times New Roman" w:eastAsia="黑体" w:cs="Times New Roman"/>
          <w:b/>
          <w:sz w:val="52"/>
          <w:szCs w:val="52"/>
          <w:lang w:eastAsia="zh-CN"/>
        </w:rPr>
        <w:t>通信</w:t>
      </w:r>
      <w:r>
        <w:rPr>
          <w:rFonts w:hint="eastAsia" w:ascii="黑体" w:hAnsi="Times New Roman" w:eastAsia="黑体" w:cs="Times New Roman"/>
          <w:b/>
          <w:sz w:val="52"/>
          <w:szCs w:val="52"/>
        </w:rPr>
        <w:t>负荷率检测规范</w:t>
      </w:r>
    </w:p>
    <w:p>
      <w:pPr>
        <w:pStyle w:val="53"/>
        <w:ind w:firstLine="0" w:firstLineChars="0"/>
        <w:jc w:val="center"/>
        <w:rPr>
          <w:rFonts w:hint="eastAsia" w:ascii="Times New Roman" w:hAnsi="Times New Roman" w:eastAsia="黑体" w:cs="Times New Roman"/>
          <w:b/>
          <w:bCs/>
          <w:kern w:val="2"/>
          <w:sz w:val="28"/>
          <w:szCs w:val="28"/>
        </w:rPr>
      </w:pPr>
      <w:r>
        <w:rPr>
          <w:rFonts w:hint="eastAsia" w:ascii="Times New Roman" w:hAnsi="Times New Roman" w:eastAsia="黑体" w:cs="Times New Roman"/>
          <w:b/>
          <w:bCs/>
          <w:kern w:val="2"/>
          <w:sz w:val="28"/>
          <w:szCs w:val="28"/>
        </w:rPr>
        <w:t xml:space="preserve">Code for communication load rate detection of distributed control </w:t>
      </w:r>
    </w:p>
    <w:p>
      <w:pPr>
        <w:pStyle w:val="53"/>
        <w:ind w:firstLine="0" w:firstLineChars="0"/>
        <w:jc w:val="center"/>
        <w:rPr>
          <w:rFonts w:ascii="Times New Roman" w:hAnsi="Times New Roman" w:eastAsia="黑体" w:cs="Times New Roman"/>
          <w:b/>
          <w:bCs/>
          <w:kern w:val="2"/>
          <w:sz w:val="28"/>
          <w:szCs w:val="28"/>
        </w:rPr>
      </w:pPr>
      <w:r>
        <w:rPr>
          <w:rFonts w:hint="eastAsia" w:ascii="Times New Roman" w:hAnsi="Times New Roman" w:eastAsia="黑体" w:cs="Times New Roman"/>
          <w:b/>
          <w:bCs/>
          <w:kern w:val="2"/>
          <w:sz w:val="28"/>
          <w:szCs w:val="28"/>
        </w:rPr>
        <w:t>system in power plant</w:t>
      </w:r>
    </w:p>
    <w:p/>
    <w:p/>
    <w:p/>
    <w:p/>
    <w:p/>
    <w:p/>
    <w:p/>
    <w:p/>
    <w:p/>
    <w:p/>
    <w:p/>
    <w:p/>
    <w:p/>
    <w:p/>
    <w:p/>
    <w:p>
      <w:pPr>
        <w:ind w:firstLine="562" w:firstLineChars="200"/>
        <w:rPr>
          <w:rFonts w:hint="eastAsia" w:ascii="黑体" w:hAnsi="Times New Roman" w:eastAsia="黑体" w:cs="Times New Roman"/>
          <w:b/>
          <w:sz w:val="28"/>
          <w:szCs w:val="28"/>
        </w:rPr>
      </w:pPr>
      <w:r>
        <w:rPr>
          <w:rFonts w:hint="eastAsia" w:ascii="黑体" w:hAnsi="Times New Roman" w:eastAsia="黑体" w:cs="Times New Roman"/>
          <w:b/>
          <w:sz w:val="28"/>
          <w:szCs w:val="28"/>
        </w:rPr>
        <w:t>202</w:t>
      </w:r>
      <w:r>
        <w:rPr>
          <w:rFonts w:hint="eastAsia" w:ascii="黑体" w:eastAsia="黑体" w:cs="Times New Roman"/>
          <w:b/>
          <w:sz w:val="28"/>
          <w:szCs w:val="28"/>
          <w:lang w:val="en-US" w:eastAsia="zh-CN"/>
        </w:rPr>
        <w:t>1</w:t>
      </w:r>
      <w:r>
        <w:rPr>
          <w:rFonts w:hint="eastAsia" w:ascii="黑体" w:hAnsi="Times New Roman" w:eastAsia="黑体" w:cs="Times New Roman"/>
          <w:b/>
          <w:sz w:val="28"/>
          <w:szCs w:val="28"/>
        </w:rPr>
        <w:t xml:space="preserve">-××-××发布           </w:t>
      </w:r>
      <w:r>
        <w:rPr>
          <w:rFonts w:hint="eastAsia" w:ascii="黑体" w:hAnsi="Times New Roman" w:eastAsia="黑体" w:cs="Times New Roman"/>
          <w:b/>
          <w:sz w:val="28"/>
          <w:szCs w:val="28"/>
          <w:lang w:val="en-US" w:eastAsia="zh-CN"/>
        </w:rPr>
        <w:t xml:space="preserve">     </w:t>
      </w:r>
      <w:r>
        <w:rPr>
          <w:rFonts w:hint="eastAsia" w:ascii="黑体" w:hAnsi="Times New Roman" w:eastAsia="黑体" w:cs="Times New Roman"/>
          <w:b/>
          <w:sz w:val="28"/>
          <w:szCs w:val="28"/>
        </w:rPr>
        <w:t xml:space="preserve">    202</w:t>
      </w:r>
      <w:r>
        <w:rPr>
          <w:rFonts w:hint="eastAsia" w:ascii="黑体" w:eastAsia="黑体" w:cs="Times New Roman"/>
          <w:b/>
          <w:sz w:val="28"/>
          <w:szCs w:val="28"/>
          <w:lang w:val="en-US" w:eastAsia="zh-CN"/>
        </w:rPr>
        <w:t>1</w:t>
      </w:r>
      <w:r>
        <w:rPr>
          <w:rFonts w:hint="eastAsia" w:ascii="黑体" w:hAnsi="Times New Roman" w:eastAsia="黑体" w:cs="Times New Roman"/>
          <w:b/>
          <w:sz w:val="28"/>
          <w:szCs w:val="28"/>
        </w:rPr>
        <w:t>-××-××实施</w:t>
      </w:r>
    </w:p>
    <w:p>
      <w:pPr>
        <w:spacing w:before="312" w:beforeLines="100"/>
        <w:ind w:firstLine="482" w:firstLineChars="150"/>
        <w:rPr>
          <w:rFonts w:hint="eastAsia" w:ascii="方正小标宋简体" w:hAnsi="Times New Roman" w:eastAsia="方正小标宋简体" w:cs="Times New Roman"/>
          <w:b/>
          <w:sz w:val="32"/>
          <w:szCs w:val="32"/>
        </w:rPr>
      </w:pPr>
      <w:r>
        <w:rPr>
          <w:rFonts w:hint="eastAsia" w:ascii="方正小标宋简体" w:hAnsi="Times New Roman" w:eastAsia="方正小标宋简体" w:cs="Times New Roman"/>
          <w:b/>
          <w:sz w:val="32"/>
          <w:szCs w:val="32"/>
        </w:rPr>
        <w:pict>
          <v:line id="_x0000_s1033" o:spid="_x0000_s1033" o:spt="20" style="position:absolute;left:0pt;margin-left:0pt;margin-top:3.6pt;height:0pt;width:468pt;z-index:251664384;mso-width-relative:page;mso-height-relative:page;" fillcolor="#FFFFFF" filled="t" stroked="t" coordsize="21600,21600">
            <v:path arrowok="t"/>
            <v:fill on="t" focussize="0,0"/>
            <v:stroke/>
            <v:imagedata o:title=""/>
            <o:lock v:ext="edit"/>
          </v:line>
        </w:pict>
      </w:r>
      <w:r>
        <w:rPr>
          <w:rFonts w:hint="eastAsia" w:ascii="方正小标宋简体" w:hAnsi="Times New Roman" w:eastAsia="方正小标宋简体" w:cs="Times New Roman"/>
          <w:b/>
          <w:sz w:val="32"/>
          <w:szCs w:val="32"/>
        </w:rPr>
        <w:t xml:space="preserve">新 疆 维 吾 尔 自 治 区 </w:t>
      </w:r>
      <w:r>
        <w:rPr>
          <w:rFonts w:hint="eastAsia" w:ascii="方正小标宋简体" w:hAnsi="Times New Roman" w:eastAsia="方正小标宋简体" w:cs="Times New Roman"/>
          <w:b/>
          <w:sz w:val="32"/>
          <w:szCs w:val="32"/>
          <w:lang w:val="en-US" w:eastAsia="zh-CN"/>
        </w:rPr>
        <w:t xml:space="preserve">市 场 监 督 管 理 </w:t>
      </w:r>
      <w:r>
        <w:rPr>
          <w:rFonts w:hint="eastAsia" w:ascii="方正小标宋简体" w:hAnsi="Times New Roman" w:eastAsia="方正小标宋简体" w:cs="Times New Roman"/>
          <w:b/>
          <w:sz w:val="32"/>
          <w:szCs w:val="32"/>
        </w:rPr>
        <w:t>局  发 布</w:t>
      </w:r>
      <w:r>
        <w:rPr>
          <w:rFonts w:hint="eastAsia" w:ascii="方正小标宋简体" w:hAnsi="Times New Roman" w:eastAsia="方正小标宋简体" w:cs="Times New Roman"/>
          <w:b/>
          <w:sz w:val="32"/>
          <w:szCs w:val="32"/>
        </w:rPr>
        <w:tab/>
      </w:r>
    </w:p>
    <w:p>
      <w:pPr>
        <w:rPr>
          <w:rFonts w:hint="eastAsia" w:ascii="Times New Roman" w:hAnsi="Times New Roman" w:eastAsia="黑体" w:cs="Times New Roman"/>
          <w:b/>
          <w:sz w:val="44"/>
          <w:szCs w:val="44"/>
        </w:rPr>
        <w:sectPr>
          <w:headerReference r:id="rId4" w:type="first"/>
          <w:footerReference r:id="rId6" w:type="first"/>
          <w:headerReference r:id="rId3" w:type="default"/>
          <w:footerReference r:id="rId5" w:type="default"/>
          <w:pgSz w:w="11906" w:h="16838"/>
          <w:pgMar w:top="1440" w:right="1418" w:bottom="1440" w:left="1418" w:header="851" w:footer="992" w:gutter="0"/>
          <w:pgNumType w:fmt="upperRoman" w:start="1"/>
          <w:cols w:space="720" w:num="1"/>
          <w:titlePg/>
          <w:docGrid w:type="lines" w:linePitch="312" w:charSpace="0"/>
        </w:sectPr>
      </w:pPr>
    </w:p>
    <w:p>
      <w:pPr>
        <w:ind w:right="2740" w:rightChars="1305"/>
        <w:rPr>
          <w:rFonts w:hint="eastAsia" w:ascii="Times New Roman" w:hAnsi="Times New Roman" w:eastAsia="黑体" w:cs="Times New Roman"/>
          <w:b/>
          <w:sz w:val="44"/>
          <w:szCs w:val="44"/>
        </w:rPr>
        <w:sectPr>
          <w:footerReference r:id="rId8" w:type="first"/>
          <w:footerReference r:id="rId7" w:type="default"/>
          <w:pgSz w:w="11906" w:h="16838"/>
          <w:pgMar w:top="1440" w:right="1418" w:bottom="1440" w:left="1418" w:header="851" w:footer="992" w:gutter="0"/>
          <w:pgNumType w:fmt="upperRoman" w:start="1"/>
          <w:cols w:space="720" w:num="1"/>
          <w:docGrid w:type="lines" w:linePitch="312" w:charSpace="0"/>
        </w:sectPr>
      </w:pPr>
    </w:p>
    <w:p>
      <w:pPr>
        <w:ind w:right="2740" w:rightChars="1305"/>
        <w:rPr>
          <w:rFonts w:hint="eastAsia" w:ascii="Times New Roman" w:hAnsi="Times New Roman" w:eastAsia="黑体" w:cs="Times New Roman"/>
          <w:b/>
          <w:sz w:val="44"/>
          <w:szCs w:val="44"/>
        </w:rPr>
      </w:pPr>
    </w:p>
    <w:p>
      <w:pPr>
        <w:spacing w:line="360" w:lineRule="auto"/>
        <w:rPr>
          <w:rFonts w:hint="eastAsia" w:ascii="Times New Roman" w:hAnsi="Times New Roman" w:eastAsia="黑体" w:cs="Times New Roman"/>
          <w:b/>
          <w:sz w:val="44"/>
          <w:szCs w:val="44"/>
        </w:rPr>
      </w:pPr>
      <w:r>
        <w:rPr>
          <w:rFonts w:hint="eastAsia" w:ascii="Times New Roman" w:hAnsi="Times New Roman" w:eastAsia="黑体" w:cs="Times New Roman"/>
          <w:b/>
          <w:sz w:val="44"/>
          <w:szCs w:val="44"/>
        </w:rPr>
        <w:pict>
          <v:shape id="_x0000_s1036" o:spid="_x0000_s1036" o:spt="202" type="#_x0000_t202" style="position:absolute;left:0pt;margin-left:287.25pt;margin-top:14.55pt;height:54.6pt;width:158.9pt;z-index:251684864;mso-width-relative:page;mso-height-relative:page;" fillcolor="#FFFFFF" filled="t" stroked="t" coordsize="21600,21600">
            <v:path/>
            <v:fill on="t" color2="#FFFFFF" focussize="0,0"/>
            <v:stroke weight="1.5pt" color="#000000" joinstyle="miter" dashstyle="1 1"/>
            <v:imagedata o:title=""/>
            <o:lock v:ext="edit" aspectratio="f"/>
            <v:textbox>
              <w:txbxContent>
                <w:p>
                  <w:pPr>
                    <w:spacing w:before="156" w:beforeLines="50"/>
                    <w:rPr>
                      <w:rFonts w:hint="default" w:eastAsia="宋体"/>
                      <w:b/>
                      <w:lang w:val="en-US" w:eastAsia="zh-CN"/>
                    </w:rPr>
                  </w:pPr>
                  <w:r>
                    <w:rPr>
                      <w:rFonts w:hint="eastAsia"/>
                      <w:b/>
                      <w:bCs/>
                      <w:sz w:val="28"/>
                    </w:rPr>
                    <w:t>JJF（新）</w:t>
                  </w:r>
                  <w:r>
                    <w:rPr>
                      <w:rFonts w:hint="eastAsia"/>
                      <w:b/>
                      <w:bCs/>
                      <w:sz w:val="28"/>
                      <w:lang w:val="en-US" w:eastAsia="zh-CN"/>
                    </w:rPr>
                    <w:t>XX</w:t>
                  </w:r>
                  <w:r>
                    <w:rPr>
                      <w:rFonts w:hint="eastAsia"/>
                      <w:b/>
                      <w:bCs/>
                      <w:sz w:val="28"/>
                    </w:rPr>
                    <w:t>—20</w:t>
                  </w:r>
                  <w:r>
                    <w:rPr>
                      <w:rFonts w:hint="eastAsia"/>
                      <w:b/>
                      <w:bCs/>
                      <w:sz w:val="28"/>
                      <w:lang w:val="en-US" w:eastAsia="zh-CN"/>
                    </w:rPr>
                    <w:t>21</w:t>
                  </w:r>
                </w:p>
              </w:txbxContent>
            </v:textbox>
          </v:shape>
        </w:pict>
      </w:r>
      <w:r>
        <w:rPr>
          <w:rFonts w:hint="eastAsia" w:ascii="Times New Roman" w:hAnsi="Times New Roman" w:eastAsia="黑体" w:cs="Times New Roman"/>
          <w:b/>
          <w:sz w:val="44"/>
          <w:szCs w:val="44"/>
        </w:rPr>
        <w:t>发电厂集散控制系统</w:t>
      </w:r>
    </w:p>
    <w:p>
      <w:pPr>
        <w:spacing w:line="360" w:lineRule="auto"/>
        <w:rPr>
          <w:rFonts w:hint="eastAsia" w:ascii="Times New Roman" w:hAnsi="Times New Roman" w:eastAsia="黑体" w:cs="Times New Roman"/>
          <w:b/>
          <w:sz w:val="44"/>
          <w:szCs w:val="44"/>
        </w:rPr>
      </w:pPr>
      <w:r>
        <w:rPr>
          <w:rFonts w:hint="eastAsia" w:ascii="Times New Roman" w:hAnsi="Times New Roman" w:eastAsia="黑体" w:cs="Times New Roman"/>
          <w:b/>
          <w:sz w:val="44"/>
          <w:szCs w:val="44"/>
          <w:lang w:eastAsia="zh-CN"/>
        </w:rPr>
        <w:t>通信</w:t>
      </w:r>
      <w:r>
        <w:rPr>
          <w:rFonts w:hint="eastAsia" w:ascii="Times New Roman" w:hAnsi="Times New Roman" w:eastAsia="黑体" w:cs="Times New Roman"/>
          <w:b/>
          <w:sz w:val="44"/>
          <w:szCs w:val="44"/>
        </w:rPr>
        <w:t>负荷率</w:t>
      </w:r>
    </w:p>
    <w:p>
      <w:pPr>
        <w:spacing w:line="520" w:lineRule="exact"/>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 xml:space="preserve">Code for communication load rate detection of </w:t>
      </w:r>
    </w:p>
    <w:p>
      <w:pPr>
        <w:spacing w:line="520" w:lineRule="exact"/>
        <w:rPr>
          <w:rFonts w:ascii="Times New Roman" w:hAnsi="Times New Roman" w:eastAsia="宋体" w:cs="Times New Roman"/>
          <w:b/>
          <w:sz w:val="28"/>
          <w:szCs w:val="28"/>
        </w:rPr>
      </w:pPr>
      <w:r>
        <w:rPr>
          <w:rFonts w:hint="eastAsia" w:ascii="Times New Roman" w:hAnsi="Times New Roman" w:eastAsia="宋体" w:cs="Times New Roman"/>
          <w:b/>
          <w:sz w:val="28"/>
          <w:szCs w:val="28"/>
        </w:rPr>
        <w:t>distributed control system in power plant</w:t>
      </w:r>
      <w:r>
        <w:rPr>
          <w:rFonts w:hint="default" w:ascii="Times New Roman" w:hAnsi="Times New Roman" w:eastAsia="宋体" w:cs="Times New Roman"/>
          <w:b/>
          <w:sz w:val="28"/>
          <w:szCs w:val="28"/>
        </w:rPr>
        <w:t xml:space="preserve"> </w:t>
      </w:r>
    </w:p>
    <w:p>
      <w:pPr>
        <w:spacing w:line="360" w:lineRule="auto"/>
        <w:rPr>
          <w:sz w:val="32"/>
          <w:u w:val="single"/>
        </w:rPr>
      </w:pPr>
      <w:r>
        <w:rPr>
          <w:sz w:val="32"/>
          <w:u w:val="single"/>
        </w:rPr>
        <w:t xml:space="preserve">                                                         </w:t>
      </w:r>
    </w:p>
    <w:p>
      <w:pPr>
        <w:spacing w:line="360" w:lineRule="auto"/>
        <w:rPr>
          <w:rFonts w:ascii="宋体" w:hAnsi="宋体"/>
          <w:sz w:val="28"/>
        </w:rPr>
      </w:pPr>
      <w:r>
        <w:rPr>
          <w:rFonts w:eastAsia="黑体"/>
          <w:sz w:val="28"/>
        </w:rPr>
        <w:t xml:space="preserve">    </w:t>
      </w:r>
    </w:p>
    <w:p>
      <w:pPr>
        <w:spacing w:line="360" w:lineRule="auto"/>
        <w:jc w:val="center"/>
        <w:rPr>
          <w:sz w:val="32"/>
        </w:rPr>
      </w:pPr>
    </w:p>
    <w:p>
      <w:pPr>
        <w:spacing w:line="360" w:lineRule="auto"/>
        <w:jc w:val="center"/>
        <w:rPr>
          <w:sz w:val="32"/>
        </w:rPr>
      </w:pPr>
    </w:p>
    <w:p>
      <w:pPr>
        <w:spacing w:line="360" w:lineRule="auto"/>
        <w:jc w:val="center"/>
        <w:rPr>
          <w:sz w:val="32"/>
        </w:rPr>
      </w:pPr>
    </w:p>
    <w:p>
      <w:pPr>
        <w:spacing w:line="360" w:lineRule="auto"/>
        <w:jc w:val="center"/>
        <w:rPr>
          <w:sz w:val="32"/>
        </w:rPr>
      </w:pPr>
    </w:p>
    <w:p>
      <w:pPr>
        <w:spacing w:line="360" w:lineRule="auto"/>
        <w:jc w:val="center"/>
        <w:rPr>
          <w:sz w:val="32"/>
        </w:rPr>
      </w:pPr>
    </w:p>
    <w:p>
      <w:pPr>
        <w:spacing w:line="360" w:lineRule="auto"/>
        <w:jc w:val="center"/>
        <w:rPr>
          <w:sz w:val="32"/>
        </w:rPr>
      </w:pPr>
    </w:p>
    <w:p>
      <w:pPr>
        <w:spacing w:line="360" w:lineRule="auto"/>
        <w:jc w:val="center"/>
        <w:rPr>
          <w:sz w:val="28"/>
        </w:rPr>
      </w:pPr>
      <w:r>
        <w:rPr>
          <w:rFonts w:hint="eastAsia" w:eastAsia="黑体"/>
          <w:b/>
          <w:spacing w:val="8"/>
          <w:sz w:val="28"/>
          <w:szCs w:val="28"/>
        </w:rPr>
        <w:t>归</w:t>
      </w:r>
      <w:r>
        <w:rPr>
          <w:rFonts w:eastAsia="黑体"/>
          <w:b/>
          <w:spacing w:val="8"/>
          <w:sz w:val="28"/>
          <w:szCs w:val="28"/>
        </w:rPr>
        <w:t xml:space="preserve"> </w:t>
      </w:r>
      <w:r>
        <w:rPr>
          <w:rFonts w:hint="eastAsia" w:eastAsia="黑体"/>
          <w:b/>
          <w:spacing w:val="8"/>
          <w:sz w:val="28"/>
          <w:szCs w:val="28"/>
        </w:rPr>
        <w:t>口</w:t>
      </w:r>
      <w:r>
        <w:rPr>
          <w:rFonts w:eastAsia="黑体"/>
          <w:b/>
          <w:spacing w:val="8"/>
          <w:sz w:val="28"/>
          <w:szCs w:val="28"/>
        </w:rPr>
        <w:t xml:space="preserve"> </w:t>
      </w:r>
      <w:r>
        <w:rPr>
          <w:rFonts w:hint="eastAsia" w:eastAsia="黑体"/>
          <w:b/>
          <w:spacing w:val="8"/>
          <w:sz w:val="28"/>
          <w:szCs w:val="28"/>
        </w:rPr>
        <w:t>单</w:t>
      </w:r>
      <w:r>
        <w:rPr>
          <w:rFonts w:eastAsia="黑体"/>
          <w:b/>
          <w:spacing w:val="8"/>
          <w:sz w:val="28"/>
          <w:szCs w:val="28"/>
        </w:rPr>
        <w:t xml:space="preserve"> </w:t>
      </w:r>
      <w:r>
        <w:rPr>
          <w:rFonts w:hint="eastAsia" w:eastAsia="黑体"/>
          <w:b/>
          <w:spacing w:val="8"/>
          <w:sz w:val="28"/>
          <w:szCs w:val="28"/>
        </w:rPr>
        <w:t>位</w:t>
      </w:r>
      <w:r>
        <w:rPr>
          <w:rFonts w:eastAsia="黑体"/>
          <w:b/>
          <w:spacing w:val="10"/>
          <w:sz w:val="28"/>
          <w:szCs w:val="28"/>
        </w:rPr>
        <w:t>:</w:t>
      </w:r>
      <w:r>
        <w:rPr>
          <w:rFonts w:eastAsia="黑体"/>
          <w:b/>
          <w:sz w:val="28"/>
          <w:szCs w:val="28"/>
        </w:rPr>
        <w:t xml:space="preserve"> </w:t>
      </w:r>
      <w:r>
        <w:rPr>
          <w:rFonts w:hint="eastAsia"/>
          <w:sz w:val="28"/>
        </w:rPr>
        <w:t>新疆维吾尔自治区市场监督管理局</w:t>
      </w:r>
    </w:p>
    <w:p>
      <w:pPr>
        <w:spacing w:line="360" w:lineRule="auto"/>
        <w:ind w:firstLine="1526" w:firstLineChars="543"/>
        <w:rPr>
          <w:rFonts w:hint="eastAsia" w:eastAsia="宋体"/>
          <w:sz w:val="28"/>
          <w:lang w:val="en-US" w:eastAsia="zh-CN"/>
        </w:rPr>
      </w:pPr>
      <w:r>
        <w:rPr>
          <w:rFonts w:hint="eastAsia" w:eastAsia="黑体"/>
          <w:b/>
          <w:sz w:val="28"/>
          <w:szCs w:val="28"/>
        </w:rPr>
        <w:t>起 草 单 位：</w:t>
      </w:r>
      <w:r>
        <w:rPr>
          <w:rFonts w:hint="eastAsia"/>
          <w:sz w:val="28"/>
        </w:rPr>
        <w:t>新疆维吾尔自治区计量测试研究院</w:t>
      </w:r>
    </w:p>
    <w:p>
      <w:pPr>
        <w:spacing w:line="360" w:lineRule="auto"/>
        <w:jc w:val="both"/>
        <w:rPr>
          <w:sz w:val="32"/>
        </w:rPr>
      </w:pPr>
    </w:p>
    <w:p>
      <w:pPr>
        <w:spacing w:line="360" w:lineRule="auto"/>
        <w:jc w:val="center"/>
        <w:rPr>
          <w:sz w:val="32"/>
        </w:rPr>
      </w:pPr>
    </w:p>
    <w:p>
      <w:pPr>
        <w:spacing w:line="360" w:lineRule="auto"/>
        <w:rPr>
          <w:sz w:val="32"/>
        </w:rPr>
      </w:pPr>
    </w:p>
    <w:p>
      <w:pPr>
        <w:spacing w:line="360" w:lineRule="auto"/>
        <w:rPr>
          <w:sz w:val="32"/>
        </w:rPr>
      </w:pPr>
    </w:p>
    <w:p>
      <w:pPr>
        <w:spacing w:line="360" w:lineRule="auto"/>
        <w:rPr>
          <w:sz w:val="32"/>
        </w:rPr>
      </w:pPr>
    </w:p>
    <w:p>
      <w:pPr>
        <w:spacing w:line="360" w:lineRule="auto"/>
        <w:rPr>
          <w:sz w:val="32"/>
        </w:rPr>
      </w:pPr>
    </w:p>
    <w:p>
      <w:pPr>
        <w:spacing w:line="360" w:lineRule="auto"/>
        <w:jc w:val="center"/>
        <w:rPr>
          <w:rFonts w:eastAsia="黑体"/>
          <w:b/>
          <w:sz w:val="28"/>
        </w:rPr>
      </w:pPr>
      <w:r>
        <w:rPr>
          <w:rFonts w:hint="eastAsia" w:hAnsi="宋体"/>
          <w:sz w:val="28"/>
        </w:rPr>
        <w:t>本规范委托</w:t>
      </w:r>
      <w:r>
        <w:rPr>
          <w:rFonts w:hint="eastAsia"/>
          <w:sz w:val="28"/>
        </w:rPr>
        <w:t>新疆维吾尔自治区市场监督管理局</w:t>
      </w:r>
      <w:r>
        <w:rPr>
          <w:rFonts w:hint="eastAsia" w:hAnsi="宋体"/>
          <w:sz w:val="28"/>
        </w:rPr>
        <w:t>负责解释</w:t>
      </w:r>
    </w:p>
    <w:p>
      <w:pPr>
        <w:spacing w:line="360" w:lineRule="auto"/>
        <w:rPr>
          <w:rFonts w:hint="eastAsia" w:eastAsia="黑体"/>
          <w:b/>
          <w:sz w:val="28"/>
        </w:rPr>
        <w:sectPr>
          <w:footerReference r:id="rId9" w:type="default"/>
          <w:pgSz w:w="11906" w:h="16838"/>
          <w:pgMar w:top="1440" w:right="1418" w:bottom="1440" w:left="1418" w:header="851" w:footer="992" w:gutter="0"/>
          <w:pgNumType w:fmt="upperRoman" w:start="1"/>
          <w:cols w:space="720" w:num="1"/>
          <w:docGrid w:type="lines" w:linePitch="312" w:charSpace="0"/>
        </w:sectPr>
      </w:pPr>
    </w:p>
    <w:p>
      <w:pPr>
        <w:spacing w:line="360" w:lineRule="auto"/>
        <w:rPr>
          <w:rFonts w:hint="eastAsia" w:eastAsia="黑体"/>
          <w:b/>
          <w:sz w:val="28"/>
        </w:rPr>
      </w:pPr>
    </w:p>
    <w:p>
      <w:pPr>
        <w:spacing w:line="360" w:lineRule="auto"/>
        <w:ind w:firstLine="967" w:firstLineChars="344"/>
        <w:rPr>
          <w:rFonts w:hint="eastAsia" w:ascii="Times New Roman" w:hAnsi="Times New Roman" w:eastAsia="黑体" w:cs="Times New Roman"/>
          <w:b/>
          <w:sz w:val="28"/>
        </w:rPr>
      </w:pPr>
      <w:r>
        <w:rPr>
          <w:rFonts w:hint="eastAsia" w:ascii="Times New Roman" w:hAnsi="Times New Roman" w:eastAsia="黑体" w:cs="Times New Roman"/>
          <w:b/>
          <w:sz w:val="28"/>
        </w:rPr>
        <w:t>本规范主要起草人：</w:t>
      </w:r>
    </w:p>
    <w:p>
      <w:pPr>
        <w:spacing w:line="360" w:lineRule="auto"/>
        <w:jc w:val="center"/>
        <w:rPr>
          <w:rFonts w:hint="eastAsia"/>
          <w:sz w:val="28"/>
        </w:rPr>
      </w:pPr>
    </w:p>
    <w:p>
      <w:pPr>
        <w:spacing w:line="360" w:lineRule="auto"/>
        <w:jc w:val="center"/>
        <w:rPr>
          <w:rFonts w:hint="eastAsia"/>
          <w:sz w:val="28"/>
        </w:rPr>
      </w:pPr>
    </w:p>
    <w:p>
      <w:pPr>
        <w:spacing w:line="360" w:lineRule="auto"/>
        <w:ind w:firstLine="967" w:firstLineChars="344"/>
        <w:rPr>
          <w:rFonts w:hint="eastAsia" w:ascii="Times New Roman" w:hAnsi="Times New Roman" w:eastAsia="黑体" w:cs="Times New Roman"/>
          <w:b/>
          <w:sz w:val="28"/>
        </w:rPr>
      </w:pPr>
      <w:r>
        <w:rPr>
          <w:rFonts w:hint="eastAsia" w:ascii="Times New Roman" w:hAnsi="Times New Roman" w:eastAsia="黑体" w:cs="Times New Roman"/>
          <w:b/>
          <w:sz w:val="28"/>
        </w:rPr>
        <w:t>参与起草人：</w:t>
      </w:r>
    </w:p>
    <w:p>
      <w:pPr>
        <w:spacing w:line="360" w:lineRule="auto"/>
        <w:jc w:val="center"/>
        <w:rPr>
          <w:rFonts w:hint="eastAsia"/>
          <w:b/>
          <w:bCs/>
          <w:sz w:val="28"/>
        </w:rPr>
      </w:pPr>
    </w:p>
    <w:p>
      <w:pPr>
        <w:spacing w:line="360" w:lineRule="auto"/>
        <w:jc w:val="center"/>
        <w:rPr>
          <w:rFonts w:hAnsi="宋体"/>
          <w:sz w:val="28"/>
        </w:rPr>
      </w:pPr>
    </w:p>
    <w:p>
      <w:pPr>
        <w:spacing w:line="360" w:lineRule="auto"/>
        <w:jc w:val="center"/>
        <w:rPr>
          <w:sz w:val="28"/>
        </w:rPr>
      </w:pPr>
    </w:p>
    <w:p>
      <w:pPr>
        <w:spacing w:line="360" w:lineRule="auto"/>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rPr>
          <w:sz w:val="28"/>
        </w:rPr>
        <w:sectPr>
          <w:footerReference r:id="rId10" w:type="default"/>
          <w:pgSz w:w="11906" w:h="16838"/>
          <w:pgMar w:top="1440" w:right="1418" w:bottom="1440" w:left="1418" w:header="851" w:footer="992" w:gutter="0"/>
          <w:pgNumType w:fmt="upperRoman" w:start="1"/>
          <w:cols w:space="720" w:num="1"/>
          <w:docGrid w:type="lines" w:linePitch="312" w:charSpace="0"/>
        </w:sectPr>
      </w:pPr>
    </w:p>
    <w:p>
      <w:pPr>
        <w:pStyle w:val="68"/>
        <w:jc w:val="center"/>
        <w:rPr>
          <w:rFonts w:ascii="黑体" w:hAnsi="黑体" w:eastAsia="黑体"/>
          <w:b/>
          <w:color w:val="auto"/>
          <w:sz w:val="44"/>
          <w:szCs w:val="44"/>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bookmarkStart w:id="38" w:name="_GoBack"/>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TOC \o "1-3" \h \u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_Toc24523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kern w:val="44"/>
          <w:szCs w:val="44"/>
          <w:lang w:val="en-US" w:eastAsia="zh-CN" w:bidi="ar-SA"/>
        </w:rPr>
        <w:t>引  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_Toc24523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_Toc11149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kern w:val="2"/>
          <w:szCs w:val="24"/>
          <w:lang w:val="en-US" w:eastAsia="zh-CN"/>
        </w:rPr>
        <w:t xml:space="preserve">1 </w:t>
      </w:r>
      <w:r>
        <w:rPr>
          <w:rFonts w:hint="eastAsia" w:asciiTheme="minorEastAsia" w:hAnsiTheme="minorEastAsia" w:eastAsiaTheme="minorEastAsia" w:cstheme="minorEastAsia"/>
          <w:kern w:val="2"/>
          <w:szCs w:val="24"/>
        </w:rPr>
        <w:t>范围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_Toc11149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_Toc69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kern w:val="2"/>
          <w:szCs w:val="24"/>
          <w:lang w:val="en-US" w:eastAsia="zh-CN"/>
        </w:rPr>
        <w:t xml:space="preserve">2 </w:t>
      </w:r>
      <w:r>
        <w:rPr>
          <w:rFonts w:hint="eastAsia" w:asciiTheme="minorEastAsia" w:hAnsiTheme="minorEastAsia" w:eastAsiaTheme="minorEastAsia" w:cstheme="minorEastAsia"/>
          <w:kern w:val="2"/>
          <w:szCs w:val="24"/>
        </w:rPr>
        <w:t>引用文件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_Toc29072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rPr>
        <w:t>3 术语、定义和缩略语</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_Toc29072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_Toc18696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rPr>
        <w:t>4 概述</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_Toc18696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_Toc5000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kern w:val="44"/>
          <w:szCs w:val="24"/>
        </w:rPr>
        <w:t>5 检测技术指标</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_Toc5000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_Toc2177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kern w:val="44"/>
          <w:szCs w:val="24"/>
        </w:rPr>
        <w:t>6 检测环境与条件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_Toc2177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_Toc5790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kern w:val="44"/>
          <w:szCs w:val="24"/>
        </w:rPr>
        <w:t>7 检测内容</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_Toc5790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_Toc9692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kern w:val="44"/>
          <w:szCs w:val="24"/>
        </w:rPr>
        <w:t>8 检测的方法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_Toc9692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7"/>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_Toc2382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rPr>
        <w:t>8.1 DCS网络</w:t>
      </w:r>
      <w:r>
        <w:rPr>
          <w:rFonts w:hint="eastAsia" w:asciiTheme="minorEastAsia" w:hAnsiTheme="minorEastAsia" w:eastAsiaTheme="minorEastAsia" w:cstheme="minorEastAsia"/>
          <w:bCs/>
          <w:lang w:eastAsia="zh-CN"/>
        </w:rPr>
        <w:t>通信</w:t>
      </w:r>
      <w:r>
        <w:rPr>
          <w:rFonts w:hint="eastAsia" w:asciiTheme="minorEastAsia" w:hAnsiTheme="minorEastAsia" w:eastAsiaTheme="minorEastAsia" w:cstheme="minorEastAsia"/>
          <w:bCs/>
        </w:rPr>
        <w:t>迟延测试（静态测试）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_Toc2382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7"/>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_Toc12708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rPr>
        <w:t>8.2 DCS网络性能测试（动态测试）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_Toc12708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_Toc28172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bCs/>
          <w:kern w:val="44"/>
          <w:szCs w:val="24"/>
        </w:rPr>
        <w:t>9 检测结果</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_Toc28172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_Toc20550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28"/>
        </w:rPr>
        <w:t xml:space="preserve">附录 </w:t>
      </w:r>
      <w:r>
        <w:rPr>
          <w:rFonts w:hint="eastAsia" w:asciiTheme="minorEastAsia" w:hAnsiTheme="minorEastAsia" w:eastAsiaTheme="minorEastAsia" w:cstheme="minorEastAsia"/>
          <w:szCs w:val="28"/>
          <w:lang w:val="en-US" w:eastAsia="zh-CN"/>
        </w:rPr>
        <w:t xml:space="preserve">A  </w:t>
      </w:r>
      <w:r>
        <w:rPr>
          <w:rFonts w:hint="eastAsia" w:asciiTheme="minorEastAsia" w:hAnsiTheme="minorEastAsia" w:eastAsiaTheme="minorEastAsia" w:cstheme="minorEastAsia"/>
          <w:kern w:val="0"/>
          <w:szCs w:val="28"/>
          <w:lang w:val="en-US" w:eastAsia="zh-CN" w:bidi="ar-SA"/>
        </w:rPr>
        <w:t>网络端口数据通信总线的负荷率检测记录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_Toc20550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_Toc31796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28"/>
        </w:rPr>
        <w:t xml:space="preserve">附录 </w:t>
      </w:r>
      <w:r>
        <w:rPr>
          <w:rFonts w:hint="eastAsia" w:asciiTheme="minorEastAsia" w:hAnsiTheme="minorEastAsia" w:eastAsiaTheme="minorEastAsia" w:cstheme="minorEastAsia"/>
          <w:szCs w:val="28"/>
          <w:lang w:val="en-US" w:eastAsia="zh-CN"/>
        </w:rPr>
        <w:t>B  DCS现场控制站CPU负荷率检测记录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_Toc31796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_Toc30152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28"/>
        </w:rPr>
        <w:t xml:space="preserve">附录 </w:t>
      </w:r>
      <w:r>
        <w:rPr>
          <w:rFonts w:hint="eastAsia" w:asciiTheme="minorEastAsia" w:hAnsiTheme="minorEastAsia" w:eastAsiaTheme="minorEastAsia" w:cstheme="minorEastAsia"/>
          <w:szCs w:val="28"/>
          <w:lang w:val="en-US" w:eastAsia="zh-CN"/>
        </w:rPr>
        <w:t>C</w:t>
      </w:r>
      <w:r>
        <w:rPr>
          <w:rFonts w:hint="eastAsia" w:asciiTheme="minorEastAsia" w:hAnsiTheme="minorEastAsia" w:eastAsiaTheme="minorEastAsia" w:cstheme="minorEastAsia"/>
          <w:szCs w:val="28"/>
        </w:rPr>
        <w:t xml:space="preserve"> </w:t>
      </w:r>
      <w:r>
        <w:rPr>
          <w:rFonts w:hint="eastAsia" w:asciiTheme="minorEastAsia" w:hAnsiTheme="minorEastAsia" w:eastAsiaTheme="minorEastAsia" w:cstheme="minorEastAsia"/>
          <w:szCs w:val="28"/>
          <w:lang w:val="en-US" w:eastAsia="zh-CN"/>
        </w:rPr>
        <w:t xml:space="preserve"> DCS操作员站负荷率检测记录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_Toc30152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_Toc29027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szCs w:val="28"/>
        </w:rPr>
        <w:t xml:space="preserve">附录 </w:t>
      </w:r>
      <w:r>
        <w:rPr>
          <w:rFonts w:hint="eastAsia" w:asciiTheme="minorEastAsia" w:hAnsiTheme="minorEastAsia" w:eastAsiaTheme="minorEastAsia" w:cstheme="minorEastAsia"/>
          <w:szCs w:val="28"/>
          <w:lang w:val="en-US" w:eastAsia="zh-CN"/>
        </w:rPr>
        <w:t>D  DCS通信负荷率检测报告</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_Toc29027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21"/>
        <w:keepNext w:val="0"/>
        <w:keepLines w:val="0"/>
        <w:pageBreakBefore w:val="0"/>
        <w:widowControl w:val="0"/>
        <w:tabs>
          <w:tab w:val="right" w:leader="dot" w:pos="8302"/>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Theme="minorEastAsia" w:hAnsiTheme="minorEastAsia" w:eastAsiaTheme="minorEastAsia" w:cstheme="minorEastAsia"/>
        </w:rPr>
        <w:fldChar w:fldCharType="end"/>
      </w:r>
      <w:bookmarkEnd w:id="38"/>
    </w:p>
    <w:p>
      <w:pPr>
        <w:rPr>
          <w:sz w:val="24"/>
        </w:rPr>
      </w:pPr>
    </w:p>
    <w:p>
      <w:pPr>
        <w:pStyle w:val="21"/>
        <w:tabs>
          <w:tab w:val="right" w:leader="dot" w:pos="8296"/>
        </w:tabs>
        <w:spacing w:line="300" w:lineRule="auto"/>
        <w:rPr>
          <w:rFonts w:ascii="宋体" w:hAnsi="宋体"/>
        </w:rPr>
      </w:pPr>
    </w:p>
    <w:p/>
    <w:p/>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0"/>
        <w:rPr>
          <w:rFonts w:hint="eastAsia" w:ascii="宋体" w:hAnsi="宋体" w:cs="Times New Roman"/>
          <w:bCs/>
          <w:sz w:val="24"/>
        </w:rPr>
      </w:pPr>
      <w:r>
        <w:rPr>
          <w:kern w:val="0"/>
        </w:rPr>
        <w:br w:type="page"/>
      </w:r>
      <w:bookmarkStart w:id="0" w:name="_Toc497833326"/>
      <w:bookmarkStart w:id="1" w:name="_Toc524432657"/>
      <w:bookmarkStart w:id="2" w:name="_Toc24523"/>
      <w:r>
        <w:rPr>
          <w:rFonts w:hint="eastAsia" w:ascii="Times New Roman" w:hAnsi="Times New Roman" w:eastAsia="黑体" w:cs="Times New Roman"/>
          <w:b/>
          <w:bCs/>
          <w:kern w:val="44"/>
          <w:sz w:val="44"/>
          <w:szCs w:val="44"/>
          <w:lang w:val="en-US" w:eastAsia="zh-CN" w:bidi="ar-SA"/>
        </w:rPr>
        <w:t>引  言</w:t>
      </w:r>
      <w:bookmarkEnd w:id="0"/>
      <w:bookmarkEnd w:id="1"/>
      <w:bookmarkEnd w:id="2"/>
    </w:p>
    <w:p>
      <w:pPr>
        <w:jc w:val="center"/>
        <w:rPr>
          <w:rFonts w:hint="eastAsia" w:eastAsia="黑体"/>
          <w:b/>
          <w:bCs/>
          <w:sz w:val="36"/>
          <w:szCs w:val="36"/>
        </w:rPr>
      </w:pP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cs="Times New Roman"/>
          <w:bCs/>
          <w:sz w:val="24"/>
          <w:lang w:val="en-US" w:eastAsia="zh-CN"/>
        </w:rPr>
      </w:pPr>
      <w:r>
        <w:rPr>
          <w:rFonts w:hint="default" w:ascii="Times New Roman" w:hAnsi="Times New Roman" w:cs="Times New Roman"/>
          <w:sz w:val="24"/>
        </w:rPr>
        <w:t>JJF</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1001-2011《通用计量术语及定义》、JJF</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1071-2010《国家计量校准规范编写规则》和JJF 1059.1-2012《测量不确定度评定与表示》共同构成本规范制订的基础性系列规范。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Cs/>
          <w:sz w:val="24"/>
          <w:lang w:val="en-US" w:eastAsia="zh-CN"/>
        </w:rPr>
      </w:pPr>
      <w:r>
        <w:rPr>
          <w:rFonts w:hint="default" w:ascii="Times New Roman" w:hAnsi="Times New Roman" w:cs="Times New Roman"/>
          <w:bCs/>
          <w:sz w:val="24"/>
          <w:lang w:val="en-US" w:eastAsia="zh-CN"/>
        </w:rPr>
        <w:t>本规范在参考了DL/T 774-2015《火力发电厂热工自动化系统检修运行维护</w:t>
      </w:r>
      <w:r>
        <w:rPr>
          <w:rFonts w:hint="eastAsia" w:cs="Times New Roman"/>
          <w:bCs/>
          <w:sz w:val="24"/>
          <w:lang w:val="en-US" w:eastAsia="zh-CN"/>
        </w:rPr>
        <w:t>规程</w:t>
      </w:r>
      <w:r>
        <w:rPr>
          <w:rFonts w:hint="default" w:ascii="Times New Roman" w:hAnsi="Times New Roman" w:cs="Times New Roman"/>
          <w:bCs/>
          <w:sz w:val="24"/>
          <w:lang w:val="en-US" w:eastAsia="zh-CN"/>
        </w:rPr>
        <w:t>》 、DLT 659-2006《火力发电厂分散控制系统验收</w:t>
      </w:r>
      <w:r>
        <w:rPr>
          <w:rFonts w:hint="eastAsia" w:cs="Times New Roman"/>
          <w:bCs/>
          <w:sz w:val="24"/>
          <w:lang w:val="en-US" w:eastAsia="zh-CN"/>
        </w:rPr>
        <w:t>测试规程</w:t>
      </w:r>
      <w:r>
        <w:rPr>
          <w:rFonts w:hint="default" w:ascii="Times New Roman" w:hAnsi="Times New Roman" w:cs="Times New Roman"/>
          <w:bCs/>
          <w:sz w:val="24"/>
          <w:lang w:val="en-US" w:eastAsia="zh-CN"/>
        </w:rPr>
        <w:t>》、DL/T 701 《火力发电厂热工自动化术语》等文件基础上，结合国内发电厂集散控制系统的</w:t>
      </w:r>
      <w:r>
        <w:rPr>
          <w:rFonts w:hint="eastAsia" w:cs="Times New Roman"/>
          <w:bCs/>
          <w:sz w:val="24"/>
          <w:lang w:val="en-US" w:eastAsia="zh-CN"/>
        </w:rPr>
        <w:t>通信</w:t>
      </w:r>
      <w:r>
        <w:rPr>
          <w:rFonts w:hint="default" w:ascii="Times New Roman" w:hAnsi="Times New Roman" w:cs="Times New Roman"/>
          <w:bCs/>
          <w:sz w:val="24"/>
          <w:lang w:val="en-US" w:eastAsia="zh-CN"/>
        </w:rPr>
        <w:t xml:space="preserve">负荷率制定本检测规范。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bCs/>
          <w:sz w:val="24"/>
        </w:rPr>
      </w:pPr>
      <w:r>
        <w:rPr>
          <w:rFonts w:hint="default" w:ascii="Times New Roman" w:hAnsi="Times New Roman" w:cs="Times New Roman"/>
          <w:bCs/>
          <w:sz w:val="24"/>
        </w:rPr>
        <w:t>本规范属于首次发布</w:t>
      </w:r>
      <w:r>
        <w:rPr>
          <w:rFonts w:hint="eastAsia" w:cs="Times New Roman"/>
          <w:bCs/>
          <w:sz w:val="24"/>
          <w:lang w:eastAsia="zh-CN"/>
        </w:rPr>
        <w:t>。</w:t>
      </w:r>
      <w:r>
        <w:rPr>
          <w:rFonts w:hint="default" w:ascii="Times New Roman" w:hAnsi="Times New Roman" w:cs="Times New Roman"/>
          <w:bCs/>
          <w:sz w:val="24"/>
        </w:rPr>
        <w:t xml:space="preserve"> </w:t>
      </w: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r>
        <w:rPr>
          <w:rFonts w:hint="eastAsia"/>
          <w:szCs w:val="22"/>
          <w:lang w:val="en-US" w:eastAsia="zh-CN"/>
        </w:rPr>
        <w:t xml:space="preserve">   </w:t>
      </w: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pStyle w:val="53"/>
        <w:tabs>
          <w:tab w:val="center" w:pos="4201"/>
          <w:tab w:val="right" w:leader="dot" w:pos="9298"/>
        </w:tabs>
        <w:ind w:firstLine="420"/>
        <w:rPr>
          <w:rFonts w:hint="eastAsia"/>
          <w:szCs w:val="22"/>
          <w:lang w:val="en-US" w:eastAsia="zh-CN"/>
        </w:rPr>
      </w:pPr>
    </w:p>
    <w:p>
      <w:pPr>
        <w:autoSpaceDE w:val="0"/>
        <w:autoSpaceDN w:val="0"/>
        <w:adjustRightInd w:val="0"/>
        <w:spacing w:line="360" w:lineRule="auto"/>
        <w:jc w:val="both"/>
        <w:rPr>
          <w:rFonts w:eastAsia="黑体" w:cs="SimHei-Identity-H"/>
          <w:bCs/>
          <w:kern w:val="0"/>
          <w:sz w:val="24"/>
        </w:rPr>
        <w:sectPr>
          <w:headerReference r:id="rId12" w:type="first"/>
          <w:footerReference r:id="rId14" w:type="first"/>
          <w:headerReference r:id="rId11" w:type="default"/>
          <w:footerReference r:id="rId13" w:type="default"/>
          <w:pgSz w:w="11906" w:h="16838"/>
          <w:pgMar w:top="1440" w:right="1797" w:bottom="1440" w:left="1797" w:header="851" w:footer="992" w:gutter="0"/>
          <w:pgNumType w:fmt="upperRoman" w:start="1"/>
          <w:cols w:space="720" w:num="1"/>
          <w:titlePg/>
          <w:docGrid w:type="lines" w:linePitch="312" w:charSpace="0"/>
        </w:sectPr>
      </w:pPr>
    </w:p>
    <w:p>
      <w:pPr>
        <w:keepNext/>
        <w:keepLines/>
        <w:pageBreakBefore w:val="0"/>
        <w:widowControl w:val="0"/>
        <w:kinsoku/>
        <w:wordWrap/>
        <w:overflowPunct/>
        <w:topLinePunct w:val="0"/>
        <w:autoSpaceDE/>
        <w:autoSpaceDN/>
        <w:bidi w:val="0"/>
        <w:adjustRightInd/>
        <w:snapToGrid/>
        <w:spacing w:before="24" w:after="24" w:line="579" w:lineRule="auto"/>
        <w:ind w:firstLine="1285" w:firstLineChars="400"/>
        <w:textAlignment w:val="auto"/>
        <w:outlineLvl w:val="9"/>
        <w:rPr>
          <w:rFonts w:hint="eastAsia" w:ascii="Times New Roman" w:hAnsi="Times New Roman" w:eastAsia="黑体" w:cs="Times New Roman"/>
          <w:b/>
          <w:bCs/>
          <w:kern w:val="2"/>
          <w:sz w:val="32"/>
          <w:szCs w:val="28"/>
          <w:lang w:val="en-US" w:eastAsia="zh-CN" w:bidi="ar-SA"/>
        </w:rPr>
      </w:pPr>
      <w:bookmarkStart w:id="3" w:name="_Toc364786284"/>
      <w:bookmarkStart w:id="4" w:name="_Toc364673244"/>
      <w:bookmarkStart w:id="5" w:name="_Toc524432658"/>
      <w:bookmarkStart w:id="6" w:name="_Toc364785663"/>
      <w:bookmarkStart w:id="7" w:name="_Toc497833327"/>
      <w:r>
        <w:rPr>
          <w:rFonts w:hint="eastAsia" w:ascii="Times New Roman" w:hAnsi="Times New Roman" w:eastAsia="黑体" w:cs="Times New Roman"/>
          <w:b/>
          <w:bCs/>
          <w:kern w:val="2"/>
          <w:sz w:val="32"/>
          <w:szCs w:val="28"/>
          <w:lang w:val="en-US" w:eastAsia="zh-CN" w:bidi="ar-SA"/>
        </w:rPr>
        <w:t>发电厂集散控制系统</w:t>
      </w:r>
      <w:r>
        <w:rPr>
          <w:rFonts w:hint="eastAsia" w:eastAsia="黑体" w:cs="Times New Roman"/>
          <w:b/>
          <w:bCs/>
          <w:kern w:val="2"/>
          <w:sz w:val="32"/>
          <w:szCs w:val="28"/>
          <w:lang w:val="en-US" w:eastAsia="zh-CN" w:bidi="ar-SA"/>
        </w:rPr>
        <w:t>通信</w:t>
      </w:r>
      <w:r>
        <w:rPr>
          <w:rFonts w:hint="eastAsia" w:ascii="Times New Roman" w:hAnsi="Times New Roman" w:eastAsia="黑体" w:cs="Times New Roman"/>
          <w:b/>
          <w:bCs/>
          <w:kern w:val="2"/>
          <w:sz w:val="32"/>
          <w:szCs w:val="28"/>
          <w:lang w:val="en-US" w:eastAsia="zh-CN" w:bidi="ar-SA"/>
        </w:rPr>
        <w:t>负荷率检测规范</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rPr>
      </w:pPr>
      <w:bookmarkStart w:id="8" w:name="_Toc11149"/>
      <w:r>
        <w:rPr>
          <w:rFonts w:hint="eastAsia" w:ascii="黑体" w:hAnsi="黑体" w:eastAsia="黑体" w:cs="Times New Roman"/>
          <w:color w:val="000000"/>
          <w:kern w:val="2"/>
          <w:sz w:val="24"/>
          <w:szCs w:val="24"/>
          <w:lang w:val="en-US" w:eastAsia="zh-CN"/>
        </w:rPr>
        <w:t xml:space="preserve">1 </w:t>
      </w:r>
      <w:r>
        <w:rPr>
          <w:rFonts w:hint="eastAsia" w:ascii="黑体" w:hAnsi="黑体" w:eastAsia="黑体" w:cs="Times New Roman"/>
          <w:color w:val="000000"/>
          <w:kern w:val="2"/>
          <w:sz w:val="24"/>
          <w:szCs w:val="24"/>
        </w:rPr>
        <w:t>范围</w:t>
      </w:r>
      <w:bookmarkEnd w:id="3"/>
      <w:bookmarkEnd w:id="4"/>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sz w:val="24"/>
        </w:rPr>
      </w:pPr>
      <w:r>
        <w:rPr>
          <w:rFonts w:hint="default" w:ascii="Times New Roman" w:hAnsi="Times New Roman" w:cs="Times New Roman"/>
          <w:sz w:val="24"/>
        </w:rPr>
        <w:t>本检测规范规定了</w:t>
      </w:r>
      <w:r>
        <w:rPr>
          <w:rFonts w:hint="default" w:ascii="Times New Roman" w:hAnsi="Times New Roman" w:cs="Times New Roman"/>
          <w:bCs/>
          <w:sz w:val="24"/>
          <w:lang w:val="en-US" w:eastAsia="zh-CN"/>
        </w:rPr>
        <w:t>发电厂集散控制系统的</w:t>
      </w:r>
      <w:r>
        <w:rPr>
          <w:rFonts w:hint="eastAsia" w:cs="Times New Roman"/>
          <w:bCs/>
          <w:sz w:val="24"/>
          <w:lang w:val="en-US" w:eastAsia="zh-CN"/>
        </w:rPr>
        <w:t>通信</w:t>
      </w:r>
      <w:r>
        <w:rPr>
          <w:rFonts w:hint="default" w:ascii="Times New Roman" w:hAnsi="Times New Roman" w:cs="Times New Roman"/>
          <w:bCs/>
          <w:sz w:val="24"/>
          <w:lang w:val="en-US" w:eastAsia="zh-CN"/>
        </w:rPr>
        <w:t>负荷</w:t>
      </w:r>
      <w:r>
        <w:rPr>
          <w:rFonts w:hint="eastAsia" w:cs="Times New Roman"/>
          <w:bCs/>
          <w:sz w:val="24"/>
          <w:lang w:val="en-US" w:eastAsia="zh-CN"/>
        </w:rPr>
        <w:t>率，</w:t>
      </w:r>
      <w:r>
        <w:rPr>
          <w:rFonts w:hint="default" w:ascii="Times New Roman" w:hAnsi="Times New Roman" w:cs="Times New Roman"/>
          <w:sz w:val="24"/>
        </w:rPr>
        <w:t>适用于单机容量为125MW</w:t>
      </w:r>
      <w:r>
        <w:rPr>
          <w:rFonts w:hint="default" w:ascii="Times New Roman" w:hAnsi="Times New Roman" w:cs="Times New Roman"/>
          <w:i/>
          <w:iCs/>
          <w:sz w:val="24"/>
        </w:rPr>
        <w:t>~</w:t>
      </w:r>
      <w:r>
        <w:rPr>
          <w:rFonts w:hint="default" w:ascii="Times New Roman" w:hAnsi="Times New Roman" w:cs="Times New Roman"/>
          <w:sz w:val="24"/>
        </w:rPr>
        <w:t>1000MW等机组的火力发电厂新建和已投运机组各个阶段的检测，其他类型及容量的火力发电厂机组均可参照使用。</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rPr>
      </w:pPr>
      <w:bookmarkStart w:id="9" w:name="_Toc364785664"/>
      <w:bookmarkStart w:id="10" w:name="_Toc497833328"/>
      <w:bookmarkStart w:id="11" w:name="_Toc364673245"/>
      <w:bookmarkStart w:id="12" w:name="_Toc364786285"/>
      <w:bookmarkStart w:id="13" w:name="_Toc524432659"/>
      <w:bookmarkStart w:id="14" w:name="_Toc69"/>
      <w:r>
        <w:rPr>
          <w:rFonts w:hint="eastAsia" w:ascii="黑体" w:hAnsi="黑体" w:eastAsia="黑体" w:cs="Times New Roman"/>
          <w:color w:val="000000"/>
          <w:kern w:val="2"/>
          <w:sz w:val="24"/>
          <w:szCs w:val="24"/>
          <w:lang w:val="en-US" w:eastAsia="zh-CN"/>
        </w:rPr>
        <w:t xml:space="preserve">2 </w:t>
      </w:r>
      <w:r>
        <w:rPr>
          <w:rFonts w:hint="eastAsia" w:ascii="黑体" w:hAnsi="黑体" w:eastAsia="黑体" w:cs="Times New Roman"/>
          <w:color w:val="000000"/>
          <w:kern w:val="2"/>
          <w:sz w:val="24"/>
          <w:szCs w:val="24"/>
        </w:rPr>
        <w:t>引用文</w:t>
      </w:r>
      <w:bookmarkEnd w:id="9"/>
      <w:bookmarkEnd w:id="10"/>
      <w:bookmarkEnd w:id="11"/>
      <w:bookmarkEnd w:id="12"/>
      <w:r>
        <w:rPr>
          <w:rFonts w:hint="eastAsia" w:ascii="黑体" w:hAnsi="黑体" w:eastAsia="黑体" w:cs="Times New Roman"/>
          <w:color w:val="000000"/>
          <w:kern w:val="2"/>
          <w:sz w:val="24"/>
          <w:szCs w:val="24"/>
        </w:rPr>
        <w:t>件</w:t>
      </w:r>
      <w:bookmarkEnd w:id="13"/>
      <w:bookmarkEnd w:id="1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 xml:space="preserve">本规范引用以下文件：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DL/T 774-2015</w:t>
      </w:r>
      <w:r>
        <w:rPr>
          <w:rFonts w:hint="eastAsia" w:cs="Times New Roman"/>
          <w:sz w:val="24"/>
          <w:lang w:val="en-US" w:eastAsia="zh-CN"/>
        </w:rPr>
        <w:t xml:space="preserve">   </w:t>
      </w:r>
      <w:r>
        <w:rPr>
          <w:rFonts w:hint="default" w:ascii="Times New Roman" w:hAnsi="Times New Roman" w:cs="Times New Roman"/>
          <w:sz w:val="24"/>
        </w:rPr>
        <w:t>《火力发电厂热工自动化系统检修运行维护</w:t>
      </w:r>
      <w:r>
        <w:rPr>
          <w:rFonts w:hint="eastAsia" w:cs="Times New Roman"/>
          <w:sz w:val="24"/>
          <w:lang w:val="en-US" w:eastAsia="zh-CN"/>
        </w:rPr>
        <w:t>过程</w:t>
      </w:r>
      <w:r>
        <w:rPr>
          <w:rFonts w:hint="default" w:ascii="Times New Roman" w:hAnsi="Times New Roman"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DLT 659-2016</w:t>
      </w:r>
      <w:r>
        <w:rPr>
          <w:rFonts w:hint="eastAsia" w:cs="Times New Roman"/>
          <w:sz w:val="24"/>
          <w:lang w:val="en-US" w:eastAsia="zh-CN"/>
        </w:rPr>
        <w:t xml:space="preserve">    </w:t>
      </w:r>
      <w:r>
        <w:rPr>
          <w:rFonts w:hint="default" w:ascii="Times New Roman" w:hAnsi="Times New Roman" w:cs="Times New Roman"/>
          <w:sz w:val="24"/>
        </w:rPr>
        <w:t>《火力发电厂分散控制系统验收</w:t>
      </w:r>
      <w:r>
        <w:rPr>
          <w:rFonts w:hint="eastAsia" w:cs="Times New Roman"/>
          <w:sz w:val="24"/>
          <w:lang w:val="en-US" w:eastAsia="zh-CN"/>
        </w:rPr>
        <w:t>测试规程</w:t>
      </w:r>
      <w:r>
        <w:rPr>
          <w:rFonts w:hint="default" w:ascii="Times New Roman" w:hAnsi="Times New Roman"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DL/T 701</w:t>
      </w:r>
      <w:r>
        <w:rPr>
          <w:rFonts w:hint="eastAsia" w:cs="Times New Roman"/>
          <w:sz w:val="24"/>
          <w:lang w:val="en-US" w:eastAsia="zh-CN"/>
        </w:rPr>
        <w:t xml:space="preserve">        </w:t>
      </w:r>
      <w:r>
        <w:rPr>
          <w:rFonts w:hint="default" w:ascii="Times New Roman" w:hAnsi="Times New Roman" w:cs="Times New Roman"/>
          <w:sz w:val="24"/>
        </w:rPr>
        <w:t xml:space="preserve">《火力发电厂热工自动化术语》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GB/T 36293</w:t>
      </w:r>
      <w:r>
        <w:rPr>
          <w:rFonts w:hint="eastAsia" w:cs="Times New Roman"/>
          <w:sz w:val="24"/>
          <w:lang w:val="en-US" w:eastAsia="zh-CN"/>
        </w:rPr>
        <w:t xml:space="preserve">      </w:t>
      </w:r>
      <w:r>
        <w:rPr>
          <w:rFonts w:hint="default" w:ascii="Times New Roman" w:hAnsi="Times New Roman" w:cs="Times New Roman"/>
          <w:sz w:val="24"/>
        </w:rPr>
        <w:t>《火力发电厂分散控制系统技术条件》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GB/T 30372</w:t>
      </w:r>
      <w:r>
        <w:rPr>
          <w:rFonts w:hint="eastAsia" w:cs="Times New Roman"/>
          <w:sz w:val="24"/>
          <w:lang w:val="en-US" w:eastAsia="zh-CN"/>
        </w:rPr>
        <w:t xml:space="preserve">      </w:t>
      </w:r>
      <w:r>
        <w:rPr>
          <w:rFonts w:hint="default" w:ascii="Times New Roman" w:hAnsi="Times New Roman" w:cs="Times New Roman"/>
          <w:sz w:val="24"/>
        </w:rPr>
        <w:t>《火力发电厂分散控制系统验收导则》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凡是注日期的引用文件，仅所注日期的版本适用于本文件。凡是不注日期的引用文件，其最新版本（包括所有的修改单）适用于本</w:t>
      </w:r>
      <w:r>
        <w:rPr>
          <w:rFonts w:hint="default" w:ascii="Times New Roman" w:hAnsi="Times New Roman" w:cs="Times New Roman"/>
          <w:sz w:val="24"/>
          <w:lang w:eastAsia="zh-CN"/>
        </w:rPr>
        <w:t>规范</w:t>
      </w:r>
      <w:r>
        <w:rPr>
          <w:rFonts w:hint="default" w:ascii="Times New Roman" w:hAnsi="Times New Roman"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0"/>
        <w:rPr>
          <w:rFonts w:hint="eastAsia" w:ascii="黑体" w:hAnsi="黑体" w:eastAsia="黑体" w:cs="黑体"/>
          <w:b/>
          <w:bCs/>
          <w:sz w:val="24"/>
        </w:rPr>
      </w:pPr>
      <w:bookmarkStart w:id="15" w:name="_Toc364785665"/>
      <w:bookmarkStart w:id="16" w:name="_Toc524432660"/>
      <w:bookmarkStart w:id="17" w:name="_Toc364786286"/>
      <w:bookmarkStart w:id="18" w:name="_Toc364673246"/>
      <w:bookmarkStart w:id="19" w:name="_Toc497833329"/>
      <w:bookmarkStart w:id="20" w:name="_Toc29072"/>
      <w:r>
        <w:rPr>
          <w:rFonts w:hint="eastAsia" w:ascii="黑体" w:hAnsi="黑体" w:eastAsia="黑体" w:cs="黑体"/>
          <w:b/>
          <w:bCs/>
          <w:sz w:val="24"/>
        </w:rPr>
        <w:t>3 术语</w:t>
      </w:r>
      <w:bookmarkEnd w:id="15"/>
      <w:bookmarkEnd w:id="16"/>
      <w:bookmarkEnd w:id="17"/>
      <w:bookmarkEnd w:id="18"/>
      <w:bookmarkEnd w:id="19"/>
      <w:r>
        <w:rPr>
          <w:rFonts w:hint="eastAsia" w:ascii="黑体" w:hAnsi="黑体" w:eastAsia="黑体" w:cs="黑体"/>
          <w:b/>
          <w:bCs/>
          <w:sz w:val="24"/>
        </w:rPr>
        <w:t>、定义和缩略语</w:t>
      </w:r>
      <w:bookmarkEnd w:id="20"/>
    </w:p>
    <w:p>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DL/T 701中界定的以及下列术语、定义和缩略语适用于本文件。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cs="Times New Roman"/>
          <w:sz w:val="24"/>
        </w:rPr>
      </w:pPr>
      <w:r>
        <w:rPr>
          <w:rFonts w:hint="default" w:ascii="Times New Roman" w:hAnsi="Times New Roman" w:cs="Times New Roman"/>
          <w:sz w:val="24"/>
        </w:rPr>
        <w:t>3.1术语</w:t>
      </w:r>
    </w:p>
    <w:p>
      <w:pPr>
        <w:keepNext w:val="0"/>
        <w:keepLines w:val="0"/>
        <w:pageBreakBefore w:val="0"/>
        <w:widowControl w:val="0"/>
        <w:kinsoku/>
        <w:wordWrap/>
        <w:overflowPunct/>
        <w:topLinePunct w:val="0"/>
        <w:bidi w:val="0"/>
        <w:snapToGrid/>
        <w:spacing w:line="360" w:lineRule="auto"/>
        <w:textAlignment w:val="auto"/>
        <w:outlineLvl w:val="9"/>
        <w:rPr>
          <w:rFonts w:hint="default" w:ascii="Times New Roman" w:hAnsi="Times New Roman" w:cs="Times New Roman"/>
          <w:sz w:val="24"/>
        </w:rPr>
      </w:pPr>
      <w:r>
        <w:rPr>
          <w:rFonts w:hint="default" w:ascii="Times New Roman" w:hAnsi="Times New Roman" w:cs="Times New Roman"/>
          <w:sz w:val="24"/>
        </w:rPr>
        <w:t>3.1.1 协调控制系统coordination control system，简称CCS</w:t>
      </w:r>
    </w:p>
    <w:p>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通过控制回路协调汽轮机和锅炉的工作状态，同时给锅炉自动控制系统和汽轮机自动控制系统发出指令，以达到快速响应负荷变化的目的，发挥机组的调频、调峰能力，稳定运行参数。</w:t>
      </w:r>
    </w:p>
    <w:p>
      <w:pPr>
        <w:keepNext w:val="0"/>
        <w:keepLines w:val="0"/>
        <w:pageBreakBefore w:val="0"/>
        <w:widowControl w:val="0"/>
        <w:kinsoku/>
        <w:wordWrap/>
        <w:overflowPunct/>
        <w:topLinePunct w:val="0"/>
        <w:bidi w:val="0"/>
        <w:snapToGrid/>
        <w:spacing w:line="360" w:lineRule="auto"/>
        <w:textAlignment w:val="auto"/>
        <w:outlineLvl w:val="9"/>
        <w:rPr>
          <w:rFonts w:hint="default" w:ascii="Times New Roman" w:hAnsi="Times New Roman" w:cs="Times New Roman"/>
          <w:sz w:val="24"/>
        </w:rPr>
      </w:pPr>
      <w:r>
        <w:rPr>
          <w:rFonts w:hint="default" w:ascii="Times New Roman" w:hAnsi="Times New Roman" w:cs="Times New Roman"/>
          <w:sz w:val="24"/>
        </w:rPr>
        <w:t>3.1.2 模拟量控制系统 modulating control system，简称MCS</w:t>
      </w:r>
    </w:p>
    <w:p>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实现锅炉、汽机及辅助系统参数自动控制的系统。</w:t>
      </w:r>
    </w:p>
    <w:p>
      <w:pPr>
        <w:keepNext w:val="0"/>
        <w:keepLines w:val="0"/>
        <w:pageBreakBefore w:val="0"/>
        <w:widowControl w:val="0"/>
        <w:kinsoku/>
        <w:wordWrap/>
        <w:overflowPunct/>
        <w:topLinePunct w:val="0"/>
        <w:bidi w:val="0"/>
        <w:snapToGrid/>
        <w:spacing w:line="360" w:lineRule="auto"/>
        <w:textAlignment w:val="auto"/>
        <w:outlineLvl w:val="9"/>
        <w:rPr>
          <w:rFonts w:hint="default" w:ascii="Times New Roman" w:hAnsi="Times New Roman" w:cs="Times New Roman"/>
          <w:sz w:val="24"/>
        </w:rPr>
      </w:pPr>
      <w:r>
        <w:rPr>
          <w:rFonts w:hint="default" w:ascii="Times New Roman" w:hAnsi="Times New Roman" w:cs="Times New Roman"/>
          <w:sz w:val="24"/>
        </w:rPr>
        <w:t>3.1.3 数据采集系统 datacquisition system，简称DAS</w:t>
      </w:r>
    </w:p>
    <w:p>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default" w:ascii="Times New Roman" w:hAnsi="Times New Roman" w:cs="Times New Roman"/>
          <w:sz w:val="24"/>
        </w:rPr>
      </w:pPr>
      <w:r>
        <w:rPr>
          <w:rFonts w:hint="default" w:ascii="Times New Roman" w:hAnsi="Times New Roman" w:cs="Times New Roman"/>
          <w:sz w:val="24"/>
        </w:rPr>
        <w:t>采用数字计算机系统对工艺系统和设备运行测量参数进行采集和处的理系统。</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outlineLvl w:val="9"/>
        <w:rPr>
          <w:rFonts w:hint="default" w:ascii="Times New Roman" w:hAnsi="Times New Roman" w:cs="Times New Roman"/>
          <w:sz w:val="24"/>
        </w:rPr>
      </w:pPr>
      <w:r>
        <w:rPr>
          <w:rFonts w:hint="default" w:ascii="Times New Roman" w:hAnsi="Times New Roman" w:cs="Times New Roman"/>
          <w:sz w:val="24"/>
        </w:rPr>
        <w:t>注：对采集的结果进行处理、记录、显示和报警，对机组的运行情况计算和分析，并提出运行指导的数据采集。</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default" w:ascii="Times New Roman" w:hAnsi="Times New Roman" w:cs="Times New Roman"/>
          <w:b w:val="0"/>
          <w:bCs w:val="0"/>
          <w:sz w:val="24"/>
        </w:rPr>
      </w:pPr>
      <w:r>
        <w:rPr>
          <w:rFonts w:hint="default" w:ascii="Times New Roman" w:hAnsi="Times New Roman" w:cs="Times New Roman"/>
          <w:b w:val="0"/>
          <w:bCs w:val="0"/>
          <w:sz w:val="24"/>
        </w:rPr>
        <w:t>3.1.4 数字电液控制系统 digital  electro-hydraulic control system，简称DEH</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outlineLvl w:val="9"/>
        <w:rPr>
          <w:rFonts w:hint="default" w:ascii="Times New Roman" w:hAnsi="Times New Roman" w:cs="Times New Roman"/>
          <w:sz w:val="24"/>
        </w:rPr>
      </w:pPr>
      <w:r>
        <w:rPr>
          <w:rFonts w:hint="default" w:ascii="Times New Roman" w:hAnsi="Times New Roman" w:cs="Times New Roman"/>
          <w:sz w:val="24"/>
        </w:rPr>
        <w:t>由电气原理设计的敏感元件，按电气、液压原理设计的放大原件和伺服机构，实现控制逻辑的汽轮机调节、保安系统。</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default" w:ascii="Times New Roman" w:hAnsi="Times New Roman" w:cs="Times New Roman"/>
          <w:b w:val="0"/>
          <w:bCs w:val="0"/>
        </w:rPr>
      </w:pPr>
      <w:r>
        <w:rPr>
          <w:rFonts w:hint="default" w:ascii="Times New Roman" w:hAnsi="Times New Roman" w:cs="Times New Roman"/>
          <w:b w:val="0"/>
          <w:bCs w:val="0"/>
          <w:sz w:val="24"/>
        </w:rPr>
        <w:t>3.1.5 分散控制系统的 distributed control system ，简称DCS</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outlineLvl w:val="9"/>
        <w:rPr>
          <w:rFonts w:hint="default" w:ascii="Times New Roman" w:hAnsi="Times New Roman" w:cs="Times New Roman"/>
          <w:sz w:val="24"/>
        </w:rPr>
      </w:pPr>
      <w:r>
        <w:rPr>
          <w:rFonts w:hint="default" w:ascii="Times New Roman" w:hAnsi="Times New Roman" w:cs="Times New Roman"/>
          <w:sz w:val="24"/>
        </w:rPr>
        <w:t>采用分布式结构的智能网络控制系统即利用计算机技术对生产过程进行集中监视、操作、管理和分散控制。</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0"/>
        <w:rPr>
          <w:rFonts w:hint="eastAsia" w:ascii="黑体" w:eastAsia="黑体"/>
          <w:b/>
          <w:bCs/>
          <w:sz w:val="24"/>
        </w:rPr>
      </w:pPr>
      <w:bookmarkStart w:id="21" w:name="_Toc18696"/>
      <w:r>
        <w:rPr>
          <w:rFonts w:hint="eastAsia" w:ascii="黑体" w:eastAsia="黑体"/>
          <w:b/>
          <w:bCs/>
          <w:sz w:val="24"/>
        </w:rPr>
        <w:t>4 概述</w:t>
      </w:r>
      <w:bookmarkEnd w:id="21"/>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cs="Times New Roman"/>
          <w:sz w:val="24"/>
          <w:lang w:val="en-US" w:eastAsia="zh-CN"/>
        </w:rPr>
      </w:pPr>
      <w:r>
        <w:rPr>
          <w:rFonts w:hint="eastAsia" w:ascii="Times New Roman" w:hAnsi="Times New Roman" w:cs="Times New Roman"/>
          <w:sz w:val="24"/>
        </w:rPr>
        <w:t>随着发电机组</w:t>
      </w:r>
      <w:r>
        <w:rPr>
          <w:rFonts w:hint="eastAsia" w:cs="Times New Roman"/>
          <w:sz w:val="24"/>
          <w:lang w:val="en-US" w:eastAsia="zh-CN"/>
        </w:rPr>
        <w:t>装机</w:t>
      </w:r>
      <w:r>
        <w:rPr>
          <w:rFonts w:hint="eastAsia" w:ascii="Times New Roman" w:hAnsi="Times New Roman" w:cs="Times New Roman"/>
          <w:sz w:val="24"/>
        </w:rPr>
        <w:t>容量不断增加,自动化水平也越来越高,机组分散控制系统(DCS)的重要性日益凸显。针对DCS系统控制器负荷率异常波动问题,从硬件配置、控制器负荷分配、处理周期以及逻辑组态等方面进行分析,通过检查验证,确认负荷率的波动原因是由某卡件故障报警信号频发所引起。</w:t>
      </w:r>
      <w:r>
        <w:rPr>
          <w:rFonts w:hint="eastAsia" w:cs="Times New Roman"/>
          <w:sz w:val="24"/>
          <w:lang w:val="en-US" w:eastAsia="zh-CN"/>
        </w:rPr>
        <w:t>使</w:t>
      </w:r>
      <w:r>
        <w:rPr>
          <w:rFonts w:hint="eastAsia" w:ascii="Times New Roman" w:hAnsi="Times New Roman" w:cs="Times New Roman"/>
          <w:sz w:val="24"/>
          <w:lang w:val="en-US" w:eastAsia="zh-CN"/>
        </w:rPr>
        <w:t>DCS通信接口的负荷率、通信速率和通信传递数据的正确性。</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0"/>
        <w:rPr>
          <w:rFonts w:hint="eastAsia" w:ascii="黑体" w:hAnsi="黑体" w:eastAsia="黑体" w:cs="黑体"/>
          <w:b/>
          <w:bCs/>
          <w:sz w:val="24"/>
          <w:szCs w:val="24"/>
          <w:highlight w:val="green"/>
          <w:shd w:val="clear" w:color="FFFFFF" w:fill="D9D9D9"/>
        </w:rPr>
      </w:pPr>
      <w:bookmarkStart w:id="22" w:name="_Toc5000"/>
      <w:r>
        <w:rPr>
          <w:rFonts w:hint="eastAsia" w:ascii="黑体" w:hAnsi="黑体" w:eastAsia="黑体" w:cs="黑体"/>
          <w:b/>
          <w:bCs/>
          <w:kern w:val="44"/>
          <w:sz w:val="24"/>
          <w:szCs w:val="24"/>
        </w:rPr>
        <w:t>5 检测技术指标</w:t>
      </w:r>
      <w:bookmarkEnd w:id="22"/>
      <w:bookmarkStart w:id="23" w:name="_Toc364786289"/>
      <w:bookmarkStart w:id="24" w:name="_Toc364673249"/>
      <w:bookmarkStart w:id="25" w:name="_Toc364785668"/>
      <w:bookmarkStart w:id="26" w:name="_Toc497833330"/>
      <w:bookmarkStart w:id="27" w:name="_Toc524432663"/>
    </w:p>
    <w:p>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default" w:ascii="Times New Roman" w:hAnsi="Times New Roman" w:cs="Times New Roman"/>
          <w:sz w:val="24"/>
        </w:rPr>
      </w:pPr>
      <w:r>
        <w:rPr>
          <w:rFonts w:hint="eastAsia" w:cs="Times New Roman"/>
          <w:sz w:val="24"/>
          <w:lang w:val="en-US" w:eastAsia="zh-CN"/>
        </w:rPr>
        <w:t>依据</w:t>
      </w:r>
      <w:r>
        <w:rPr>
          <w:rFonts w:hint="default" w:ascii="Times New Roman" w:hAnsi="Times New Roman" w:cs="Times New Roman"/>
          <w:sz w:val="24"/>
        </w:rPr>
        <w:t>DLT 659-2016《火力发电厂分散控制系统验收</w:t>
      </w:r>
      <w:r>
        <w:rPr>
          <w:rFonts w:hint="eastAsia" w:cs="Times New Roman"/>
          <w:sz w:val="24"/>
          <w:lang w:val="en-US" w:eastAsia="zh-CN"/>
        </w:rPr>
        <w:t>测试规程</w:t>
      </w:r>
      <w:r>
        <w:rPr>
          <w:rFonts w:hint="default" w:ascii="Times New Roman" w:hAnsi="Times New Roman" w:cs="Times New Roman"/>
          <w:sz w:val="24"/>
        </w:rPr>
        <w:t>》</w:t>
      </w:r>
      <w:r>
        <w:rPr>
          <w:rFonts w:hint="eastAsia" w:cs="Times New Roman"/>
          <w:sz w:val="24"/>
          <w:lang w:val="en-US" w:eastAsia="zh-CN"/>
        </w:rPr>
        <w:t>中的6.9条系统各部件的负荷率</w:t>
      </w:r>
      <w:r>
        <w:rPr>
          <w:rFonts w:hint="default" w:ascii="Times New Roman" w:hAnsi="Times New Roman" w:cs="Times New Roman"/>
          <w:sz w:val="24"/>
        </w:rPr>
        <w:t>符合下列要求：</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5.1 所有控制站中央处理单元的负荷率不应超过60%。</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 xml:space="preserve">5.2 </w:t>
      </w:r>
      <w:r>
        <w:rPr>
          <w:rFonts w:hint="eastAsia" w:cs="Times New Roman"/>
          <w:sz w:val="24"/>
          <w:lang w:val="en-US" w:eastAsia="zh-CN"/>
        </w:rPr>
        <w:t>计算机站、</w:t>
      </w:r>
      <w:r>
        <w:rPr>
          <w:rFonts w:hint="default" w:ascii="Times New Roman" w:hAnsi="Times New Roman" w:cs="Times New Roman"/>
          <w:sz w:val="24"/>
        </w:rPr>
        <w:t>操作员站、</w:t>
      </w:r>
      <w:r>
        <w:rPr>
          <w:rFonts w:hint="eastAsia" w:cs="Times New Roman"/>
          <w:sz w:val="24"/>
          <w:lang w:val="en-US" w:eastAsia="zh-CN"/>
        </w:rPr>
        <w:t>数据管理站等CPU的</w:t>
      </w:r>
      <w:r>
        <w:rPr>
          <w:rFonts w:hint="default" w:ascii="Times New Roman" w:hAnsi="Times New Roman" w:cs="Times New Roman"/>
          <w:sz w:val="24"/>
        </w:rPr>
        <w:t>负荷率不应超过40%。</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18"/>
          <w:szCs w:val="18"/>
          <w:highlight w:val="green"/>
          <w:shd w:val="clear" w:color="FFFFFF" w:fill="D9D9D9"/>
        </w:rPr>
      </w:pPr>
      <w:r>
        <w:rPr>
          <w:rFonts w:hint="default" w:ascii="Times New Roman" w:hAnsi="Times New Roman" w:cs="Times New Roman"/>
          <w:sz w:val="24"/>
        </w:rPr>
        <w:t>5.3 数据</w:t>
      </w:r>
      <w:r>
        <w:rPr>
          <w:rFonts w:hint="eastAsia" w:cs="Times New Roman"/>
          <w:sz w:val="24"/>
          <w:lang w:eastAsia="zh-CN"/>
        </w:rPr>
        <w:t>通信</w:t>
      </w:r>
      <w:r>
        <w:rPr>
          <w:rFonts w:hint="default" w:ascii="Times New Roman" w:hAnsi="Times New Roman" w:cs="Times New Roman"/>
          <w:sz w:val="24"/>
        </w:rPr>
        <w:t>总线负荷率，以太网平均</w:t>
      </w:r>
      <w:r>
        <w:rPr>
          <w:rFonts w:hint="eastAsia" w:cs="Times New Roman"/>
          <w:sz w:val="24"/>
          <w:lang w:eastAsia="zh-CN"/>
        </w:rPr>
        <w:t>通信</w:t>
      </w:r>
      <w:r>
        <w:rPr>
          <w:rFonts w:hint="default" w:ascii="Times New Roman" w:hAnsi="Times New Roman" w:cs="Times New Roman"/>
          <w:sz w:val="24"/>
        </w:rPr>
        <w:t>负荷率不超过20%，令牌网平均</w:t>
      </w:r>
      <w:r>
        <w:rPr>
          <w:rFonts w:hint="eastAsia" w:cs="Times New Roman"/>
          <w:sz w:val="24"/>
          <w:lang w:eastAsia="zh-CN"/>
        </w:rPr>
        <w:t>通信</w:t>
      </w:r>
      <w:r>
        <w:rPr>
          <w:rFonts w:hint="default" w:ascii="Times New Roman" w:hAnsi="Times New Roman" w:cs="Times New Roman"/>
          <w:sz w:val="24"/>
        </w:rPr>
        <w:t>负荷率不超过40%。</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0"/>
        <w:rPr>
          <w:rFonts w:hint="eastAsia" w:ascii="黑体" w:hAnsi="黑体" w:eastAsia="黑体" w:cs="黑体"/>
          <w:b/>
          <w:bCs/>
          <w:kern w:val="44"/>
          <w:sz w:val="24"/>
          <w:szCs w:val="24"/>
        </w:rPr>
      </w:pPr>
      <w:bookmarkStart w:id="28" w:name="_Toc2177"/>
      <w:r>
        <w:rPr>
          <w:rFonts w:hint="eastAsia" w:ascii="黑体" w:hAnsi="黑体" w:eastAsia="黑体" w:cs="黑体"/>
          <w:b/>
          <w:bCs/>
          <w:kern w:val="44"/>
          <w:sz w:val="24"/>
          <w:szCs w:val="24"/>
        </w:rPr>
        <w:t>6 检测环境与条件</w:t>
      </w:r>
      <w:bookmarkEnd w:id="28"/>
    </w:p>
    <w:p>
      <w:pPr>
        <w:autoSpaceDE w:val="0"/>
        <w:autoSpaceDN w:val="0"/>
        <w:adjustRightInd w:val="0"/>
        <w:spacing w:line="360" w:lineRule="auto"/>
        <w:jc w:val="left"/>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 xml:space="preserve">6.1 </w:t>
      </w:r>
      <w:r>
        <w:rPr>
          <w:rFonts w:hint="eastAsia" w:ascii="Times New Roman" w:hAnsi="Times New Roman" w:cs="Times New Roman"/>
          <w:sz w:val="24"/>
        </w:rPr>
        <w:t>手持式以太网测试仪</w:t>
      </w:r>
      <w:r>
        <w:rPr>
          <w:rFonts w:hint="eastAsia" w:ascii="Times New Roman" w:hAnsi="Times New Roman" w:cs="Times New Roman"/>
          <w:sz w:val="24"/>
          <w:lang w:val="en-US" w:eastAsia="zh-CN"/>
        </w:rPr>
        <w:t>检测设备技术指标</w:t>
      </w:r>
    </w:p>
    <w:p>
      <w:pPr>
        <w:autoSpaceDE w:val="0"/>
        <w:autoSpaceDN w:val="0"/>
        <w:adjustRightInd w:val="0"/>
        <w:spacing w:line="360" w:lineRule="auto"/>
        <w:jc w:val="left"/>
        <w:rPr>
          <w:rFonts w:hint="eastAsia" w:ascii="Times New Roman" w:hAnsi="Times New Roman" w:cs="Times New Roman"/>
          <w:sz w:val="24"/>
          <w:lang w:eastAsia="zh-CN"/>
        </w:rPr>
      </w:pPr>
      <w:r>
        <w:rPr>
          <w:rFonts w:hint="eastAsia" w:ascii="Times New Roman" w:hAnsi="Times New Roman" w:cs="Times New Roman"/>
          <w:sz w:val="24"/>
          <w:lang w:val="en-US" w:eastAsia="zh-CN"/>
        </w:rPr>
        <w:t xml:space="preserve">6.1.1 </w:t>
      </w:r>
      <w:r>
        <w:rPr>
          <w:rFonts w:hint="eastAsia" w:ascii="Times New Roman" w:hAnsi="Times New Roman" w:cs="Times New Roman"/>
          <w:sz w:val="24"/>
        </w:rPr>
        <w:t>带有直观用户界面的高分辨率彩色触摸屏,适合在任何光线环境下进行</w:t>
      </w:r>
      <w:r>
        <w:rPr>
          <w:rFonts w:hint="eastAsia" w:ascii="Times New Roman" w:hAnsi="Times New Roman" w:cs="Times New Roman"/>
          <w:sz w:val="24"/>
          <w:lang w:val="en-US" w:eastAsia="zh-CN"/>
        </w:rPr>
        <w:t>阅读</w:t>
      </w:r>
      <w:r>
        <w:rPr>
          <w:rFonts w:hint="eastAsia" w:ascii="Times New Roman" w:hAnsi="Times New Roman" w:cs="Times New Roman"/>
          <w:sz w:val="24"/>
          <w:lang w:eastAsia="zh-CN"/>
        </w:rPr>
        <w:t>。</w:t>
      </w:r>
    </w:p>
    <w:p>
      <w:pPr>
        <w:autoSpaceDE w:val="0"/>
        <w:autoSpaceDN w:val="0"/>
        <w:adjustRightInd w:val="0"/>
        <w:spacing w:line="360" w:lineRule="auto"/>
        <w:jc w:val="left"/>
        <w:rPr>
          <w:rFonts w:hint="eastAsia" w:ascii="Times New Roman" w:hAnsi="Times New Roman" w:cs="Times New Roman"/>
          <w:sz w:val="24"/>
          <w:lang w:eastAsia="zh-CN"/>
        </w:rPr>
      </w:pPr>
      <w:r>
        <w:rPr>
          <w:rFonts w:hint="eastAsia" w:ascii="Times New Roman" w:hAnsi="Times New Roman" w:cs="Times New Roman"/>
          <w:sz w:val="24"/>
          <w:lang w:val="en-US" w:eastAsia="zh-CN"/>
        </w:rPr>
        <w:t xml:space="preserve">6.1.2 </w:t>
      </w:r>
      <w:r>
        <w:rPr>
          <w:rFonts w:hint="eastAsia" w:ascii="Times New Roman" w:hAnsi="Times New Roman" w:cs="Times New Roman"/>
          <w:sz w:val="24"/>
        </w:rPr>
        <w:t>具有强大和灵活功能,外观坚固的手持式仪表,适用于当今复杂的现场测试环境</w:t>
      </w:r>
      <w:r>
        <w:rPr>
          <w:rFonts w:hint="eastAsia" w:ascii="Times New Roman" w:hAnsi="Times New Roman" w:cs="Times New Roman"/>
          <w:sz w:val="24"/>
          <w:lang w:eastAsia="zh-CN"/>
        </w:rPr>
        <w:t>。</w:t>
      </w:r>
    </w:p>
    <w:p>
      <w:pPr>
        <w:autoSpaceDE w:val="0"/>
        <w:autoSpaceDN w:val="0"/>
        <w:adjustRightInd w:val="0"/>
        <w:spacing w:line="360" w:lineRule="auto"/>
        <w:jc w:val="left"/>
        <w:rPr>
          <w:rFonts w:hint="eastAsia" w:ascii="Times New Roman" w:hAnsi="Times New Roman" w:cs="Times New Roman"/>
          <w:sz w:val="24"/>
          <w:lang w:eastAsia="zh-CN"/>
        </w:rPr>
      </w:pPr>
      <w:r>
        <w:rPr>
          <w:rFonts w:hint="eastAsia" w:ascii="Times New Roman" w:hAnsi="Times New Roman" w:cs="Times New Roman"/>
          <w:sz w:val="24"/>
          <w:lang w:val="en-US" w:eastAsia="zh-CN"/>
        </w:rPr>
        <w:t xml:space="preserve">6.1.3 </w:t>
      </w:r>
      <w:r>
        <w:rPr>
          <w:rFonts w:hint="eastAsia" w:ascii="Times New Roman" w:hAnsi="Times New Roman" w:cs="Times New Roman"/>
          <w:sz w:val="24"/>
        </w:rPr>
        <w:t>通过仪表以太网口远端控制功能的应用,工程师可在远端快速参与管理控制仪表测试和服务验证</w:t>
      </w:r>
      <w:r>
        <w:rPr>
          <w:rFonts w:hint="eastAsia" w:ascii="Times New Roman" w:hAnsi="Times New Roman" w:cs="Times New Roman"/>
          <w:sz w:val="24"/>
          <w:lang w:eastAsia="zh-CN"/>
        </w:rPr>
        <w:t>。</w:t>
      </w:r>
    </w:p>
    <w:p>
      <w:pPr>
        <w:autoSpaceDE w:val="0"/>
        <w:autoSpaceDN w:val="0"/>
        <w:adjustRightInd w:val="0"/>
        <w:spacing w:line="360" w:lineRule="auto"/>
        <w:jc w:val="left"/>
        <w:rPr>
          <w:rFonts w:hint="eastAsia" w:ascii="Times New Roman" w:hAnsi="Times New Roman" w:cs="Times New Roman"/>
          <w:sz w:val="24"/>
        </w:rPr>
      </w:pPr>
      <w:r>
        <w:rPr>
          <w:rFonts w:hint="eastAsia" w:ascii="Times New Roman" w:hAnsi="Times New Roman" w:cs="Times New Roman"/>
          <w:sz w:val="24"/>
          <w:lang w:val="en-US" w:eastAsia="zh-CN"/>
        </w:rPr>
        <w:t xml:space="preserve">6.1.4 </w:t>
      </w:r>
      <w:r>
        <w:rPr>
          <w:rFonts w:hint="eastAsia" w:ascii="Times New Roman" w:hAnsi="Times New Roman" w:cs="Times New Roman"/>
          <w:sz w:val="24"/>
        </w:rPr>
        <w:t>通过用户自定义测试文件和阈值,保证用户快速进入测试并保证用户测试内容的一致性</w:t>
      </w:r>
      <w:r>
        <w:rPr>
          <w:rFonts w:hint="eastAsia" w:ascii="Times New Roman" w:hAnsi="Times New Roman" w:cs="Times New Roman"/>
          <w:sz w:val="24"/>
          <w:lang w:eastAsia="zh-CN"/>
        </w:rPr>
        <w:t>。</w:t>
      </w:r>
    </w:p>
    <w:p>
      <w:pPr>
        <w:autoSpaceDE w:val="0"/>
        <w:autoSpaceDN w:val="0"/>
        <w:adjustRightInd w:val="0"/>
        <w:spacing w:line="360" w:lineRule="auto"/>
        <w:jc w:val="left"/>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 xml:space="preserve">6.1.5 </w:t>
      </w:r>
      <w:r>
        <w:rPr>
          <w:rFonts w:hint="eastAsia" w:ascii="Times New Roman" w:hAnsi="Times New Roman" w:cs="Times New Roman"/>
          <w:sz w:val="24"/>
        </w:rPr>
        <w:t>USB 接口支持 FTP 文件的上传,这保证了用户测试结果的快速传送和存储</w:t>
      </w:r>
      <w:r>
        <w:rPr>
          <w:rFonts w:hint="eastAsia" w:ascii="Times New Roman" w:hAnsi="Times New Roman" w:cs="Times New Roman"/>
          <w:sz w:val="24"/>
          <w:lang w:eastAsia="zh-CN"/>
        </w:rPr>
        <w:t>；</w:t>
      </w:r>
      <w:r>
        <w:rPr>
          <w:rFonts w:hint="eastAsia" w:ascii="Times New Roman" w:hAnsi="Times New Roman" w:cs="Times New Roman"/>
          <w:sz w:val="24"/>
        </w:rPr>
        <w:t>先进的IP连通性测试: Ping, 路由跟踪</w:t>
      </w:r>
      <w:r>
        <w:rPr>
          <w:rFonts w:hint="eastAsia" w:ascii="Times New Roman" w:hAnsi="Times New Roman" w:cs="Times New Roman"/>
          <w:sz w:val="24"/>
          <w:lang w:eastAsia="zh-CN"/>
        </w:rPr>
        <w:t>。</w:t>
      </w:r>
    </w:p>
    <w:p>
      <w:pPr>
        <w:autoSpaceDE w:val="0"/>
        <w:autoSpaceDN w:val="0"/>
        <w:adjustRightInd w:val="0"/>
        <w:spacing w:line="360" w:lineRule="auto"/>
        <w:jc w:val="left"/>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 xml:space="preserve">6.1.6 </w:t>
      </w:r>
      <w:r>
        <w:rPr>
          <w:rFonts w:hint="eastAsia" w:ascii="Times New Roman" w:hAnsi="Times New Roman" w:cs="Times New Roman"/>
          <w:sz w:val="24"/>
        </w:rPr>
        <w:t>网页浏览和 FTP 文件上传/下载</w:t>
      </w:r>
      <w:r>
        <w:rPr>
          <w:rFonts w:hint="eastAsia" w:ascii="Times New Roman" w:hAnsi="Times New Roman" w:cs="Times New Roman"/>
          <w:sz w:val="24"/>
          <w:lang w:eastAsia="zh-CN"/>
        </w:rPr>
        <w:t>，</w:t>
      </w:r>
      <w:r>
        <w:rPr>
          <w:rFonts w:hint="eastAsia" w:ascii="Times New Roman" w:hAnsi="Times New Roman" w:cs="Times New Roman"/>
          <w:sz w:val="24"/>
        </w:rPr>
        <w:t>进行网线故障诊断和网络连通性验证</w:t>
      </w:r>
      <w:r>
        <w:rPr>
          <w:rFonts w:hint="eastAsia" w:ascii="Times New Roman" w:hAnsi="Times New Roman" w:cs="Times New Roman"/>
          <w:sz w:val="24"/>
          <w:lang w:eastAsia="zh-CN"/>
        </w:rPr>
        <w:t>。</w:t>
      </w:r>
    </w:p>
    <w:p>
      <w:pPr>
        <w:autoSpaceDE w:val="0"/>
        <w:autoSpaceDN w:val="0"/>
        <w:adjustRightInd w:val="0"/>
        <w:spacing w:line="360" w:lineRule="auto"/>
        <w:jc w:val="left"/>
        <w:rPr>
          <w:rFonts w:hint="default" w:ascii="Times New Roman" w:hAnsi="Times New Roman" w:cs="Times New Roman"/>
          <w:sz w:val="24"/>
        </w:rPr>
      </w:pPr>
      <w:r>
        <w:rPr>
          <w:rFonts w:hint="default" w:ascii="Times New Roman" w:hAnsi="Times New Roman" w:cs="Times New Roman"/>
          <w:sz w:val="24"/>
        </w:rPr>
        <w:t>6.2 检测具备条件</w:t>
      </w:r>
    </w:p>
    <w:p>
      <w:pPr>
        <w:autoSpaceDE w:val="0"/>
        <w:autoSpaceDN w:val="0"/>
        <w:adjustRightInd w:val="0"/>
        <w:spacing w:line="360" w:lineRule="auto"/>
        <w:jc w:val="left"/>
        <w:rPr>
          <w:rFonts w:hint="default" w:ascii="Times New Roman" w:hAnsi="Times New Roman" w:cs="Times New Roman"/>
          <w:sz w:val="24"/>
        </w:rPr>
      </w:pPr>
      <w:r>
        <w:rPr>
          <w:rFonts w:hint="default" w:ascii="Times New Roman" w:hAnsi="Times New Roman" w:cs="Times New Roman"/>
          <w:sz w:val="24"/>
        </w:rPr>
        <w:t>6.2.</w:t>
      </w:r>
      <w:r>
        <w:rPr>
          <w:rFonts w:hint="eastAsia" w:ascii="Times New Roman" w:hAnsi="Times New Roman" w:cs="Times New Roman"/>
          <w:sz w:val="24"/>
          <w:lang w:val="en-US" w:eastAsia="zh-CN"/>
        </w:rPr>
        <w:t>1</w:t>
      </w:r>
      <w:r>
        <w:rPr>
          <w:rFonts w:hint="default" w:ascii="Times New Roman" w:hAnsi="Times New Roman" w:cs="Times New Roman"/>
          <w:sz w:val="24"/>
        </w:rPr>
        <w:t xml:space="preserve"> DCS的硬件和软件应按照制造厂的说明书和有关标准完成安装和调试，并已投入连续运行。</w:t>
      </w:r>
    </w:p>
    <w:p>
      <w:pPr>
        <w:autoSpaceDE w:val="0"/>
        <w:autoSpaceDN w:val="0"/>
        <w:adjustRightInd w:val="0"/>
        <w:spacing w:line="360" w:lineRule="auto"/>
        <w:jc w:val="left"/>
        <w:rPr>
          <w:rFonts w:hint="eastAsia" w:ascii="Times New Roman" w:hAnsi="Times New Roman" w:cs="Times New Roman"/>
          <w:sz w:val="24"/>
        </w:rPr>
      </w:pPr>
      <w:r>
        <w:rPr>
          <w:rFonts w:hint="default" w:ascii="Times New Roman" w:hAnsi="Times New Roman" w:cs="Times New Roman"/>
          <w:sz w:val="24"/>
        </w:rPr>
        <w:t>6.2.</w:t>
      </w:r>
      <w:r>
        <w:rPr>
          <w:rFonts w:hint="eastAsia" w:ascii="Times New Roman" w:hAnsi="Times New Roman" w:cs="Times New Roman"/>
          <w:sz w:val="24"/>
          <w:lang w:val="en-US" w:eastAsia="zh-CN"/>
        </w:rPr>
        <w:t>2</w:t>
      </w:r>
      <w:r>
        <w:rPr>
          <w:rFonts w:hint="default" w:ascii="Times New Roman" w:hAnsi="Times New Roman" w:cs="Times New Roman"/>
          <w:sz w:val="24"/>
        </w:rPr>
        <w:t xml:space="preserve"> DCS的中央处理单元（CPU）负荷率、</w:t>
      </w:r>
      <w:r>
        <w:rPr>
          <w:rFonts w:hint="eastAsia" w:ascii="Times New Roman" w:hAnsi="Times New Roman" w:cs="Times New Roman"/>
          <w:sz w:val="24"/>
          <w:lang w:eastAsia="zh-CN"/>
        </w:rPr>
        <w:t>通信</w:t>
      </w:r>
      <w:r>
        <w:rPr>
          <w:rFonts w:hint="default" w:ascii="Times New Roman" w:hAnsi="Times New Roman" w:cs="Times New Roman"/>
          <w:sz w:val="24"/>
        </w:rPr>
        <w:t>负荷率的测试</w:t>
      </w:r>
      <w:r>
        <w:rPr>
          <w:rFonts w:hint="default" w:ascii="Times New Roman" w:hAnsi="Times New Roman" w:cs="Times New Roman"/>
          <w:sz w:val="24"/>
          <w:lang w:eastAsia="zh-CN"/>
        </w:rPr>
        <w:t>按照相关标准</w:t>
      </w:r>
      <w:r>
        <w:rPr>
          <w:rFonts w:hint="default" w:ascii="Times New Roman" w:hAnsi="Times New Roman" w:cs="Times New Roman"/>
          <w:sz w:val="24"/>
        </w:rPr>
        <w:t>，经用户认可后方可作为测试方法使用，作为考核CPU负荷率和</w:t>
      </w:r>
      <w:r>
        <w:rPr>
          <w:rFonts w:hint="eastAsia" w:ascii="Times New Roman" w:hAnsi="Times New Roman" w:cs="Times New Roman"/>
          <w:sz w:val="24"/>
          <w:lang w:eastAsia="zh-CN"/>
        </w:rPr>
        <w:t>通信</w:t>
      </w:r>
      <w:r>
        <w:rPr>
          <w:rFonts w:hint="default" w:ascii="Times New Roman" w:hAnsi="Times New Roman" w:cs="Times New Roman"/>
          <w:sz w:val="24"/>
        </w:rPr>
        <w:t>负荷率的依据。</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0"/>
        <w:rPr>
          <w:rFonts w:hint="eastAsia" w:ascii="黑体" w:hAnsi="黑体" w:eastAsia="黑体" w:cs="黑体"/>
          <w:b/>
          <w:bCs/>
          <w:kern w:val="44"/>
          <w:sz w:val="24"/>
          <w:szCs w:val="24"/>
        </w:rPr>
      </w:pPr>
      <w:bookmarkStart w:id="29" w:name="_Toc5790"/>
      <w:r>
        <w:rPr>
          <w:rFonts w:hint="eastAsia" w:ascii="黑体" w:hAnsi="黑体" w:eastAsia="黑体" w:cs="黑体"/>
          <w:b/>
          <w:bCs/>
          <w:kern w:val="44"/>
          <w:sz w:val="24"/>
          <w:szCs w:val="24"/>
        </w:rPr>
        <w:t>7 检测内容</w:t>
      </w:r>
      <w:bookmarkEnd w:id="29"/>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cs="Times New Roman"/>
          <w:sz w:val="24"/>
          <w:lang w:val="en-US" w:eastAsia="zh-CN"/>
        </w:rPr>
      </w:pPr>
      <w:r>
        <w:rPr>
          <w:rFonts w:hint="eastAsia" w:cs="Times New Roman"/>
          <w:sz w:val="24"/>
          <w:lang w:val="en-US" w:eastAsia="zh-CN"/>
        </w:rPr>
        <w:t xml:space="preserve">7.1 </w:t>
      </w:r>
      <w:r>
        <w:rPr>
          <w:rFonts w:hint="default" w:ascii="Times New Roman" w:hAnsi="Times New Roman" w:cs="Times New Roman"/>
          <w:sz w:val="24"/>
        </w:rPr>
        <w:t>DCS网络</w:t>
      </w:r>
      <w:r>
        <w:rPr>
          <w:rFonts w:hint="eastAsia" w:cs="Times New Roman"/>
          <w:sz w:val="24"/>
          <w:lang w:eastAsia="zh-CN"/>
        </w:rPr>
        <w:t>通信</w:t>
      </w:r>
      <w:r>
        <w:rPr>
          <w:rFonts w:hint="default" w:ascii="Times New Roman" w:hAnsi="Times New Roman" w:cs="Times New Roman"/>
          <w:sz w:val="24"/>
        </w:rPr>
        <w:t>迟延测试（测试传输介质损耗、</w:t>
      </w:r>
      <w:r>
        <w:rPr>
          <w:rFonts w:hint="default" w:ascii="Times New Roman" w:hAnsi="Times New Roman" w:cs="Times New Roman"/>
        </w:rPr>
        <w:fldChar w:fldCharType="begin"/>
      </w:r>
      <w:r>
        <w:rPr>
          <w:rFonts w:hint="default" w:ascii="Times New Roman" w:hAnsi="Times New Roman" w:cs="Times New Roman"/>
        </w:rPr>
        <w:instrText xml:space="preserve"> HYPERLINK "http://www.faxytech.com/archives/insertion-loss.html" \o "衰减" </w:instrText>
      </w:r>
      <w:r>
        <w:rPr>
          <w:rFonts w:hint="default" w:ascii="Times New Roman" w:hAnsi="Times New Roman" w:cs="Times New Roman"/>
        </w:rPr>
        <w:fldChar w:fldCharType="separate"/>
      </w:r>
      <w:r>
        <w:rPr>
          <w:rFonts w:hint="default" w:ascii="Times New Roman" w:hAnsi="Times New Roman" w:cs="Times New Roman"/>
          <w:sz w:val="24"/>
        </w:rPr>
        <w:t>衰减</w:t>
      </w:r>
      <w:r>
        <w:rPr>
          <w:rFonts w:hint="default" w:ascii="Times New Roman" w:hAnsi="Times New Roman" w:cs="Times New Roman"/>
          <w:sz w:val="24"/>
        </w:rPr>
        <w:fldChar w:fldCharType="end"/>
      </w:r>
      <w:r>
        <w:rPr>
          <w:rFonts w:hint="default" w:ascii="Times New Roman" w:hAnsi="Times New Roman" w:cs="Times New Roman"/>
          <w:sz w:val="24"/>
        </w:rPr>
        <w:t>、</w:t>
      </w:r>
      <w:r>
        <w:rPr>
          <w:rFonts w:hint="default" w:ascii="Times New Roman" w:hAnsi="Times New Roman" w:cs="Times New Roman"/>
        </w:rPr>
        <w:fldChar w:fldCharType="begin"/>
      </w:r>
      <w:r>
        <w:rPr>
          <w:rFonts w:hint="default" w:ascii="Times New Roman" w:hAnsi="Times New Roman" w:cs="Times New Roman"/>
        </w:rPr>
        <w:instrText xml:space="preserve"> HYPERLINK "http://www.faxytech.com/archives/delay-skew.html" \o "传输延时" </w:instrText>
      </w:r>
      <w:r>
        <w:rPr>
          <w:rFonts w:hint="default" w:ascii="Times New Roman" w:hAnsi="Times New Roman" w:cs="Times New Roman"/>
        </w:rPr>
        <w:fldChar w:fldCharType="separate"/>
      </w:r>
      <w:r>
        <w:rPr>
          <w:rFonts w:hint="default" w:ascii="Times New Roman" w:hAnsi="Times New Roman" w:cs="Times New Roman"/>
          <w:sz w:val="24"/>
        </w:rPr>
        <w:t>传输延时</w:t>
      </w:r>
      <w:r>
        <w:rPr>
          <w:rFonts w:hint="default" w:ascii="Times New Roman" w:hAnsi="Times New Roman" w:cs="Times New Roman"/>
          <w:sz w:val="24"/>
        </w:rPr>
        <w:fldChar w:fldCharType="end"/>
      </w:r>
      <w:r>
        <w:rPr>
          <w:rFonts w:hint="default" w:ascii="Times New Roman" w:hAnsi="Times New Roman" w:cs="Times New Roman"/>
          <w:sz w:val="24"/>
        </w:rPr>
        <w:t>、时延偏离等参数）</w:t>
      </w:r>
      <w:r>
        <w:rPr>
          <w:rFonts w:hint="eastAsia" w:cs="Times New Roman"/>
          <w:sz w:val="24"/>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sz w:val="24"/>
        </w:rPr>
      </w:pPr>
      <w:r>
        <w:rPr>
          <w:rFonts w:hint="eastAsia" w:cs="Times New Roman"/>
          <w:sz w:val="24"/>
          <w:lang w:val="en-US" w:eastAsia="zh-CN"/>
        </w:rPr>
        <w:t xml:space="preserve">7.2 </w:t>
      </w:r>
      <w:r>
        <w:rPr>
          <w:rFonts w:hint="default" w:ascii="Times New Roman" w:hAnsi="Times New Roman" w:cs="Times New Roman"/>
          <w:sz w:val="24"/>
        </w:rPr>
        <w:t>DCS网络性能测试（多协议兼容、峰值流量统计等）、CPU不同工况下负荷率测试等工作。</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0"/>
        <w:rPr>
          <w:rFonts w:hint="eastAsia" w:ascii="黑体" w:hAnsi="黑体" w:eastAsia="黑体" w:cs="黑体"/>
          <w:b/>
          <w:bCs/>
          <w:kern w:val="44"/>
          <w:sz w:val="24"/>
          <w:szCs w:val="24"/>
        </w:rPr>
      </w:pPr>
      <w:bookmarkStart w:id="30" w:name="_Toc9692"/>
      <w:r>
        <w:rPr>
          <w:rFonts w:hint="eastAsia" w:ascii="黑体" w:hAnsi="黑体" w:eastAsia="黑体" w:cs="黑体"/>
          <w:b/>
          <w:bCs/>
          <w:kern w:val="44"/>
          <w:sz w:val="24"/>
          <w:szCs w:val="24"/>
        </w:rPr>
        <w:t>8 检测的方法</w:t>
      </w:r>
      <w:bookmarkEnd w:id="3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1"/>
        <w:rPr>
          <w:rFonts w:hint="default" w:ascii="Times New Roman" w:hAnsi="Times New Roman" w:cs="Times New Roman"/>
          <w:bCs/>
          <w:sz w:val="24"/>
        </w:rPr>
      </w:pPr>
      <w:bookmarkStart w:id="31" w:name="_Toc2382"/>
      <w:r>
        <w:rPr>
          <w:rFonts w:hint="default" w:ascii="Times New Roman" w:hAnsi="Times New Roman" w:cs="Times New Roman"/>
          <w:bCs/>
          <w:sz w:val="24"/>
        </w:rPr>
        <w:t>8.1 DCS网络</w:t>
      </w:r>
      <w:r>
        <w:rPr>
          <w:rFonts w:hint="eastAsia" w:cs="Times New Roman"/>
          <w:bCs/>
          <w:sz w:val="24"/>
          <w:lang w:eastAsia="zh-CN"/>
        </w:rPr>
        <w:t>通信</w:t>
      </w:r>
      <w:r>
        <w:rPr>
          <w:rFonts w:hint="default" w:ascii="Times New Roman" w:hAnsi="Times New Roman" w:cs="Times New Roman"/>
          <w:bCs/>
          <w:sz w:val="24"/>
        </w:rPr>
        <w:t>迟延测试（静态测试）</w:t>
      </w:r>
      <w:bookmarkEnd w:id="31"/>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8.1.1 检查交换机、控制器单元、服务器、操作员站、打印机、时钟校验装置</w:t>
      </w:r>
      <w:r>
        <w:rPr>
          <w:rFonts w:hint="default" w:ascii="Times New Roman" w:hAnsi="Times New Roman" w:cs="Times New Roman"/>
          <w:bCs/>
          <w:sz w:val="24"/>
          <w:lang w:eastAsia="zh-CN"/>
        </w:rPr>
        <w:t>、</w:t>
      </w:r>
      <w:r>
        <w:rPr>
          <w:rFonts w:hint="default" w:ascii="Times New Roman" w:hAnsi="Times New Roman" w:cs="Times New Roman"/>
          <w:bCs/>
          <w:sz w:val="24"/>
        </w:rPr>
        <w:t>外围设备网络连接</w:t>
      </w:r>
      <w:r>
        <w:rPr>
          <w:rFonts w:hint="default" w:ascii="Times New Roman" w:hAnsi="Times New Roman" w:cs="Times New Roman"/>
          <w:bCs/>
          <w:sz w:val="24"/>
          <w:lang w:eastAsia="zh-CN"/>
        </w:rPr>
        <w:t>、</w:t>
      </w:r>
      <w:r>
        <w:rPr>
          <w:rFonts w:hint="default" w:ascii="Times New Roman" w:hAnsi="Times New Roman" w:cs="Times New Roman"/>
          <w:bCs/>
          <w:sz w:val="24"/>
        </w:rPr>
        <w:t>IP地址设置与DCS厂家提供的软件拓扑图一致。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8.1.2 设备上电后采取网络命令“ping”或者网络</w:t>
      </w:r>
      <w:r>
        <w:rPr>
          <w:rFonts w:hint="eastAsia" w:cs="Times New Roman"/>
          <w:bCs/>
          <w:sz w:val="24"/>
          <w:lang w:eastAsia="zh-CN"/>
        </w:rPr>
        <w:t>通信</w:t>
      </w:r>
      <w:r>
        <w:rPr>
          <w:rFonts w:hint="default" w:ascii="Times New Roman" w:hAnsi="Times New Roman" w:cs="Times New Roman"/>
          <w:bCs/>
          <w:sz w:val="24"/>
        </w:rPr>
        <w:t>测试设备对整组环路进行网络</w:t>
      </w:r>
      <w:r>
        <w:rPr>
          <w:rFonts w:hint="eastAsia" w:cs="Times New Roman"/>
          <w:bCs/>
          <w:sz w:val="24"/>
          <w:lang w:eastAsia="zh-CN"/>
        </w:rPr>
        <w:t>通信</w:t>
      </w:r>
      <w:r>
        <w:rPr>
          <w:rFonts w:hint="default" w:ascii="Times New Roman" w:hAnsi="Times New Roman" w:cs="Times New Roman"/>
          <w:bCs/>
          <w:sz w:val="24"/>
        </w:rPr>
        <w:t>迟延测试。分别测试5次，求取网络</w:t>
      </w:r>
      <w:r>
        <w:rPr>
          <w:rFonts w:hint="eastAsia" w:cs="Times New Roman"/>
          <w:bCs/>
          <w:sz w:val="24"/>
          <w:lang w:eastAsia="zh-CN"/>
        </w:rPr>
        <w:t>通信</w:t>
      </w:r>
      <w:r>
        <w:rPr>
          <w:rFonts w:hint="default" w:ascii="Times New Roman" w:hAnsi="Times New Roman" w:cs="Times New Roman"/>
          <w:bCs/>
          <w:sz w:val="24"/>
        </w:rPr>
        <w:t>迟延平均值。</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8.1.3 断开冗余网络配置，重复8.1.2步续，求取网络</w:t>
      </w:r>
      <w:r>
        <w:rPr>
          <w:rFonts w:hint="eastAsia" w:cs="Times New Roman"/>
          <w:bCs/>
          <w:sz w:val="24"/>
          <w:lang w:eastAsia="zh-CN"/>
        </w:rPr>
        <w:t>通信</w:t>
      </w:r>
      <w:r>
        <w:rPr>
          <w:rFonts w:hint="default" w:ascii="Times New Roman" w:hAnsi="Times New Roman" w:cs="Times New Roman"/>
          <w:bCs/>
          <w:sz w:val="24"/>
        </w:rPr>
        <w:t>迟延平均值。</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8.1.4 汇总8.1.2和8.1.3数据，加权平均后作为最终有效网络</w:t>
      </w:r>
      <w:r>
        <w:rPr>
          <w:rFonts w:hint="eastAsia" w:cs="Times New Roman"/>
          <w:bCs/>
          <w:sz w:val="24"/>
          <w:lang w:eastAsia="zh-CN"/>
        </w:rPr>
        <w:t>通信</w:t>
      </w:r>
      <w:r>
        <w:rPr>
          <w:rFonts w:hint="default" w:ascii="Times New Roman" w:hAnsi="Times New Roman" w:cs="Times New Roman"/>
          <w:bCs/>
          <w:sz w:val="24"/>
        </w:rPr>
        <w:t>迟延测试结果。</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1"/>
        <w:rPr>
          <w:rFonts w:hint="default" w:ascii="Times New Roman" w:hAnsi="Times New Roman" w:cs="Times New Roman"/>
          <w:bCs/>
          <w:sz w:val="24"/>
        </w:rPr>
      </w:pPr>
      <w:bookmarkStart w:id="32" w:name="_Toc12708"/>
      <w:r>
        <w:rPr>
          <w:rFonts w:hint="default" w:ascii="Times New Roman" w:hAnsi="Times New Roman" w:cs="Times New Roman"/>
          <w:bCs/>
          <w:sz w:val="24"/>
        </w:rPr>
        <w:t>8.2 DCS网络性能测试（动态测试）</w:t>
      </w:r>
      <w:bookmarkEnd w:id="32"/>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8.2.1 网络性能测试，采用</w:t>
      </w:r>
      <w:r>
        <w:rPr>
          <w:rFonts w:hint="default" w:ascii="Times New Roman" w:hAnsi="Times New Roman" w:cs="Times New Roman"/>
          <w:bCs/>
          <w:sz w:val="24"/>
          <w:lang w:val="en-US" w:eastAsia="zh-CN"/>
        </w:rPr>
        <w:t>DCS</w:t>
      </w:r>
      <w:r>
        <w:rPr>
          <w:rFonts w:hint="default" w:ascii="Times New Roman" w:hAnsi="Times New Roman" w:cs="Times New Roman"/>
          <w:bCs/>
          <w:sz w:val="24"/>
        </w:rPr>
        <w:t>系统接口向DCS网络系统不断加大发包、收包数据量，记录网络负荷率峰值流量。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eastAsia="宋体" w:cs="Times New Roman"/>
          <w:bCs/>
          <w:sz w:val="24"/>
          <w:lang w:val="en-US" w:eastAsia="zh-CN"/>
        </w:rPr>
      </w:pPr>
      <w:r>
        <w:rPr>
          <w:rFonts w:hint="default" w:ascii="Times New Roman" w:hAnsi="Times New Roman" w:cs="Times New Roman"/>
          <w:bCs/>
          <w:sz w:val="24"/>
        </w:rPr>
        <w:t>8.2.2 采用第三方软件（锅炉壁温</w:t>
      </w:r>
      <w:r>
        <w:rPr>
          <w:rFonts w:hint="eastAsia" w:cs="Times New Roman"/>
          <w:bCs/>
          <w:sz w:val="24"/>
          <w:lang w:eastAsia="zh-CN"/>
        </w:rPr>
        <w:t>通信</w:t>
      </w:r>
      <w:r>
        <w:rPr>
          <w:rFonts w:hint="default" w:ascii="Times New Roman" w:hAnsi="Times New Roman" w:cs="Times New Roman"/>
          <w:bCs/>
          <w:sz w:val="24"/>
        </w:rPr>
        <w:t>、汽机IDAS</w:t>
      </w:r>
      <w:r>
        <w:rPr>
          <w:rFonts w:hint="eastAsia" w:cs="Times New Roman"/>
          <w:bCs/>
          <w:sz w:val="24"/>
          <w:lang w:eastAsia="zh-CN"/>
        </w:rPr>
        <w:t>通信</w:t>
      </w:r>
      <w:r>
        <w:rPr>
          <w:rFonts w:hint="default" w:ascii="Times New Roman" w:hAnsi="Times New Roman" w:cs="Times New Roman"/>
          <w:bCs/>
          <w:sz w:val="24"/>
        </w:rPr>
        <w:t>）进行网络兼容性测试，验证系统容错率和迟延性。</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8.2.3 针对不同机组负荷、特别是机组启停机工况下测试并记录其</w:t>
      </w:r>
      <w:r>
        <w:rPr>
          <w:rFonts w:hint="eastAsia" w:cs="Times New Roman"/>
          <w:bCs/>
          <w:sz w:val="24"/>
          <w:lang w:eastAsia="zh-CN"/>
        </w:rPr>
        <w:t>通信</w:t>
      </w:r>
      <w:r>
        <w:rPr>
          <w:rFonts w:hint="default" w:ascii="Times New Roman" w:hAnsi="Times New Roman" w:cs="Times New Roman"/>
          <w:bCs/>
          <w:sz w:val="24"/>
        </w:rPr>
        <w:t>负荷率峰值。</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8.2.4 汇总8.2.1～8.</w:t>
      </w:r>
      <w:r>
        <w:rPr>
          <w:rFonts w:hint="eastAsia" w:cs="Times New Roman"/>
          <w:bCs/>
          <w:sz w:val="24"/>
          <w:lang w:val="en-US" w:eastAsia="zh-CN"/>
        </w:rPr>
        <w:t>2</w:t>
      </w:r>
      <w:r>
        <w:rPr>
          <w:rFonts w:hint="default" w:ascii="Times New Roman" w:hAnsi="Times New Roman" w:cs="Times New Roman"/>
          <w:bCs/>
          <w:sz w:val="24"/>
        </w:rPr>
        <w:t>.3数据，加权平均后作为最终有效网络</w:t>
      </w:r>
      <w:r>
        <w:rPr>
          <w:rFonts w:hint="eastAsia" w:cs="Times New Roman"/>
          <w:bCs/>
          <w:sz w:val="24"/>
          <w:lang w:eastAsia="zh-CN"/>
        </w:rPr>
        <w:t>通信</w:t>
      </w:r>
      <w:r>
        <w:rPr>
          <w:rFonts w:hint="default" w:ascii="Times New Roman" w:hAnsi="Times New Roman" w:cs="Times New Roman"/>
          <w:bCs/>
          <w:sz w:val="24"/>
        </w:rPr>
        <w:t>迟延测试结果。</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8.3 控制器（CPU）负荷率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sz w:val="24"/>
        </w:rPr>
      </w:pPr>
      <w:r>
        <w:rPr>
          <w:rFonts w:hint="default" w:ascii="Times New Roman" w:hAnsi="Times New Roman" w:cs="Times New Roman"/>
          <w:sz w:val="24"/>
        </w:rPr>
        <w:t>8.3.</w:t>
      </w:r>
      <w:r>
        <w:rPr>
          <w:rFonts w:hint="eastAsia" w:cs="Times New Roman"/>
          <w:sz w:val="24"/>
          <w:lang w:val="en-US" w:eastAsia="zh-CN"/>
        </w:rPr>
        <w:t>1</w:t>
      </w:r>
      <w:r>
        <w:rPr>
          <w:rFonts w:hint="default" w:ascii="Times New Roman" w:hAnsi="Times New Roman" w:cs="Times New Roman"/>
          <w:sz w:val="24"/>
        </w:rPr>
        <w:t xml:space="preserve"> 控制器内增加软件分别测取开关量逻辑块、模拟量逻辑块运算累计，分别测试5次</w:t>
      </w:r>
      <w:r>
        <w:rPr>
          <w:rFonts w:hint="default" w:ascii="Times New Roman" w:hAnsi="Times New Roman" w:cs="Times New Roman"/>
          <w:sz w:val="24"/>
          <w:lang w:val="en-US" w:eastAsia="zh-CN"/>
        </w:rPr>
        <w:t>,</w:t>
      </w:r>
      <w:r>
        <w:rPr>
          <w:rFonts w:hint="default" w:ascii="Times New Roman" w:hAnsi="Times New Roman" w:cs="Times New Roman"/>
          <w:sz w:val="24"/>
        </w:rPr>
        <w:t>求取平均值</w:t>
      </w:r>
      <w:r>
        <w:rPr>
          <w:rFonts w:hint="default" w:ascii="Times New Roman" w:hAnsi="Times New Roman" w:cs="Times New Roman"/>
          <w:sz w:val="24"/>
          <w:lang w:val="en-US" w:eastAsia="zh-CN"/>
        </w:rPr>
        <w:t>,</w:t>
      </w:r>
      <w:r>
        <w:rPr>
          <w:rFonts w:hint="default" w:ascii="Times New Roman" w:hAnsi="Times New Roman" w:cs="Times New Roman"/>
          <w:sz w:val="24"/>
        </w:rPr>
        <w:t>验证控制器设置扫描周期与实测计算周期偏差。</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sz w:val="24"/>
        </w:rPr>
        <w:t>8.3.</w:t>
      </w:r>
      <w:r>
        <w:rPr>
          <w:rFonts w:hint="eastAsia" w:cs="Times New Roman"/>
          <w:sz w:val="24"/>
          <w:lang w:val="en-US" w:eastAsia="zh-CN"/>
        </w:rPr>
        <w:t>2</w:t>
      </w:r>
      <w:r>
        <w:rPr>
          <w:rFonts w:hint="default" w:ascii="Times New Roman" w:hAnsi="Times New Roman" w:cs="Times New Roman"/>
          <w:sz w:val="24"/>
        </w:rPr>
        <w:t xml:space="preserve"> </w:t>
      </w:r>
      <w:r>
        <w:rPr>
          <w:rFonts w:hint="default" w:ascii="Times New Roman" w:hAnsi="Times New Roman" w:cs="Times New Roman"/>
          <w:bCs/>
          <w:sz w:val="24"/>
        </w:rPr>
        <w:t>针对不同机组负荷、特别是机组启停机工况下测试并记录控制器负荷率。</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Cs/>
          <w:sz w:val="24"/>
        </w:rPr>
      </w:pPr>
      <w:r>
        <w:rPr>
          <w:rFonts w:hint="default" w:ascii="Times New Roman" w:hAnsi="Times New Roman" w:cs="Times New Roman"/>
          <w:bCs/>
          <w:sz w:val="24"/>
        </w:rPr>
        <w:t>8.3.</w:t>
      </w:r>
      <w:r>
        <w:rPr>
          <w:rFonts w:hint="eastAsia" w:cs="Times New Roman"/>
          <w:bCs/>
          <w:sz w:val="24"/>
          <w:lang w:val="en-US" w:eastAsia="zh-CN"/>
        </w:rPr>
        <w:t>3</w:t>
      </w:r>
      <w:r>
        <w:rPr>
          <w:rFonts w:hint="default" w:ascii="Times New Roman" w:hAnsi="Times New Roman" w:cs="Times New Roman"/>
          <w:bCs/>
          <w:sz w:val="24"/>
        </w:rPr>
        <w:t xml:space="preserve"> 根据实测控制器负荷率验证是否小于技术指标要求。若不满足，需要对控制器内组态进行精简、优化或者扩容后，重新进行测试直至满足技术指标为止。</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0"/>
        <w:rPr>
          <w:rFonts w:hint="eastAsia" w:ascii="黑体" w:hAnsi="黑体" w:eastAsia="黑体" w:cs="黑体"/>
          <w:b/>
          <w:bCs/>
          <w:kern w:val="44"/>
          <w:sz w:val="24"/>
          <w:szCs w:val="24"/>
        </w:rPr>
      </w:pPr>
      <w:bookmarkStart w:id="33" w:name="_Toc28172"/>
      <w:r>
        <w:rPr>
          <w:rFonts w:hint="eastAsia" w:ascii="黑体" w:hAnsi="黑体" w:eastAsia="黑体" w:cs="黑体"/>
          <w:b/>
          <w:bCs/>
          <w:kern w:val="44"/>
          <w:sz w:val="24"/>
          <w:szCs w:val="24"/>
        </w:rPr>
        <w:t>9 检测结果</w:t>
      </w:r>
      <w:bookmarkEnd w:id="33"/>
      <w:r>
        <w:rPr>
          <w:rFonts w:hint="eastAsia" w:ascii="黑体" w:hAnsi="黑体" w:eastAsia="黑体" w:cs="黑体"/>
          <w:b/>
          <w:bCs/>
          <w:kern w:val="44"/>
          <w:sz w:val="24"/>
          <w:szCs w:val="24"/>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附录</w:t>
      </w:r>
      <w:r>
        <w:rPr>
          <w:rFonts w:hint="eastAsia" w:cs="Times New Roman"/>
          <w:sz w:val="24"/>
          <w:lang w:val="en-US" w:eastAsia="zh-CN"/>
        </w:rPr>
        <w:t>A</w:t>
      </w:r>
      <w:r>
        <w:rPr>
          <w:rFonts w:hint="eastAsia" w:ascii="Times New Roman" w:hAnsi="Times New Roman" w:cs="Times New Roman"/>
          <w:sz w:val="24"/>
          <w:lang w:val="en-US" w:eastAsia="zh-CN"/>
        </w:rPr>
        <w:t xml:space="preserve">  网络端口数据</w:t>
      </w:r>
      <w:r>
        <w:rPr>
          <w:rFonts w:hint="eastAsia" w:cs="Times New Roman"/>
          <w:sz w:val="24"/>
          <w:lang w:val="en-US" w:eastAsia="zh-CN"/>
        </w:rPr>
        <w:t>通信</w:t>
      </w:r>
      <w:r>
        <w:rPr>
          <w:rFonts w:hint="eastAsia" w:ascii="Times New Roman" w:hAnsi="Times New Roman" w:cs="Times New Roman"/>
          <w:sz w:val="24"/>
          <w:lang w:val="en-US" w:eastAsia="zh-CN"/>
        </w:rPr>
        <w:t>总线的负荷率检测记录</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附录</w:t>
      </w:r>
      <w:r>
        <w:rPr>
          <w:rFonts w:hint="eastAsia" w:cs="Times New Roman"/>
          <w:sz w:val="24"/>
          <w:lang w:val="en-US" w:eastAsia="zh-CN"/>
        </w:rPr>
        <w:t>B</w:t>
      </w:r>
      <w:r>
        <w:rPr>
          <w:rFonts w:hint="eastAsia" w:ascii="Times New Roman" w:hAnsi="Times New Roman" w:cs="Times New Roman"/>
          <w:sz w:val="24"/>
          <w:lang w:val="en-US" w:eastAsia="zh-CN"/>
        </w:rPr>
        <w:t xml:space="preserve">  DCS现场控制站CPU负荷率检测记录</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附录</w:t>
      </w:r>
      <w:r>
        <w:rPr>
          <w:rFonts w:hint="eastAsia" w:cs="Times New Roman"/>
          <w:sz w:val="24"/>
          <w:lang w:val="en-US" w:eastAsia="zh-CN"/>
        </w:rPr>
        <w:t>C</w:t>
      </w:r>
      <w:r>
        <w:rPr>
          <w:rFonts w:hint="eastAsia" w:ascii="Times New Roman" w:hAnsi="Times New Roman" w:cs="Times New Roman"/>
          <w:sz w:val="24"/>
          <w:lang w:val="en-US" w:eastAsia="zh-CN"/>
        </w:rPr>
        <w:t xml:space="preserve">  DCS</w:t>
      </w:r>
      <w:r>
        <w:rPr>
          <w:rFonts w:hint="eastAsia" w:cs="Times New Roman"/>
          <w:sz w:val="24"/>
          <w:lang w:val="en-US" w:eastAsia="zh-CN"/>
        </w:rPr>
        <w:t>操作员</w:t>
      </w:r>
      <w:r>
        <w:rPr>
          <w:rFonts w:hint="eastAsia" w:ascii="Times New Roman" w:hAnsi="Times New Roman" w:cs="Times New Roman"/>
          <w:sz w:val="24"/>
          <w:lang w:val="en-US" w:eastAsia="zh-CN"/>
        </w:rPr>
        <w:t>站负荷率检测记录</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附录</w:t>
      </w:r>
      <w:r>
        <w:rPr>
          <w:rFonts w:hint="eastAsia" w:cs="Times New Roman"/>
          <w:sz w:val="24"/>
          <w:lang w:val="en-US" w:eastAsia="zh-CN"/>
        </w:rPr>
        <w:t>D</w:t>
      </w:r>
      <w:r>
        <w:rPr>
          <w:rFonts w:hint="eastAsia" w:ascii="Times New Roman" w:hAnsi="Times New Roman" w:cs="Times New Roman"/>
          <w:sz w:val="24"/>
          <w:lang w:val="en-US" w:eastAsia="zh-CN"/>
        </w:rPr>
        <w:t xml:space="preserve"> </w:t>
      </w:r>
      <w:r>
        <w:rPr>
          <w:rFonts w:hint="eastAsia" w:cs="Times New Roman"/>
          <w:sz w:val="24"/>
          <w:lang w:val="en-US" w:eastAsia="zh-CN"/>
        </w:rPr>
        <w:t xml:space="preserve"> </w:t>
      </w:r>
      <w:r>
        <w:rPr>
          <w:rFonts w:hint="eastAsia" w:ascii="Times New Roman" w:hAnsi="Times New Roman" w:cs="Times New Roman"/>
          <w:sz w:val="24"/>
          <w:lang w:val="en-US" w:eastAsia="zh-CN"/>
        </w:rPr>
        <w:t>DCS</w:t>
      </w:r>
      <w:r>
        <w:rPr>
          <w:rFonts w:hint="eastAsia" w:cs="Times New Roman"/>
          <w:sz w:val="24"/>
          <w:lang w:val="en-US" w:eastAsia="zh-CN"/>
        </w:rPr>
        <w:t>通信</w:t>
      </w:r>
      <w:r>
        <w:rPr>
          <w:rFonts w:hint="eastAsia" w:ascii="Times New Roman" w:hAnsi="Times New Roman" w:cs="Times New Roman"/>
          <w:sz w:val="24"/>
          <w:lang w:val="en-US" w:eastAsia="zh-CN"/>
        </w:rPr>
        <w:t>负荷率检测报告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1"/>
        <w:rPr>
          <w:rFonts w:hint="eastAsia" w:ascii="Times New Roman" w:hAnsi="Times New Roman" w:cs="Times New Roman"/>
          <w:sz w:val="24"/>
          <w:lang w:val="en-US" w:eastAsia="zh-CN"/>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sz w:val="24"/>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b/>
          <w:kern w:val="0"/>
          <w:sz w:val="24"/>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b/>
          <w:kern w:val="0"/>
          <w:sz w:val="24"/>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b/>
          <w:kern w:val="0"/>
          <w:sz w:val="24"/>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b/>
          <w:kern w:val="0"/>
          <w:sz w:val="24"/>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bookmarkEnd w:id="23"/>
    <w:bookmarkEnd w:id="24"/>
    <w:bookmarkEnd w:id="25"/>
    <w:bookmarkEnd w:id="26"/>
    <w:bookmarkEnd w:id="27"/>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宋体" w:eastAsia="宋体" w:cs="Times New Roman"/>
          <w:b/>
          <w:kern w:val="0"/>
          <w:sz w:val="28"/>
          <w:szCs w:val="28"/>
          <w:lang w:val="en-US" w:eastAsia="zh-CN" w:bidi="ar-SA"/>
        </w:rPr>
      </w:pPr>
      <w:bookmarkStart w:id="34" w:name="_Toc20550"/>
      <w:r>
        <w:rPr>
          <w:rFonts w:hint="eastAsia" w:ascii="Times New Roman" w:hAnsi="Times New Roman" w:eastAsia="黑体" w:cs="Times New Roman"/>
          <w:b/>
          <w:sz w:val="28"/>
          <w:szCs w:val="28"/>
        </w:rPr>
        <w:t xml:space="preserve">附录 </w:t>
      </w:r>
      <w:r>
        <w:rPr>
          <w:rFonts w:hint="eastAsia" w:eastAsia="黑体" w:cs="Times New Roman"/>
          <w:b/>
          <w:sz w:val="28"/>
          <w:szCs w:val="28"/>
          <w:lang w:val="en-US" w:eastAsia="zh-CN"/>
        </w:rPr>
        <w:t xml:space="preserve">A  </w:t>
      </w:r>
      <w:r>
        <w:rPr>
          <w:rFonts w:hint="eastAsia" w:ascii="Times New Roman" w:hAnsi="宋体" w:eastAsia="宋体" w:cs="Times New Roman"/>
          <w:b/>
          <w:kern w:val="0"/>
          <w:sz w:val="28"/>
          <w:szCs w:val="28"/>
          <w:lang w:val="en-US" w:eastAsia="zh-CN" w:bidi="ar-SA"/>
        </w:rPr>
        <w:t>网络端口数据通信总线的负荷率检测记录</w:t>
      </w:r>
      <w:bookmarkEnd w:id="34"/>
    </w:p>
    <w:p>
      <w:pPr>
        <w:spacing w:line="360" w:lineRule="auto"/>
        <w:ind w:right="-525" w:rightChars="-250"/>
        <w:rPr>
          <w:rFonts w:hint="eastAsia" w:ascii="宋体" w:hAnsi="宋体"/>
          <w:sz w:val="24"/>
        </w:rPr>
      </w:pPr>
      <w:r>
        <w:rPr>
          <w:rFonts w:hint="eastAsia" w:ascii="宋体" w:hAnsi="宋体"/>
          <w:sz w:val="24"/>
          <w:lang w:val="en-US" w:eastAsia="zh-CN"/>
        </w:rPr>
        <w:t>委</w:t>
      </w:r>
      <w:r>
        <w:rPr>
          <w:rFonts w:hint="eastAsia" w:ascii="宋体" w:hAnsi="宋体"/>
          <w:sz w:val="24"/>
        </w:rPr>
        <w:t>托单位</w:t>
      </w:r>
      <w:r>
        <w:rPr>
          <w:rFonts w:hint="eastAsia" w:ascii="宋体" w:hAnsi="宋体"/>
          <w:sz w:val="24"/>
          <w:u w:val="single"/>
        </w:rPr>
        <w:t xml:space="preserve">                                             </w:t>
      </w:r>
      <w:r>
        <w:rPr>
          <w:rFonts w:hint="eastAsia" w:ascii="宋体" w:hAnsi="宋体"/>
          <w:sz w:val="24"/>
        </w:rPr>
        <w:t>报告编号</w:t>
      </w:r>
      <w:r>
        <w:rPr>
          <w:rFonts w:hint="eastAsia" w:ascii="宋体" w:hAnsi="宋体"/>
          <w:sz w:val="24"/>
          <w:u w:val="single"/>
        </w:rPr>
        <w:t xml:space="preserve">                 </w:t>
      </w:r>
    </w:p>
    <w:p>
      <w:pPr>
        <w:spacing w:line="360" w:lineRule="auto"/>
        <w:ind w:right="-525" w:rightChars="-250"/>
        <w:rPr>
          <w:rFonts w:hint="eastAsia" w:ascii="宋体" w:hAnsi="宋体"/>
          <w:sz w:val="24"/>
        </w:rPr>
      </w:pPr>
      <w:r>
        <w:rPr>
          <w:rFonts w:hint="eastAsia" w:ascii="宋体" w:hAnsi="宋体"/>
          <w:sz w:val="24"/>
        </w:rPr>
        <w:t xml:space="preserve">型号 </w:t>
      </w:r>
      <w:r>
        <w:rPr>
          <w:rFonts w:hint="eastAsia" w:ascii="宋体" w:hAnsi="宋体"/>
          <w:sz w:val="24"/>
          <w:u w:val="single"/>
        </w:rPr>
        <w:t xml:space="preserve">              </w:t>
      </w:r>
      <w:r>
        <w:rPr>
          <w:rFonts w:hint="eastAsia" w:ascii="宋体" w:hAnsi="宋体"/>
          <w:sz w:val="24"/>
        </w:rPr>
        <w:t xml:space="preserve"> 出厂编号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p>
    <w:p>
      <w:pPr>
        <w:spacing w:line="360" w:lineRule="auto"/>
        <w:ind w:right="-525" w:rightChars="-250"/>
        <w:rPr>
          <w:rFonts w:hint="eastAsia" w:ascii="宋体" w:hAnsi="宋体"/>
          <w:sz w:val="24"/>
          <w:u w:val="single"/>
        </w:rPr>
      </w:pPr>
      <w:r>
        <w:rPr>
          <w:rFonts w:hint="eastAsia" w:ascii="宋体" w:hAnsi="宋体"/>
          <w:sz w:val="24"/>
        </w:rPr>
        <w:t>检测依据：</w:t>
      </w:r>
      <w:r>
        <w:rPr>
          <w:rFonts w:hint="eastAsia" w:ascii="宋体" w:hAnsi="宋体"/>
          <w:color w:val="000000"/>
          <w:kern w:val="0"/>
          <w:sz w:val="24"/>
          <w:u w:val="single"/>
        </w:rPr>
        <w:t xml:space="preserve">                                                                       </w:t>
      </w:r>
    </w:p>
    <w:tbl>
      <w:tblPr>
        <w:tblStyle w:val="31"/>
        <w:tblW w:w="972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0"/>
        <w:gridCol w:w="720"/>
        <w:gridCol w:w="1980"/>
        <w:gridCol w:w="1800"/>
        <w:gridCol w:w="720"/>
        <w:gridCol w:w="144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标准仪器</w:t>
            </w: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型号</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测量范围</w:t>
            </w:r>
          </w:p>
        </w:tc>
        <w:tc>
          <w:tcPr>
            <w:tcW w:w="1800" w:type="dxa"/>
            <w:noWrap w:val="0"/>
            <w:vAlign w:val="center"/>
          </w:tcPr>
          <w:p>
            <w:pPr>
              <w:tabs>
                <w:tab w:val="left" w:pos="360"/>
                <w:tab w:val="left" w:pos="720"/>
                <w:tab w:val="left" w:pos="108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准确度等级</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编号</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证书编号</w:t>
            </w:r>
          </w:p>
        </w:tc>
        <w:tc>
          <w:tcPr>
            <w:tcW w:w="10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512"/>
              </w:tabs>
              <w:autoSpaceDE w:val="0"/>
              <w:autoSpaceDN w:val="0"/>
              <w:adjustRightInd w:val="0"/>
              <w:spacing w:line="360" w:lineRule="auto"/>
              <w:jc w:val="center"/>
              <w:rPr>
                <w:rFonts w:hint="eastAsia" w:ascii="宋体" w:hAnsi="宋体"/>
                <w:szCs w:val="21"/>
              </w:rPr>
            </w:pP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 xml:space="preserve"> </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800" w:type="dxa"/>
            <w:noWrap w:val="0"/>
            <w:vAlign w:val="center"/>
          </w:tcPr>
          <w:p>
            <w:pPr>
              <w:tabs>
                <w:tab w:val="left" w:pos="360"/>
                <w:tab w:val="left" w:pos="720"/>
                <w:tab w:val="left" w:pos="1080"/>
                <w:tab w:val="left" w:pos="1512"/>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 xml:space="preserve"> </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080" w:type="dxa"/>
            <w:noWrap w:val="0"/>
            <w:vAlign w:val="center"/>
          </w:tcPr>
          <w:p>
            <w:pPr>
              <w:tabs>
                <w:tab w:val="left" w:pos="360"/>
                <w:tab w:val="left" w:pos="720"/>
                <w:tab w:val="left" w:pos="108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r>
    </w:tbl>
    <w:p>
      <w:pPr>
        <w:tabs>
          <w:tab w:val="left" w:pos="360"/>
          <w:tab w:val="left" w:pos="720"/>
          <w:tab w:val="left" w:pos="1080"/>
          <w:tab w:val="left" w:pos="1440"/>
        </w:tabs>
        <w:autoSpaceDE w:val="0"/>
        <w:autoSpaceDN w:val="0"/>
        <w:adjustRightInd w:val="0"/>
        <w:spacing w:line="360" w:lineRule="auto"/>
        <w:ind w:right="-735" w:rightChars="-350"/>
        <w:jc w:val="left"/>
        <w:rPr>
          <w:rFonts w:hint="eastAsia" w:ascii="宋体" w:hAnsi="宋体"/>
          <w:sz w:val="24"/>
        </w:rPr>
      </w:pPr>
      <w:r>
        <w:rPr>
          <w:rFonts w:hint="eastAsia" w:ascii="宋体" w:hAnsi="宋体"/>
          <w:sz w:val="24"/>
        </w:rPr>
        <w:t xml:space="preserve">温度 </w:t>
      </w:r>
      <w:r>
        <w:rPr>
          <w:rFonts w:hint="eastAsia" w:ascii="宋体" w:hAnsi="宋体"/>
          <w:sz w:val="24"/>
          <w:u w:val="single"/>
        </w:rPr>
        <w:t xml:space="preserve">     </w:t>
      </w:r>
      <w:r>
        <w:rPr>
          <w:rFonts w:hint="eastAsia" w:ascii="宋体" w:hAnsi="宋体"/>
          <w:sz w:val="24"/>
        </w:rPr>
        <w:t xml:space="preserve"> ℃  湿度</w:t>
      </w:r>
      <w:r>
        <w:rPr>
          <w:rFonts w:hint="eastAsia" w:ascii="宋体" w:hAnsi="宋体"/>
          <w:sz w:val="24"/>
          <w:u w:val="single"/>
        </w:rPr>
        <w:t xml:space="preserve">     </w:t>
      </w:r>
      <w:r>
        <w:rPr>
          <w:rFonts w:hint="eastAsia" w:ascii="宋体" w:hAnsi="宋体"/>
          <w:sz w:val="24"/>
        </w:rPr>
        <w:t xml:space="preserve"> %RH   地点</w:t>
      </w:r>
      <w:r>
        <w:rPr>
          <w:rFonts w:hint="eastAsia" w:ascii="宋体" w:hAnsi="宋体"/>
          <w:sz w:val="24"/>
          <w:u w:val="single"/>
        </w:rPr>
        <w:t xml:space="preserve">        </w:t>
      </w:r>
      <w:r>
        <w:rPr>
          <w:rFonts w:hint="eastAsia" w:ascii="宋体" w:hAnsi="宋体"/>
          <w:sz w:val="24"/>
        </w:rPr>
        <w:t xml:space="preserve"> 检测日期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Times New Roman" w:hAnsi="宋体" w:eastAsia="宋体" w:cs="Times New Roman"/>
          <w:b/>
          <w:kern w:val="0"/>
          <w:sz w:val="28"/>
          <w:szCs w:val="28"/>
          <w:lang w:val="en-US" w:eastAsia="zh-CN" w:bidi="ar-SA"/>
        </w:rPr>
      </w:pPr>
      <w:r>
        <w:rPr>
          <w:rFonts w:hint="eastAsia" w:ascii="宋体" w:hAnsi="宋体"/>
          <w:sz w:val="24"/>
        </w:rPr>
        <w:t>检测</w:t>
      </w:r>
      <w:r>
        <w:rPr>
          <w:rFonts w:hint="eastAsia" w:ascii="宋体" w:hAnsi="宋体"/>
          <w:sz w:val="24"/>
          <w:u w:val="single"/>
        </w:rPr>
        <w:t xml:space="preserve">                             </w:t>
      </w:r>
      <w:r>
        <w:rPr>
          <w:rFonts w:hint="eastAsia" w:ascii="宋体" w:hAnsi="宋体"/>
          <w:sz w:val="24"/>
        </w:rPr>
        <w:t xml:space="preserve">          核验</w:t>
      </w:r>
      <w:r>
        <w:rPr>
          <w:rFonts w:hint="eastAsia" w:ascii="宋体" w:hAnsi="宋体"/>
          <w:sz w:val="24"/>
          <w:u w:val="single"/>
        </w:rPr>
        <w:t xml:space="preserve">                              </w:t>
      </w:r>
    </w:p>
    <w:tbl>
      <w:tblPr>
        <w:tblStyle w:val="31"/>
        <w:tblpPr w:leftFromText="180" w:rightFromText="180" w:vertAnchor="text" w:horzAnchor="page" w:tblpX="1901" w:tblpY="309"/>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15"/>
        <w:gridCol w:w="1155"/>
        <w:gridCol w:w="1155"/>
        <w:gridCol w:w="1155"/>
        <w:gridCol w:w="1155"/>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pPr>
              <w:adjustRightInd w:val="0"/>
              <w:snapToGrid w:val="0"/>
              <w:spacing w:line="320" w:lineRule="exact"/>
              <w:jc w:val="center"/>
              <w:rPr>
                <w:rFonts w:hint="default" w:ascii="Times New Roman" w:hAnsi="Times New Roman" w:eastAsia="宋体" w:cs="Times New Roman"/>
                <w:snapToGrid w:val="0"/>
                <w:kern w:val="0"/>
                <w:sz w:val="21"/>
                <w:szCs w:val="21"/>
                <w:lang w:val="en-US" w:eastAsia="zh-CN"/>
              </w:rPr>
            </w:pPr>
            <w:r>
              <w:rPr>
                <w:rFonts w:hint="default" w:ascii="Times New Roman" w:hAnsi="Times New Roman" w:cs="Times New Roman"/>
                <w:snapToGrid w:val="0"/>
                <w:kern w:val="0"/>
                <w:sz w:val="21"/>
                <w:szCs w:val="21"/>
              </w:rPr>
              <w:t>序</w:t>
            </w:r>
            <w:r>
              <w:rPr>
                <w:rFonts w:hint="default" w:ascii="Times New Roman" w:hAnsi="Times New Roman" w:cs="Times New Roman"/>
                <w:snapToGrid w:val="0"/>
                <w:kern w:val="0"/>
                <w:sz w:val="21"/>
                <w:szCs w:val="21"/>
                <w:lang w:val="en-US" w:eastAsia="zh-CN"/>
              </w:rPr>
              <w:t>号</w:t>
            </w:r>
          </w:p>
        </w:tc>
        <w:tc>
          <w:tcPr>
            <w:tcW w:w="121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项目</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第一次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第二次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第三次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第四次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第五次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平均值</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bl>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lang w:val="en-US" w:eastAsia="zh-CN"/>
        </w:rPr>
      </w:pPr>
      <w:bookmarkStart w:id="35" w:name="_Toc31796"/>
      <w:r>
        <w:rPr>
          <w:rFonts w:hint="eastAsia" w:ascii="Times New Roman" w:hAnsi="Times New Roman" w:eastAsia="黑体" w:cs="Times New Roman"/>
          <w:b/>
          <w:sz w:val="28"/>
          <w:szCs w:val="28"/>
        </w:rPr>
        <w:t xml:space="preserve">附录 </w:t>
      </w:r>
      <w:r>
        <w:rPr>
          <w:rFonts w:hint="eastAsia" w:eastAsia="黑体" w:cs="Times New Roman"/>
          <w:b/>
          <w:sz w:val="28"/>
          <w:szCs w:val="28"/>
          <w:lang w:val="en-US" w:eastAsia="zh-CN"/>
        </w:rPr>
        <w:t>B</w:t>
      </w:r>
      <w:r>
        <w:rPr>
          <w:rFonts w:hint="eastAsia" w:ascii="Times New Roman" w:hAnsi="Times New Roman" w:eastAsia="黑体" w:cs="Times New Roman"/>
          <w:b/>
          <w:sz w:val="28"/>
          <w:szCs w:val="28"/>
          <w:lang w:val="en-US" w:eastAsia="zh-CN"/>
        </w:rPr>
        <w:t xml:space="preserve">  DCS现场控制站CPU负荷率检测记录</w:t>
      </w:r>
      <w:bookmarkEnd w:id="35"/>
    </w:p>
    <w:p>
      <w:pPr>
        <w:spacing w:line="360" w:lineRule="auto"/>
        <w:ind w:right="-525" w:rightChars="-250"/>
        <w:rPr>
          <w:rFonts w:hint="eastAsia" w:ascii="宋体" w:hAnsi="宋体"/>
          <w:sz w:val="24"/>
        </w:rPr>
      </w:pPr>
      <w:r>
        <w:rPr>
          <w:rFonts w:hint="eastAsia" w:ascii="宋体" w:hAnsi="宋体"/>
          <w:sz w:val="24"/>
          <w:lang w:val="en-US" w:eastAsia="zh-CN"/>
        </w:rPr>
        <w:t>委</w:t>
      </w:r>
      <w:r>
        <w:rPr>
          <w:rFonts w:hint="eastAsia" w:ascii="宋体" w:hAnsi="宋体"/>
          <w:sz w:val="24"/>
        </w:rPr>
        <w:t>托单位</w:t>
      </w:r>
      <w:r>
        <w:rPr>
          <w:rFonts w:hint="eastAsia" w:ascii="宋体" w:hAnsi="宋体"/>
          <w:sz w:val="24"/>
          <w:u w:val="single"/>
        </w:rPr>
        <w:t xml:space="preserve">                                             </w:t>
      </w:r>
      <w:r>
        <w:rPr>
          <w:rFonts w:hint="eastAsia" w:ascii="宋体" w:hAnsi="宋体"/>
          <w:sz w:val="24"/>
        </w:rPr>
        <w:t>报告编号</w:t>
      </w:r>
      <w:r>
        <w:rPr>
          <w:rFonts w:hint="eastAsia" w:ascii="宋体" w:hAnsi="宋体"/>
          <w:sz w:val="24"/>
          <w:u w:val="single"/>
        </w:rPr>
        <w:t xml:space="preserve">                 </w:t>
      </w:r>
    </w:p>
    <w:p>
      <w:pPr>
        <w:spacing w:line="360" w:lineRule="auto"/>
        <w:ind w:right="-525" w:rightChars="-250"/>
        <w:rPr>
          <w:rFonts w:hint="eastAsia" w:ascii="宋体" w:hAnsi="宋体"/>
          <w:sz w:val="24"/>
        </w:rPr>
      </w:pPr>
      <w:r>
        <w:rPr>
          <w:rFonts w:hint="eastAsia" w:ascii="宋体" w:hAnsi="宋体"/>
          <w:sz w:val="24"/>
        </w:rPr>
        <w:t xml:space="preserve">型号 </w:t>
      </w:r>
      <w:r>
        <w:rPr>
          <w:rFonts w:hint="eastAsia" w:ascii="宋体" w:hAnsi="宋体"/>
          <w:sz w:val="24"/>
          <w:u w:val="single"/>
        </w:rPr>
        <w:t xml:space="preserve">              </w:t>
      </w:r>
      <w:r>
        <w:rPr>
          <w:rFonts w:hint="eastAsia" w:ascii="宋体" w:hAnsi="宋体"/>
          <w:sz w:val="24"/>
        </w:rPr>
        <w:t xml:space="preserve"> 出厂编号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p>
    <w:p>
      <w:pPr>
        <w:spacing w:line="360" w:lineRule="auto"/>
        <w:ind w:right="-525" w:rightChars="-250"/>
        <w:rPr>
          <w:rFonts w:hint="eastAsia" w:ascii="宋体" w:hAnsi="宋体"/>
          <w:sz w:val="24"/>
          <w:u w:val="single"/>
        </w:rPr>
      </w:pPr>
      <w:r>
        <w:rPr>
          <w:rFonts w:hint="eastAsia" w:ascii="宋体" w:hAnsi="宋体"/>
          <w:sz w:val="24"/>
        </w:rPr>
        <w:t>检测依据：</w:t>
      </w:r>
      <w:r>
        <w:rPr>
          <w:rFonts w:hint="eastAsia" w:ascii="宋体" w:hAnsi="宋体"/>
          <w:color w:val="000000"/>
          <w:kern w:val="0"/>
          <w:sz w:val="24"/>
          <w:u w:val="single"/>
        </w:rPr>
        <w:t xml:space="preserve">                                                                       </w:t>
      </w:r>
    </w:p>
    <w:tbl>
      <w:tblPr>
        <w:tblStyle w:val="31"/>
        <w:tblW w:w="972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0"/>
        <w:gridCol w:w="720"/>
        <w:gridCol w:w="1980"/>
        <w:gridCol w:w="1800"/>
        <w:gridCol w:w="720"/>
        <w:gridCol w:w="144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标准仪器</w:t>
            </w: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型号</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测量范围</w:t>
            </w:r>
          </w:p>
        </w:tc>
        <w:tc>
          <w:tcPr>
            <w:tcW w:w="1800" w:type="dxa"/>
            <w:noWrap w:val="0"/>
            <w:vAlign w:val="center"/>
          </w:tcPr>
          <w:p>
            <w:pPr>
              <w:tabs>
                <w:tab w:val="left" w:pos="360"/>
                <w:tab w:val="left" w:pos="720"/>
                <w:tab w:val="left" w:pos="108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准确度等级</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编号</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证书编号</w:t>
            </w:r>
          </w:p>
        </w:tc>
        <w:tc>
          <w:tcPr>
            <w:tcW w:w="10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512"/>
              </w:tabs>
              <w:autoSpaceDE w:val="0"/>
              <w:autoSpaceDN w:val="0"/>
              <w:adjustRightInd w:val="0"/>
              <w:spacing w:line="360" w:lineRule="auto"/>
              <w:jc w:val="center"/>
              <w:rPr>
                <w:rFonts w:hint="eastAsia" w:ascii="宋体" w:hAnsi="宋体"/>
                <w:szCs w:val="21"/>
              </w:rPr>
            </w:pP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 xml:space="preserve"> </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800" w:type="dxa"/>
            <w:noWrap w:val="0"/>
            <w:vAlign w:val="center"/>
          </w:tcPr>
          <w:p>
            <w:pPr>
              <w:tabs>
                <w:tab w:val="left" w:pos="360"/>
                <w:tab w:val="left" w:pos="720"/>
                <w:tab w:val="left" w:pos="1080"/>
                <w:tab w:val="left" w:pos="1512"/>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 xml:space="preserve"> </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080" w:type="dxa"/>
            <w:noWrap w:val="0"/>
            <w:vAlign w:val="center"/>
          </w:tcPr>
          <w:p>
            <w:pPr>
              <w:tabs>
                <w:tab w:val="left" w:pos="360"/>
                <w:tab w:val="left" w:pos="720"/>
                <w:tab w:val="left" w:pos="108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r>
    </w:tbl>
    <w:p>
      <w:pPr>
        <w:tabs>
          <w:tab w:val="left" w:pos="360"/>
          <w:tab w:val="left" w:pos="720"/>
          <w:tab w:val="left" w:pos="1080"/>
          <w:tab w:val="left" w:pos="1440"/>
        </w:tabs>
        <w:autoSpaceDE w:val="0"/>
        <w:autoSpaceDN w:val="0"/>
        <w:adjustRightInd w:val="0"/>
        <w:spacing w:line="360" w:lineRule="auto"/>
        <w:ind w:right="-735" w:rightChars="-350"/>
        <w:jc w:val="left"/>
        <w:rPr>
          <w:rFonts w:hint="eastAsia" w:ascii="宋体" w:hAnsi="宋体"/>
          <w:sz w:val="24"/>
        </w:rPr>
      </w:pPr>
      <w:r>
        <w:rPr>
          <w:rFonts w:hint="eastAsia" w:ascii="宋体" w:hAnsi="宋体"/>
          <w:sz w:val="24"/>
        </w:rPr>
        <w:t xml:space="preserve">温度 </w:t>
      </w:r>
      <w:r>
        <w:rPr>
          <w:rFonts w:hint="eastAsia" w:ascii="宋体" w:hAnsi="宋体"/>
          <w:sz w:val="24"/>
          <w:u w:val="single"/>
        </w:rPr>
        <w:t xml:space="preserve">     </w:t>
      </w:r>
      <w:r>
        <w:rPr>
          <w:rFonts w:hint="eastAsia" w:ascii="宋体" w:hAnsi="宋体"/>
          <w:sz w:val="24"/>
        </w:rPr>
        <w:t xml:space="preserve"> ℃  湿度</w:t>
      </w:r>
      <w:r>
        <w:rPr>
          <w:rFonts w:hint="eastAsia" w:ascii="宋体" w:hAnsi="宋体"/>
          <w:sz w:val="24"/>
          <w:u w:val="single"/>
        </w:rPr>
        <w:t xml:space="preserve">     </w:t>
      </w:r>
      <w:r>
        <w:rPr>
          <w:rFonts w:hint="eastAsia" w:ascii="宋体" w:hAnsi="宋体"/>
          <w:sz w:val="24"/>
        </w:rPr>
        <w:t xml:space="preserve"> %RH   地点</w:t>
      </w:r>
      <w:r>
        <w:rPr>
          <w:rFonts w:hint="eastAsia" w:ascii="宋体" w:hAnsi="宋体"/>
          <w:sz w:val="24"/>
          <w:u w:val="single"/>
        </w:rPr>
        <w:t xml:space="preserve">        </w:t>
      </w:r>
      <w:r>
        <w:rPr>
          <w:rFonts w:hint="eastAsia" w:ascii="宋体" w:hAnsi="宋体"/>
          <w:sz w:val="24"/>
        </w:rPr>
        <w:t xml:space="preserve"> 检测日期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Times New Roman" w:hAnsi="Times New Roman" w:eastAsia="黑体" w:cs="Times New Roman"/>
          <w:b/>
          <w:sz w:val="28"/>
          <w:szCs w:val="28"/>
          <w:lang w:val="en-US" w:eastAsia="zh-CN"/>
        </w:rPr>
      </w:pPr>
      <w:r>
        <w:rPr>
          <w:rFonts w:hint="eastAsia" w:ascii="宋体" w:hAnsi="宋体"/>
          <w:sz w:val="24"/>
        </w:rPr>
        <w:t>检测</w:t>
      </w:r>
      <w:r>
        <w:rPr>
          <w:rFonts w:hint="eastAsia" w:ascii="宋体" w:hAnsi="宋体"/>
          <w:sz w:val="24"/>
          <w:u w:val="single"/>
        </w:rPr>
        <w:t xml:space="preserve">                             </w:t>
      </w:r>
      <w:r>
        <w:rPr>
          <w:rFonts w:hint="eastAsia" w:ascii="宋体" w:hAnsi="宋体"/>
          <w:sz w:val="24"/>
        </w:rPr>
        <w:t xml:space="preserve">          核验</w:t>
      </w:r>
      <w:r>
        <w:rPr>
          <w:rFonts w:hint="eastAsia" w:ascii="宋体" w:hAnsi="宋体"/>
          <w:sz w:val="24"/>
          <w:u w:val="single"/>
        </w:rPr>
        <w:t xml:space="preserve">                              </w:t>
      </w:r>
    </w:p>
    <w:tbl>
      <w:tblPr>
        <w:tblStyle w:val="31"/>
        <w:tblpPr w:leftFromText="180" w:rightFromText="180" w:vertAnchor="text" w:horzAnchor="page" w:tblpX="1901" w:tblpY="309"/>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15"/>
        <w:gridCol w:w="1155"/>
        <w:gridCol w:w="1155"/>
        <w:gridCol w:w="1155"/>
        <w:gridCol w:w="1155"/>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pPr>
              <w:adjustRightInd w:val="0"/>
              <w:snapToGrid w:val="0"/>
              <w:spacing w:line="320" w:lineRule="exact"/>
              <w:jc w:val="center"/>
              <w:rPr>
                <w:rFonts w:hint="default" w:ascii="Times New Roman" w:hAnsi="Times New Roman" w:eastAsia="宋体" w:cs="Times New Roman"/>
                <w:snapToGrid w:val="0"/>
                <w:kern w:val="0"/>
                <w:sz w:val="21"/>
                <w:szCs w:val="21"/>
                <w:lang w:val="en-US" w:eastAsia="zh-CN"/>
              </w:rPr>
            </w:pPr>
            <w:r>
              <w:rPr>
                <w:rFonts w:hint="default" w:ascii="Times New Roman" w:hAnsi="Times New Roman" w:cs="Times New Roman"/>
                <w:snapToGrid w:val="0"/>
                <w:kern w:val="0"/>
                <w:sz w:val="21"/>
                <w:szCs w:val="21"/>
              </w:rPr>
              <w:t>序</w:t>
            </w:r>
            <w:r>
              <w:rPr>
                <w:rFonts w:hint="default" w:ascii="Times New Roman" w:hAnsi="Times New Roman" w:cs="Times New Roman"/>
                <w:snapToGrid w:val="0"/>
                <w:kern w:val="0"/>
                <w:sz w:val="21"/>
                <w:szCs w:val="21"/>
                <w:lang w:val="en-US" w:eastAsia="zh-CN"/>
              </w:rPr>
              <w:t>号</w:t>
            </w:r>
          </w:p>
        </w:tc>
        <w:tc>
          <w:tcPr>
            <w:tcW w:w="121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项目</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第一次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第二次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第三次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第四次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第五次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平均值</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bl>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lang w:val="en-US" w:eastAsia="zh-CN"/>
        </w:rPr>
      </w:pPr>
      <w:bookmarkStart w:id="36" w:name="_Toc30152"/>
      <w:r>
        <w:rPr>
          <w:rFonts w:hint="eastAsia" w:ascii="Times New Roman" w:hAnsi="Times New Roman" w:eastAsia="黑体" w:cs="Times New Roman"/>
          <w:b/>
          <w:sz w:val="28"/>
          <w:szCs w:val="28"/>
        </w:rPr>
        <w:t xml:space="preserve">附录 </w:t>
      </w:r>
      <w:r>
        <w:rPr>
          <w:rFonts w:hint="eastAsia" w:eastAsia="黑体" w:cs="Times New Roman"/>
          <w:b/>
          <w:sz w:val="28"/>
          <w:szCs w:val="28"/>
          <w:lang w:val="en-US" w:eastAsia="zh-CN"/>
        </w:rPr>
        <w:t>C</w:t>
      </w:r>
      <w:r>
        <w:rPr>
          <w:rFonts w:hint="eastAsia" w:ascii="Times New Roman" w:hAnsi="Times New Roman" w:eastAsia="黑体" w:cs="Times New Roman"/>
          <w:b/>
          <w:sz w:val="28"/>
          <w:szCs w:val="28"/>
        </w:rPr>
        <w:t xml:space="preserve"> </w:t>
      </w:r>
      <w:r>
        <w:rPr>
          <w:rFonts w:hint="eastAsia" w:ascii="Times New Roman" w:hAnsi="Times New Roman" w:eastAsia="黑体" w:cs="Times New Roman"/>
          <w:b/>
          <w:sz w:val="28"/>
          <w:szCs w:val="28"/>
          <w:lang w:val="en-US" w:eastAsia="zh-CN"/>
        </w:rPr>
        <w:t xml:space="preserve"> DCS操作员站负荷率检测记录</w:t>
      </w:r>
      <w:bookmarkEnd w:id="36"/>
    </w:p>
    <w:p>
      <w:pPr>
        <w:spacing w:line="360" w:lineRule="auto"/>
        <w:ind w:right="-525" w:rightChars="-250"/>
        <w:rPr>
          <w:rFonts w:hint="eastAsia" w:ascii="宋体" w:hAnsi="宋体"/>
          <w:sz w:val="24"/>
        </w:rPr>
      </w:pPr>
      <w:r>
        <w:rPr>
          <w:rFonts w:hint="eastAsia" w:ascii="宋体" w:hAnsi="宋体"/>
          <w:sz w:val="24"/>
        </w:rPr>
        <w:t>托单位</w:t>
      </w:r>
      <w:r>
        <w:rPr>
          <w:rFonts w:hint="eastAsia" w:ascii="宋体" w:hAnsi="宋体"/>
          <w:sz w:val="24"/>
          <w:u w:val="single"/>
        </w:rPr>
        <w:t xml:space="preserve">                                             </w:t>
      </w:r>
      <w:r>
        <w:rPr>
          <w:rFonts w:hint="eastAsia" w:ascii="宋体" w:hAnsi="宋体"/>
          <w:sz w:val="24"/>
        </w:rPr>
        <w:t>报告编号</w:t>
      </w:r>
      <w:r>
        <w:rPr>
          <w:rFonts w:hint="eastAsia" w:ascii="宋体" w:hAnsi="宋体"/>
          <w:sz w:val="24"/>
          <w:u w:val="single"/>
        </w:rPr>
        <w:t xml:space="preserve">                 </w:t>
      </w:r>
    </w:p>
    <w:p>
      <w:pPr>
        <w:spacing w:line="360" w:lineRule="auto"/>
        <w:ind w:right="-525" w:rightChars="-250"/>
        <w:rPr>
          <w:rFonts w:hint="eastAsia" w:ascii="宋体" w:hAnsi="宋体"/>
          <w:sz w:val="24"/>
        </w:rPr>
      </w:pPr>
      <w:r>
        <w:rPr>
          <w:rFonts w:hint="eastAsia" w:ascii="宋体" w:hAnsi="宋体"/>
          <w:sz w:val="24"/>
        </w:rPr>
        <w:t xml:space="preserve">型号 </w:t>
      </w:r>
      <w:r>
        <w:rPr>
          <w:rFonts w:hint="eastAsia" w:ascii="宋体" w:hAnsi="宋体"/>
          <w:sz w:val="24"/>
          <w:u w:val="single"/>
        </w:rPr>
        <w:t xml:space="preserve">              </w:t>
      </w:r>
      <w:r>
        <w:rPr>
          <w:rFonts w:hint="eastAsia" w:ascii="宋体" w:hAnsi="宋体"/>
          <w:sz w:val="24"/>
        </w:rPr>
        <w:t xml:space="preserve"> 出厂编号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p>
    <w:p>
      <w:pPr>
        <w:spacing w:line="360" w:lineRule="auto"/>
        <w:ind w:right="-525" w:rightChars="-250"/>
        <w:rPr>
          <w:rFonts w:hint="eastAsia" w:ascii="宋体" w:hAnsi="宋体"/>
          <w:sz w:val="24"/>
          <w:u w:val="single"/>
        </w:rPr>
      </w:pPr>
      <w:r>
        <w:rPr>
          <w:rFonts w:hint="eastAsia" w:ascii="宋体" w:hAnsi="宋体"/>
          <w:sz w:val="24"/>
        </w:rPr>
        <w:t>检测依据：</w:t>
      </w:r>
      <w:r>
        <w:rPr>
          <w:rFonts w:hint="eastAsia" w:ascii="宋体" w:hAnsi="宋体"/>
          <w:color w:val="000000"/>
          <w:kern w:val="0"/>
          <w:sz w:val="24"/>
          <w:u w:val="single"/>
        </w:rPr>
        <w:t xml:space="preserve">                                                                       </w:t>
      </w:r>
    </w:p>
    <w:tbl>
      <w:tblPr>
        <w:tblStyle w:val="31"/>
        <w:tblW w:w="972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0"/>
        <w:gridCol w:w="720"/>
        <w:gridCol w:w="1980"/>
        <w:gridCol w:w="1800"/>
        <w:gridCol w:w="720"/>
        <w:gridCol w:w="144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标准仪器</w:t>
            </w: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型号</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测量范围</w:t>
            </w:r>
          </w:p>
        </w:tc>
        <w:tc>
          <w:tcPr>
            <w:tcW w:w="1800" w:type="dxa"/>
            <w:noWrap w:val="0"/>
            <w:vAlign w:val="center"/>
          </w:tcPr>
          <w:p>
            <w:pPr>
              <w:tabs>
                <w:tab w:val="left" w:pos="360"/>
                <w:tab w:val="left" w:pos="720"/>
                <w:tab w:val="left" w:pos="108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准确度等级</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编号</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证书编号</w:t>
            </w:r>
          </w:p>
        </w:tc>
        <w:tc>
          <w:tcPr>
            <w:tcW w:w="10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512"/>
              </w:tabs>
              <w:autoSpaceDE w:val="0"/>
              <w:autoSpaceDN w:val="0"/>
              <w:adjustRightInd w:val="0"/>
              <w:spacing w:line="360" w:lineRule="auto"/>
              <w:jc w:val="center"/>
              <w:rPr>
                <w:rFonts w:hint="eastAsia" w:ascii="宋体" w:hAnsi="宋体"/>
                <w:szCs w:val="21"/>
              </w:rPr>
            </w:pP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 xml:space="preserve"> </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800" w:type="dxa"/>
            <w:noWrap w:val="0"/>
            <w:vAlign w:val="center"/>
          </w:tcPr>
          <w:p>
            <w:pPr>
              <w:tabs>
                <w:tab w:val="left" w:pos="360"/>
                <w:tab w:val="left" w:pos="720"/>
                <w:tab w:val="left" w:pos="1080"/>
                <w:tab w:val="left" w:pos="1512"/>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 xml:space="preserve"> </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080" w:type="dxa"/>
            <w:noWrap w:val="0"/>
            <w:vAlign w:val="center"/>
          </w:tcPr>
          <w:p>
            <w:pPr>
              <w:tabs>
                <w:tab w:val="left" w:pos="360"/>
                <w:tab w:val="left" w:pos="720"/>
                <w:tab w:val="left" w:pos="108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r>
    </w:tbl>
    <w:p>
      <w:pPr>
        <w:tabs>
          <w:tab w:val="left" w:pos="360"/>
          <w:tab w:val="left" w:pos="720"/>
          <w:tab w:val="left" w:pos="1080"/>
          <w:tab w:val="left" w:pos="1440"/>
        </w:tabs>
        <w:autoSpaceDE w:val="0"/>
        <w:autoSpaceDN w:val="0"/>
        <w:adjustRightInd w:val="0"/>
        <w:spacing w:line="360" w:lineRule="auto"/>
        <w:ind w:right="-735" w:rightChars="-350"/>
        <w:jc w:val="left"/>
        <w:rPr>
          <w:rFonts w:hint="eastAsia" w:ascii="宋体" w:hAnsi="宋体"/>
          <w:sz w:val="24"/>
        </w:rPr>
      </w:pPr>
      <w:r>
        <w:rPr>
          <w:rFonts w:hint="eastAsia" w:ascii="宋体" w:hAnsi="宋体"/>
          <w:sz w:val="24"/>
        </w:rPr>
        <w:t xml:space="preserve">温度 </w:t>
      </w:r>
      <w:r>
        <w:rPr>
          <w:rFonts w:hint="eastAsia" w:ascii="宋体" w:hAnsi="宋体"/>
          <w:sz w:val="24"/>
          <w:u w:val="single"/>
        </w:rPr>
        <w:t xml:space="preserve">     </w:t>
      </w:r>
      <w:r>
        <w:rPr>
          <w:rFonts w:hint="eastAsia" w:ascii="宋体" w:hAnsi="宋体"/>
          <w:sz w:val="24"/>
        </w:rPr>
        <w:t xml:space="preserve"> ℃  湿度</w:t>
      </w:r>
      <w:r>
        <w:rPr>
          <w:rFonts w:hint="eastAsia" w:ascii="宋体" w:hAnsi="宋体"/>
          <w:sz w:val="24"/>
          <w:u w:val="single"/>
        </w:rPr>
        <w:t xml:space="preserve">     </w:t>
      </w:r>
      <w:r>
        <w:rPr>
          <w:rFonts w:hint="eastAsia" w:ascii="宋体" w:hAnsi="宋体"/>
          <w:sz w:val="24"/>
        </w:rPr>
        <w:t xml:space="preserve"> %RH   地点</w:t>
      </w:r>
      <w:r>
        <w:rPr>
          <w:rFonts w:hint="eastAsia" w:ascii="宋体" w:hAnsi="宋体"/>
          <w:sz w:val="24"/>
          <w:u w:val="single"/>
        </w:rPr>
        <w:t xml:space="preserve">        </w:t>
      </w:r>
      <w:r>
        <w:rPr>
          <w:rFonts w:hint="eastAsia" w:ascii="宋体" w:hAnsi="宋体"/>
          <w:sz w:val="24"/>
        </w:rPr>
        <w:t xml:space="preserve"> 检测日期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Times New Roman" w:hAnsi="Times New Roman" w:eastAsia="黑体" w:cs="Times New Roman"/>
          <w:b/>
          <w:sz w:val="28"/>
          <w:szCs w:val="28"/>
          <w:lang w:val="en-US" w:eastAsia="zh-CN"/>
        </w:rPr>
      </w:pPr>
      <w:r>
        <w:rPr>
          <w:rFonts w:hint="eastAsia" w:ascii="宋体" w:hAnsi="宋体"/>
          <w:sz w:val="24"/>
        </w:rPr>
        <w:t>检测</w:t>
      </w:r>
      <w:r>
        <w:rPr>
          <w:rFonts w:hint="eastAsia" w:ascii="宋体" w:hAnsi="宋体"/>
          <w:sz w:val="24"/>
          <w:u w:val="single"/>
        </w:rPr>
        <w:t xml:space="preserve">                             </w:t>
      </w:r>
      <w:r>
        <w:rPr>
          <w:rFonts w:hint="eastAsia" w:ascii="宋体" w:hAnsi="宋体"/>
          <w:sz w:val="24"/>
        </w:rPr>
        <w:t xml:space="preserve">          核验</w:t>
      </w:r>
      <w:r>
        <w:rPr>
          <w:rFonts w:hint="eastAsia" w:ascii="宋体" w:hAnsi="宋体"/>
          <w:sz w:val="24"/>
          <w:u w:val="single"/>
        </w:rPr>
        <w:t xml:space="preserve">                              </w:t>
      </w:r>
    </w:p>
    <w:tbl>
      <w:tblPr>
        <w:tblStyle w:val="31"/>
        <w:tblpPr w:leftFromText="180" w:rightFromText="180" w:vertAnchor="text" w:horzAnchor="page" w:tblpX="1901" w:tblpY="309"/>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15"/>
        <w:gridCol w:w="1155"/>
        <w:gridCol w:w="1155"/>
        <w:gridCol w:w="1155"/>
        <w:gridCol w:w="1155"/>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pPr>
              <w:adjustRightInd w:val="0"/>
              <w:snapToGrid w:val="0"/>
              <w:spacing w:line="320" w:lineRule="exact"/>
              <w:jc w:val="center"/>
              <w:rPr>
                <w:rFonts w:hint="default" w:ascii="Times New Roman" w:hAnsi="Times New Roman" w:eastAsia="宋体" w:cs="Times New Roman"/>
                <w:snapToGrid w:val="0"/>
                <w:kern w:val="0"/>
                <w:sz w:val="21"/>
                <w:szCs w:val="21"/>
                <w:lang w:val="en-US" w:eastAsia="zh-CN"/>
              </w:rPr>
            </w:pPr>
            <w:r>
              <w:rPr>
                <w:rFonts w:hint="default" w:ascii="Times New Roman" w:hAnsi="Times New Roman" w:cs="Times New Roman"/>
                <w:snapToGrid w:val="0"/>
                <w:kern w:val="0"/>
                <w:sz w:val="21"/>
                <w:szCs w:val="21"/>
              </w:rPr>
              <w:t>序</w:t>
            </w:r>
            <w:r>
              <w:rPr>
                <w:rFonts w:hint="default" w:ascii="Times New Roman" w:hAnsi="Times New Roman" w:cs="Times New Roman"/>
                <w:snapToGrid w:val="0"/>
                <w:kern w:val="0"/>
                <w:sz w:val="21"/>
                <w:szCs w:val="21"/>
                <w:lang w:val="en-US" w:eastAsia="zh-CN"/>
              </w:rPr>
              <w:t>号</w:t>
            </w:r>
          </w:p>
        </w:tc>
        <w:tc>
          <w:tcPr>
            <w:tcW w:w="121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项目</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第一次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第二次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第三次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第四次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第五次</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c>
          <w:tcPr>
            <w:tcW w:w="1155" w:type="dxa"/>
            <w:vAlign w:val="center"/>
          </w:tcPr>
          <w:p>
            <w:pPr>
              <w:adjustRightInd w:val="0"/>
              <w:snapToGrid w:val="0"/>
              <w:spacing w:line="320" w:lineRule="exact"/>
              <w:jc w:val="center"/>
              <w:rPr>
                <w:rFonts w:hint="default" w:ascii="Times New Roman" w:hAnsi="Times New Roman" w:cs="Times New Roman"/>
                <w:snapToGrid w:val="0"/>
                <w:kern w:val="0"/>
                <w:sz w:val="21"/>
                <w:szCs w:val="21"/>
              </w:rPr>
            </w:pPr>
            <w:r>
              <w:rPr>
                <w:rFonts w:hint="default" w:ascii="Times New Roman" w:hAnsi="Times New Roman" w:cs="Times New Roman"/>
                <w:snapToGrid w:val="0"/>
                <w:kern w:val="0"/>
                <w:sz w:val="21"/>
                <w:szCs w:val="21"/>
              </w:rPr>
              <w:t>平均值</w:t>
            </w:r>
            <w:r>
              <w:rPr>
                <w:rFonts w:hint="default" w:ascii="Times New Roman" w:hAnsi="Times New Roman" w:cs="Times New Roman"/>
                <w:snapToGrid w:val="0"/>
                <w:kern w:val="0"/>
                <w:sz w:val="21"/>
                <w:szCs w:val="21"/>
              </w:rPr>
              <w:br w:type="textWrapping"/>
            </w:r>
            <w:r>
              <w:rPr>
                <w:rFonts w:hint="default" w:ascii="Times New Roman" w:hAnsi="Times New Roman" w:cs="Times New Roman"/>
                <w:snapToGrid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51" w:type="dxa"/>
            <w:vAlign w:val="center"/>
          </w:tcPr>
          <w:p>
            <w:pPr>
              <w:adjustRightInd w:val="0"/>
              <w:snapToGrid w:val="0"/>
              <w:spacing w:line="520" w:lineRule="exact"/>
              <w:rPr>
                <w:rFonts w:hint="default" w:ascii="Times New Roman" w:hAnsi="Times New Roman" w:cs="Times New Roman"/>
                <w:snapToGrid w:val="0"/>
                <w:kern w:val="0"/>
                <w:sz w:val="21"/>
                <w:szCs w:val="21"/>
              </w:rPr>
            </w:pPr>
          </w:p>
        </w:tc>
        <w:tc>
          <w:tcPr>
            <w:tcW w:w="121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tcPr>
          <w:p>
            <w:pPr>
              <w:adjustRightInd w:val="0"/>
              <w:snapToGrid w:val="0"/>
              <w:spacing w:line="520" w:lineRule="exact"/>
              <w:jc w:val="center"/>
              <w:rPr>
                <w:rFonts w:hint="default" w:ascii="Times New Roman" w:hAnsi="Times New Roman" w:cs="Times New Roman"/>
                <w:snapToGrid w:val="0"/>
                <w:kern w:val="0"/>
                <w:sz w:val="21"/>
                <w:szCs w:val="21"/>
              </w:rPr>
            </w:pPr>
          </w:p>
        </w:tc>
        <w:tc>
          <w:tcPr>
            <w:tcW w:w="1155" w:type="dxa"/>
            <w:vAlign w:val="center"/>
          </w:tcPr>
          <w:p>
            <w:pPr>
              <w:adjustRightInd w:val="0"/>
              <w:snapToGrid w:val="0"/>
              <w:spacing w:line="520" w:lineRule="exact"/>
              <w:jc w:val="center"/>
              <w:rPr>
                <w:rFonts w:hint="default" w:ascii="Times New Roman" w:hAnsi="Times New Roman" w:cs="Times New Roman"/>
                <w:snapToGrid w:val="0"/>
                <w:kern w:val="0"/>
                <w:sz w:val="21"/>
                <w:szCs w:val="21"/>
              </w:rPr>
            </w:pP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rPr>
          <w:rFonts w:hint="eastAsia" w:ascii="Times New Roman" w:hAnsi="Times New Roman" w:eastAsia="黑体" w:cs="Times New Roman"/>
          <w:b/>
          <w:sz w:val="28"/>
          <w:szCs w:val="28"/>
        </w:r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Times New Roman" w:hAnsi="Times New Roman" w:eastAsia="黑体" w:cs="Times New Roman"/>
          <w:b/>
          <w:sz w:val="28"/>
          <w:szCs w:val="28"/>
          <w:lang w:val="en-US" w:eastAsia="zh-CN"/>
        </w:rPr>
      </w:pPr>
      <w:bookmarkStart w:id="37" w:name="_Toc29027"/>
      <w:r>
        <w:rPr>
          <w:rFonts w:hint="eastAsia" w:ascii="Times New Roman" w:hAnsi="Times New Roman" w:eastAsia="黑体" w:cs="Times New Roman"/>
          <w:b/>
          <w:sz w:val="28"/>
          <w:szCs w:val="28"/>
        </w:rPr>
        <w:t xml:space="preserve">附录 </w:t>
      </w:r>
      <w:r>
        <w:rPr>
          <w:rFonts w:hint="eastAsia" w:eastAsia="黑体" w:cs="Times New Roman"/>
          <w:b/>
          <w:sz w:val="28"/>
          <w:szCs w:val="28"/>
          <w:lang w:val="en-US" w:eastAsia="zh-CN"/>
        </w:rPr>
        <w:t>D</w:t>
      </w:r>
      <w:r>
        <w:rPr>
          <w:rFonts w:hint="eastAsia" w:ascii="Times New Roman" w:hAnsi="Times New Roman" w:eastAsia="黑体" w:cs="Times New Roman"/>
          <w:b/>
          <w:sz w:val="28"/>
          <w:szCs w:val="28"/>
          <w:lang w:val="en-US" w:eastAsia="zh-CN"/>
        </w:rPr>
        <w:t xml:space="preserve">  DCS通信负荷率检测报告</w:t>
      </w:r>
      <w:bookmarkEnd w:id="37"/>
    </w:p>
    <w:p>
      <w:pPr>
        <w:widowControl/>
        <w:spacing w:line="360" w:lineRule="auto"/>
        <w:jc w:val="left"/>
      </w:pPr>
      <w:r>
        <w:rPr>
          <w:rFonts w:hint="eastAsia" w:ascii="宋体" w:hAnsi="宋体" w:cs="宋体"/>
          <w:color w:val="000000"/>
          <w:kern w:val="0"/>
          <w:sz w:val="24"/>
        </w:rPr>
        <w:t>检测报告至少包括以下信息</w:t>
      </w:r>
    </w:p>
    <w:p>
      <w:pPr>
        <w:widowControl/>
        <w:spacing w:line="360" w:lineRule="auto"/>
        <w:jc w:val="left"/>
      </w:pPr>
      <w:r>
        <w:rPr>
          <w:rFonts w:hint="eastAsia" w:ascii="宋体" w:hAnsi="宋体" w:cs="宋体"/>
          <w:color w:val="000000"/>
          <w:kern w:val="0"/>
          <w:sz w:val="24"/>
        </w:rPr>
        <w:t xml:space="preserve">a） 标题：“检测报告”； </w:t>
      </w:r>
    </w:p>
    <w:p>
      <w:pPr>
        <w:widowControl/>
        <w:spacing w:line="360" w:lineRule="auto"/>
        <w:jc w:val="left"/>
      </w:pPr>
      <w:r>
        <w:rPr>
          <w:rFonts w:hint="eastAsia" w:ascii="宋体" w:hAnsi="宋体" w:cs="宋体"/>
          <w:color w:val="000000"/>
          <w:kern w:val="0"/>
          <w:sz w:val="24"/>
        </w:rPr>
        <w:t xml:space="preserve">b） 进行检测的地点（如果不在实验室内进行检测）； </w:t>
      </w:r>
    </w:p>
    <w:p>
      <w:pPr>
        <w:widowControl/>
        <w:spacing w:line="360" w:lineRule="auto"/>
        <w:jc w:val="left"/>
      </w:pPr>
      <w:r>
        <w:rPr>
          <w:rFonts w:hint="eastAsia" w:ascii="宋体" w:hAnsi="宋体" w:cs="宋体"/>
          <w:color w:val="000000"/>
          <w:kern w:val="0"/>
          <w:sz w:val="24"/>
        </w:rPr>
        <w:t>c） 检测报告编号</w:t>
      </w:r>
      <w:r>
        <w:rPr>
          <w:rFonts w:hint="eastAsia" w:ascii="宋体" w:hAnsi="宋体" w:cs="宋体"/>
          <w:color w:val="000000"/>
          <w:kern w:val="0"/>
          <w:sz w:val="24"/>
          <w:lang w:eastAsia="zh-CN"/>
        </w:rPr>
        <w:t>、</w:t>
      </w:r>
      <w:r>
        <w:rPr>
          <w:rFonts w:hint="eastAsia" w:ascii="宋体" w:hAnsi="宋体" w:cs="宋体"/>
          <w:color w:val="000000"/>
          <w:kern w:val="0"/>
          <w:sz w:val="24"/>
        </w:rPr>
        <w:t xml:space="preserve">页码及总页数的标识； </w:t>
      </w:r>
    </w:p>
    <w:p>
      <w:pPr>
        <w:widowControl/>
        <w:spacing w:line="360" w:lineRule="auto"/>
        <w:jc w:val="left"/>
      </w:pPr>
      <w:r>
        <w:rPr>
          <w:rFonts w:hint="eastAsia" w:ascii="宋体" w:hAnsi="宋体" w:cs="宋体"/>
          <w:color w:val="000000"/>
          <w:kern w:val="0"/>
          <w:sz w:val="24"/>
        </w:rPr>
        <w:t xml:space="preserve">d） 检测单位检测专用章； </w:t>
      </w:r>
    </w:p>
    <w:p>
      <w:pPr>
        <w:widowControl/>
        <w:spacing w:line="360" w:lineRule="auto"/>
        <w:jc w:val="left"/>
      </w:pPr>
      <w:r>
        <w:rPr>
          <w:rFonts w:hint="eastAsia" w:ascii="宋体" w:hAnsi="宋体" w:cs="宋体"/>
          <w:color w:val="000000"/>
          <w:kern w:val="0"/>
          <w:sz w:val="24"/>
        </w:rPr>
        <w:t xml:space="preserve">e） 被检测单位的名称和地址； </w:t>
      </w:r>
    </w:p>
    <w:p>
      <w:pPr>
        <w:widowControl/>
        <w:spacing w:line="360" w:lineRule="auto"/>
        <w:jc w:val="left"/>
      </w:pPr>
      <w:r>
        <w:rPr>
          <w:rFonts w:hint="eastAsia" w:ascii="宋体" w:hAnsi="宋体" w:cs="宋体"/>
          <w:color w:val="000000"/>
          <w:kern w:val="0"/>
          <w:sz w:val="24"/>
        </w:rPr>
        <w:t>f） 被测系统的描述和明确标识：系统的制造单位、名称、型号及出厂编号；</w:t>
      </w:r>
    </w:p>
    <w:p>
      <w:pPr>
        <w:widowControl/>
        <w:spacing w:line="360" w:lineRule="auto"/>
        <w:jc w:val="left"/>
      </w:pPr>
      <w:r>
        <w:rPr>
          <w:rFonts w:hint="eastAsia" w:ascii="宋体" w:hAnsi="宋体" w:cs="宋体"/>
          <w:color w:val="000000"/>
          <w:kern w:val="0"/>
          <w:sz w:val="24"/>
        </w:rPr>
        <w:t xml:space="preserve">g） 检测日期； </w:t>
      </w:r>
    </w:p>
    <w:p>
      <w:pPr>
        <w:widowControl/>
        <w:spacing w:line="360" w:lineRule="auto"/>
        <w:jc w:val="left"/>
      </w:pPr>
      <w:r>
        <w:rPr>
          <w:rFonts w:hint="eastAsia" w:ascii="宋体" w:hAnsi="宋体" w:cs="宋体"/>
          <w:color w:val="000000"/>
          <w:kern w:val="0"/>
          <w:sz w:val="24"/>
        </w:rPr>
        <w:t xml:space="preserve">h）  检测所依据的技术规范的名称及代号； </w:t>
      </w:r>
    </w:p>
    <w:p>
      <w:pPr>
        <w:widowControl/>
        <w:spacing w:line="360" w:lineRule="auto"/>
        <w:jc w:val="left"/>
      </w:pPr>
      <w:r>
        <w:rPr>
          <w:rFonts w:hint="eastAsia" w:ascii="宋体" w:hAnsi="宋体" w:cs="宋体"/>
          <w:color w:val="000000"/>
          <w:kern w:val="0"/>
          <w:sz w:val="24"/>
        </w:rPr>
        <w:t xml:space="preserve">i） 本次检测所用的主要设备（包括标准物质）的名称、测量范围、不确定度或准确度等级或最大允许误差、证书编号及有效期； </w:t>
      </w:r>
    </w:p>
    <w:p>
      <w:pPr>
        <w:widowControl/>
        <w:spacing w:line="360" w:lineRule="auto"/>
        <w:jc w:val="left"/>
      </w:pPr>
      <w:r>
        <w:rPr>
          <w:rFonts w:hint="eastAsia" w:ascii="宋体" w:hAnsi="宋体" w:cs="宋体"/>
          <w:color w:val="000000"/>
          <w:kern w:val="0"/>
          <w:sz w:val="24"/>
        </w:rPr>
        <w:t xml:space="preserve">j） 检测时的环境温度、相对湿度； </w:t>
      </w:r>
    </w:p>
    <w:p>
      <w:pPr>
        <w:widowControl/>
        <w:spacing w:line="360" w:lineRule="auto"/>
        <w:jc w:val="left"/>
      </w:pPr>
      <w:r>
        <w:rPr>
          <w:rFonts w:hint="eastAsia" w:ascii="宋体" w:hAnsi="宋体" w:cs="宋体"/>
          <w:color w:val="000000"/>
          <w:kern w:val="0"/>
          <w:sz w:val="24"/>
        </w:rPr>
        <w:t xml:space="preserve">k） 检测人与核验人的签名；  </w:t>
      </w:r>
    </w:p>
    <w:p>
      <w:pPr>
        <w:widowControl/>
        <w:spacing w:line="360" w:lineRule="auto"/>
        <w:jc w:val="left"/>
      </w:pPr>
      <w:r>
        <w:rPr>
          <w:rFonts w:hint="eastAsia" w:ascii="宋体" w:hAnsi="宋体" w:cs="宋体"/>
          <w:color w:val="000000"/>
          <w:kern w:val="0"/>
          <w:sz w:val="24"/>
        </w:rPr>
        <w:t xml:space="preserve">l） 检测报告批准人的签名与职务；   </w:t>
      </w:r>
    </w:p>
    <w:p>
      <w:pPr>
        <w:widowControl/>
        <w:spacing w:line="360" w:lineRule="auto"/>
        <w:jc w:val="left"/>
      </w:pPr>
      <w:r>
        <w:rPr>
          <w:rFonts w:hint="eastAsia" w:ascii="宋体" w:hAnsi="宋体" w:cs="宋体"/>
          <w:color w:val="000000"/>
          <w:kern w:val="0"/>
          <w:sz w:val="24"/>
        </w:rPr>
        <w:t xml:space="preserve">m） 检测结果仅对被校对象有效的声明； </w:t>
      </w:r>
    </w:p>
    <w:p>
      <w:pPr>
        <w:widowControl/>
        <w:spacing w:line="360" w:lineRule="auto"/>
        <w:jc w:val="left"/>
        <w:rPr>
          <w:rFonts w:hint="eastAsia" w:ascii="宋体" w:hAnsi="宋体" w:cs="宋体"/>
          <w:color w:val="000000"/>
          <w:kern w:val="0"/>
          <w:sz w:val="24"/>
        </w:rPr>
      </w:pPr>
      <w:r>
        <w:rPr>
          <w:rFonts w:hint="eastAsia" w:ascii="宋体" w:hAnsi="宋体" w:cs="宋体"/>
          <w:color w:val="000000"/>
          <w:kern w:val="0"/>
          <w:sz w:val="24"/>
        </w:rPr>
        <w:t xml:space="preserve">n）未经实验室书面批准，不得部分复制证书的声明。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color w:val="000000"/>
          <w:kern w:val="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spacing w:line="300" w:lineRule="auto"/>
        <w:textAlignment w:val="auto"/>
        <w:rPr>
          <w:rFonts w:ascii="宋体"/>
          <w:b/>
          <w:bCs/>
          <w:color w:val="000000"/>
          <w:sz w:val="24"/>
        </w:rPr>
      </w:pPr>
    </w:p>
    <w:p>
      <w:pPr>
        <w:keepNext w:val="0"/>
        <w:keepLines w:val="0"/>
        <w:pageBreakBefore w:val="0"/>
        <w:kinsoku/>
        <w:wordWrap/>
        <w:overflowPunct/>
        <w:topLinePunct w:val="0"/>
        <w:autoSpaceDE/>
        <w:autoSpaceDN/>
        <w:bidi w:val="0"/>
        <w:adjustRightInd/>
        <w:snapToGrid/>
        <w:textAlignment w:val="auto"/>
        <w:rPr>
          <w:rFonts w:ascii="黑体" w:eastAsia="黑体"/>
          <w:sz w:val="24"/>
        </w:rPr>
      </w:pPr>
    </w:p>
    <w:p>
      <w:pPr>
        <w:keepNext w:val="0"/>
        <w:keepLines w:val="0"/>
        <w:pageBreakBefore w:val="0"/>
        <w:kinsoku/>
        <w:wordWrap/>
        <w:overflowPunct/>
        <w:topLinePunct w:val="0"/>
        <w:autoSpaceDE/>
        <w:autoSpaceDN/>
        <w:bidi w:val="0"/>
        <w:adjustRightInd/>
        <w:snapToGrid/>
        <w:textAlignment w:val="auto"/>
        <w:rPr>
          <w:rFonts w:ascii="黑体" w:eastAsia="黑体"/>
          <w:sz w:val="24"/>
        </w:rPr>
      </w:pPr>
    </w:p>
    <w:p>
      <w:pPr>
        <w:keepNext w:val="0"/>
        <w:keepLines w:val="0"/>
        <w:pageBreakBefore w:val="0"/>
        <w:kinsoku/>
        <w:wordWrap/>
        <w:overflowPunct/>
        <w:topLinePunct w:val="0"/>
        <w:autoSpaceDE/>
        <w:autoSpaceDN/>
        <w:bidi w:val="0"/>
        <w:adjustRightInd/>
        <w:snapToGrid/>
        <w:textAlignment w:val="auto"/>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rPr>
          <w:rFonts w:ascii="黑体" w:eastAsia="黑体"/>
          <w:sz w:val="24"/>
        </w:rPr>
      </w:pPr>
    </w:p>
    <w:p>
      <w:pPr>
        <w:spacing w:line="360" w:lineRule="exact"/>
        <w:jc w:val="center"/>
        <w:rPr>
          <w:rFonts w:hint="eastAsia" w:ascii="华文中宋" w:eastAsia="华文中宋"/>
          <w:b/>
          <w:sz w:val="28"/>
          <w:szCs w:val="28"/>
        </w:rPr>
      </w:pPr>
      <w:r>
        <w:rPr>
          <w:rFonts w:hint="eastAsia" w:ascii="华文中宋" w:eastAsia="华文中宋"/>
          <w:b/>
          <w:sz w:val="28"/>
          <w:szCs w:val="28"/>
        </w:rPr>
        <w:t>新疆维吾尔自治区</w:t>
      </w:r>
    </w:p>
    <w:p>
      <w:pPr>
        <w:spacing w:line="360" w:lineRule="exact"/>
        <w:jc w:val="center"/>
        <w:rPr>
          <w:rFonts w:hint="eastAsia" w:ascii="华文中宋" w:eastAsia="华文中宋"/>
          <w:sz w:val="28"/>
          <w:szCs w:val="28"/>
        </w:rPr>
      </w:pPr>
      <w:r>
        <w:rPr>
          <w:rFonts w:hint="eastAsia" w:ascii="华文中宋" w:eastAsia="华文中宋"/>
          <w:b/>
          <w:sz w:val="28"/>
          <w:szCs w:val="28"/>
        </w:rPr>
        <w:t>地方计量</w:t>
      </w:r>
      <w:r>
        <w:rPr>
          <w:rFonts w:hint="eastAsia" w:ascii="华文中宋" w:eastAsia="华文中宋"/>
          <w:b/>
          <w:sz w:val="28"/>
          <w:szCs w:val="28"/>
          <w:lang w:val="en-US" w:eastAsia="zh-CN"/>
        </w:rPr>
        <w:t>技术</w:t>
      </w:r>
      <w:r>
        <w:rPr>
          <w:rFonts w:hint="eastAsia" w:eastAsia="华文中宋"/>
          <w:b/>
          <w:sz w:val="28"/>
          <w:szCs w:val="28"/>
        </w:rPr>
        <w:t>规范</w:t>
      </w:r>
    </w:p>
    <w:p>
      <w:pPr>
        <w:spacing w:line="360" w:lineRule="exact"/>
        <w:jc w:val="center"/>
        <w:rPr>
          <w:rFonts w:hint="eastAsia" w:ascii="黑体" w:eastAsia="黑体"/>
          <w:sz w:val="24"/>
        </w:rPr>
      </w:pPr>
    </w:p>
    <w:p>
      <w:pPr>
        <w:spacing w:line="360" w:lineRule="exact"/>
        <w:jc w:val="center"/>
        <w:rPr>
          <w:rFonts w:hint="eastAsia" w:ascii="黑体" w:hAnsi="Times New Roman" w:eastAsia="黑体" w:cs="Times New Roman"/>
          <w:b/>
          <w:sz w:val="24"/>
        </w:rPr>
      </w:pPr>
      <w:r>
        <w:rPr>
          <w:rFonts w:hint="eastAsia" w:ascii="黑体" w:eastAsia="黑体" w:cs="Times New Roman"/>
          <w:b/>
          <w:sz w:val="24"/>
          <w:lang w:val="en-US" w:eastAsia="zh-CN"/>
        </w:rPr>
        <w:t>XX</w:t>
      </w:r>
      <w:r>
        <w:rPr>
          <w:rFonts w:hint="eastAsia" w:ascii="黑体" w:hAnsi="Times New Roman" w:eastAsia="黑体" w:cs="Times New Roman"/>
          <w:b/>
          <w:sz w:val="24"/>
        </w:rPr>
        <w:t>检测规范</w:t>
      </w:r>
    </w:p>
    <w:p>
      <w:pPr>
        <w:spacing w:line="360" w:lineRule="exact"/>
        <w:jc w:val="center"/>
        <w:rPr>
          <w:rFonts w:hint="eastAsia" w:eastAsia="黑体"/>
          <w:b/>
          <w:sz w:val="24"/>
          <w:lang w:val="en-US" w:eastAsia="zh-CN"/>
        </w:rPr>
      </w:pPr>
      <w:r>
        <w:rPr>
          <w:rFonts w:eastAsia="黑体"/>
          <w:b/>
          <w:sz w:val="24"/>
        </w:rPr>
        <w:t>JJF(</w:t>
      </w:r>
      <w:r>
        <w:rPr>
          <w:rFonts w:hint="eastAsia" w:eastAsia="黑体"/>
          <w:b/>
          <w:sz w:val="24"/>
        </w:rPr>
        <w:t>新</w:t>
      </w:r>
      <w:r>
        <w:rPr>
          <w:rFonts w:eastAsia="黑体"/>
          <w:b/>
          <w:sz w:val="24"/>
        </w:rPr>
        <w:t>)</w:t>
      </w:r>
      <w:r>
        <w:rPr>
          <w:rFonts w:hint="eastAsia" w:eastAsia="黑体"/>
          <w:b/>
          <w:sz w:val="24"/>
          <w:lang w:val="en-US" w:eastAsia="zh-CN"/>
        </w:rPr>
        <w:t>XX</w:t>
      </w:r>
      <w:r>
        <w:rPr>
          <w:rFonts w:hint="eastAsia" w:eastAsia="黑体"/>
          <w:b/>
          <w:sz w:val="24"/>
        </w:rPr>
        <w:t>－</w:t>
      </w:r>
      <w:r>
        <w:rPr>
          <w:rFonts w:eastAsia="黑体"/>
          <w:b/>
          <w:sz w:val="24"/>
        </w:rPr>
        <w:t>20</w:t>
      </w:r>
      <w:r>
        <w:rPr>
          <w:rFonts w:hint="eastAsia" w:eastAsia="黑体"/>
          <w:b/>
          <w:sz w:val="24"/>
          <w:lang w:val="en-US" w:eastAsia="zh-CN"/>
        </w:rPr>
        <w:t>21</w:t>
      </w:r>
    </w:p>
    <w:p>
      <w:pPr>
        <w:spacing w:line="360" w:lineRule="exact"/>
        <w:jc w:val="center"/>
        <w:rPr>
          <w:rFonts w:hint="eastAsia" w:ascii="宋体"/>
          <w:b/>
          <w:sz w:val="24"/>
        </w:rPr>
      </w:pPr>
      <w:r>
        <w:rPr>
          <w:rFonts w:hint="eastAsia" w:ascii="宋体"/>
          <w:b/>
          <w:sz w:val="24"/>
        </w:rPr>
        <w:t>新疆维吾尔自治区市场监督管理局发布</w:t>
      </w:r>
    </w:p>
    <w:p>
      <w:pPr>
        <w:jc w:val="center"/>
        <w:rPr>
          <w:rFonts w:hint="eastAsia" w:ascii="黑体" w:eastAsia="黑体"/>
          <w:sz w:val="18"/>
          <w:szCs w:val="18"/>
        </w:rPr>
      </w:pPr>
      <w:r>
        <w:rPr>
          <w:rFonts w:hint="eastAsia" w:ascii="黑体" w:eastAsia="黑体"/>
          <w:sz w:val="18"/>
          <w:szCs w:val="18"/>
        </w:rPr>
        <w:t>*</w:t>
      </w:r>
    </w:p>
    <w:p>
      <w:pPr>
        <w:jc w:val="center"/>
        <w:rPr>
          <w:rFonts w:hint="eastAsia" w:ascii="黑体" w:eastAsia="黑体"/>
          <w:b/>
          <w:sz w:val="18"/>
          <w:szCs w:val="18"/>
        </w:rPr>
      </w:pPr>
      <w:r>
        <w:rPr>
          <w:rFonts w:hint="eastAsia" w:ascii="黑体" w:eastAsia="黑体"/>
          <w:b/>
          <w:sz w:val="18"/>
          <w:szCs w:val="18"/>
        </w:rPr>
        <w:t>版权所有 不得翻印</w:t>
      </w:r>
    </w:p>
    <w:p>
      <w:pPr>
        <w:jc w:val="center"/>
        <w:rPr>
          <w:rFonts w:hint="eastAsia" w:ascii="黑体" w:eastAsia="黑体"/>
          <w:sz w:val="18"/>
          <w:szCs w:val="18"/>
        </w:rPr>
      </w:pPr>
      <w:r>
        <w:rPr>
          <w:rFonts w:hint="eastAsia" w:ascii="黑体" w:eastAsia="黑体"/>
          <w:sz w:val="18"/>
          <w:szCs w:val="18"/>
        </w:rPr>
        <w:t>*</w:t>
      </w:r>
    </w:p>
    <w:p>
      <w:pPr>
        <w:jc w:val="center"/>
        <w:rPr>
          <w:b/>
          <w:sz w:val="18"/>
        </w:rPr>
      </w:pPr>
      <w:r>
        <w:rPr>
          <w:b/>
          <w:sz w:val="18"/>
          <w:szCs w:val="21"/>
        </w:rPr>
        <w:t>880</w:t>
      </w:r>
      <w:r>
        <w:rPr>
          <w:b/>
          <w:sz w:val="18"/>
        </w:rPr>
        <w:t>mm×1230mm 1</w:t>
      </w:r>
      <w:r>
        <w:rPr>
          <w:rFonts w:hint="eastAsia"/>
          <w:b/>
          <w:sz w:val="18"/>
          <w:lang w:val="en-US" w:eastAsia="zh-CN"/>
        </w:rPr>
        <w:t>5</w:t>
      </w:r>
      <w:r>
        <w:rPr>
          <w:rFonts w:hint="eastAsia"/>
          <w:b/>
          <w:sz w:val="18"/>
        </w:rPr>
        <w:t>开本</w:t>
      </w:r>
    </w:p>
    <w:p>
      <w:pPr>
        <w:jc w:val="center"/>
        <w:rPr>
          <w:b/>
          <w:sz w:val="18"/>
        </w:rPr>
      </w:pPr>
      <w:r>
        <w:rPr>
          <w:b/>
          <w:sz w:val="18"/>
        </w:rPr>
        <w:t>20</w:t>
      </w:r>
      <w:r>
        <w:rPr>
          <w:rFonts w:hint="eastAsia"/>
          <w:b/>
          <w:sz w:val="18"/>
          <w:lang w:val="en-US" w:eastAsia="zh-CN"/>
        </w:rPr>
        <w:t>20</w:t>
      </w:r>
      <w:r>
        <w:rPr>
          <w:rFonts w:hint="eastAsia"/>
          <w:b/>
          <w:sz w:val="18"/>
        </w:rPr>
        <w:t>年xx月第</w:t>
      </w:r>
      <w:r>
        <w:rPr>
          <w:b/>
          <w:sz w:val="18"/>
        </w:rPr>
        <w:t>1</w:t>
      </w:r>
      <w:r>
        <w:rPr>
          <w:rFonts w:hint="eastAsia"/>
          <w:b/>
          <w:sz w:val="18"/>
        </w:rPr>
        <w:t>版</w:t>
      </w:r>
      <w:r>
        <w:rPr>
          <w:b/>
          <w:sz w:val="18"/>
        </w:rPr>
        <w:t xml:space="preserve">  20</w:t>
      </w:r>
      <w:r>
        <w:rPr>
          <w:rFonts w:hint="eastAsia"/>
          <w:b/>
          <w:sz w:val="18"/>
          <w:lang w:val="en-US" w:eastAsia="zh-CN"/>
        </w:rPr>
        <w:t>20</w:t>
      </w:r>
      <w:r>
        <w:rPr>
          <w:rFonts w:hint="eastAsia"/>
          <w:b/>
          <w:sz w:val="18"/>
        </w:rPr>
        <w:t>年xx月第</w:t>
      </w:r>
      <w:r>
        <w:rPr>
          <w:b/>
          <w:sz w:val="18"/>
        </w:rPr>
        <w:t>1</w:t>
      </w:r>
      <w:r>
        <w:rPr>
          <w:rFonts w:hint="eastAsia"/>
          <w:b/>
          <w:sz w:val="18"/>
        </w:rPr>
        <w:t>次印刷</w:t>
      </w:r>
    </w:p>
    <w:p>
      <w:pPr>
        <w:jc w:val="center"/>
      </w:pPr>
      <w:r>
        <w:rPr>
          <w:rFonts w:hint="eastAsia"/>
          <w:b/>
          <w:sz w:val="18"/>
        </w:rPr>
        <w:t>印数</w:t>
      </w:r>
      <w:r>
        <w:rPr>
          <w:b/>
          <w:sz w:val="18"/>
        </w:rPr>
        <w:t xml:space="preserve">  1-100</w:t>
      </w:r>
    </w:p>
    <w:sectPr>
      <w:headerReference r:id="rId15" w:type="default"/>
      <w:footerReference r:id="rId16" w:type="default"/>
      <w:pgSz w:w="11906" w:h="16838"/>
      <w:pgMar w:top="1457" w:right="1797" w:bottom="1440" w:left="179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新宋体">
    <w:panose1 w:val="02010609030101010101"/>
    <w:charset w:val="86"/>
    <w:family w:val="modern"/>
    <w:pitch w:val="default"/>
    <w:sig w:usb0="00000003" w:usb1="288F0000" w:usb2="00000006" w:usb3="00000000" w:csb0="00040001" w:csb1="00000000"/>
  </w:font>
  <w:font w:name="方正小标宋简体">
    <w:panose1 w:val="02010601030101010101"/>
    <w:charset w:val="86"/>
    <w:family w:val="script"/>
    <w:pitch w:val="default"/>
    <w:sig w:usb0="00000001" w:usb1="080E0000" w:usb2="00000000" w:usb3="00000000" w:csb0="00040000" w:csb1="00000000"/>
  </w:font>
  <w:font w:name="SimHei-Identity-H">
    <w:altName w:val="黑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pPr>
    <w:r>
      <w:rPr>
        <w:rStyle w:val="35"/>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pPr>
    <w:r>
      <w:rPr>
        <w:rStyle w:val="35"/>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pict>
        <v:shape id="文本框 1031" o:spid="_x0000_s206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9"/>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pPr>
    <w:r>
      <w:rPr>
        <w:rStyle w:val="35"/>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pPr>
    <w:r>
      <w:rPr>
        <w:rStyle w:val="35"/>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ind w:right="360" w:firstLine="360"/>
      <w:jc w:val="right"/>
    </w:pPr>
    <w:r>
      <w:pict>
        <v:shape id="文本框 1032" o:spid="_x0000_s2056"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9"/>
                  <w:rPr>
                    <w:rStyle w:val="35"/>
                  </w:rPr>
                </w:pPr>
                <w:r>
                  <w:fldChar w:fldCharType="begin"/>
                </w:r>
                <w:r>
                  <w:rPr>
                    <w:rStyle w:val="35"/>
                  </w:rPr>
                  <w:instrText xml:space="preserve">PAGE  </w:instrText>
                </w:r>
                <w:r>
                  <w:fldChar w:fldCharType="separate"/>
                </w:r>
                <w:r>
                  <w:rPr>
                    <w:rStyle w:val="35"/>
                  </w:rPr>
                  <w:t>9</w:t>
                </w:r>
                <w:r>
                  <w:fldChar w:fldCharType="end"/>
                </w:r>
              </w:p>
            </w:txbxContent>
          </v:textbox>
        </v:shape>
      </w:pict>
    </w:r>
    <w:r>
      <w:rPr>
        <w:rStyle w:val="35"/>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pPr>
    <w:r>
      <w:pict>
        <v:shape id="文本框 1033" o:spid="_x0000_s205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9"/>
                  <w:wordWrap w:val="0"/>
                  <w:jc w:val="both"/>
                </w:pPr>
                <w:r>
                  <w:fldChar w:fldCharType="begin"/>
                </w:r>
                <w:r>
                  <w:instrText xml:space="preserve"> PAGE </w:instrText>
                </w:r>
                <w:r>
                  <w:fldChar w:fldCharType="separate"/>
                </w:r>
                <w:r>
                  <w:t>4</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w:pict>
        <v:shape id="_x0000_s2063" o:spid="_x0000_s2063"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III</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sz w:val="21"/>
        <w:szCs w:val="21"/>
      </w:rPr>
      <w:t>JJF(新)</w:t>
    </w:r>
    <w:r>
      <w:rPr>
        <w:rFonts w:hint="eastAsia" w:cs="Times New Roman"/>
        <w:b/>
        <w:sz w:val="21"/>
        <w:szCs w:val="21"/>
        <w:lang w:val="en-US" w:eastAsia="zh-CN"/>
      </w:rPr>
      <w:t>XX</w:t>
    </w:r>
    <w:r>
      <w:rPr>
        <w:rFonts w:hint="default" w:ascii="Times New Roman" w:hAnsi="Times New Roman" w:eastAsia="宋体" w:cs="Times New Roman"/>
        <w:b/>
        <w:sz w:val="21"/>
        <w:szCs w:val="21"/>
      </w:rPr>
      <w:t>-20</w:t>
    </w:r>
    <w:r>
      <w:rPr>
        <w:rFonts w:hint="default" w:ascii="Times New Roman" w:hAnsi="Times New Roman" w:eastAsia="宋体" w:cs="Times New Roman"/>
        <w:b/>
        <w:sz w:val="21"/>
        <w:szCs w:val="21"/>
        <w:lang w:val="en-US" w:eastAsia="zh-CN"/>
      </w:rPr>
      <w:t>2</w:t>
    </w:r>
    <w:r>
      <w:rPr>
        <w:rFonts w:hint="eastAsia" w:cs="Times New Roman"/>
        <w:b/>
        <w:sz w:val="21"/>
        <w:szCs w:val="21"/>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b/>
      </w:rPr>
    </w:pPr>
    <w:r>
      <w:rPr>
        <w:rFonts w:ascii="黑体" w:eastAsia="黑体"/>
        <w:b/>
        <w:sz w:val="21"/>
        <w:szCs w:val="21"/>
      </w:rPr>
      <w:t>JJG(</w:t>
    </w:r>
    <w:r>
      <w:rPr>
        <w:rFonts w:hint="eastAsia" w:ascii="黑体" w:eastAsia="黑体"/>
        <w:b/>
        <w:sz w:val="21"/>
        <w:szCs w:val="21"/>
      </w:rPr>
      <w:t>新</w:t>
    </w:r>
    <w:r>
      <w:rPr>
        <w:rFonts w:ascii="黑体" w:eastAsia="黑体"/>
        <w:b/>
        <w:sz w:val="21"/>
        <w:szCs w:val="21"/>
      </w:rPr>
      <w:t>)</w:t>
    </w:r>
    <w:r>
      <w:rPr>
        <w:rFonts w:hint="eastAsia" w:ascii="黑体" w:eastAsia="黑体"/>
        <w:b/>
        <w:sz w:val="21"/>
        <w:szCs w:val="21"/>
      </w:rPr>
      <w:t>**－</w:t>
    </w:r>
    <w:r>
      <w:rPr>
        <w:rFonts w:ascii="黑体" w:eastAsia="黑体"/>
        <w:b/>
        <w:sz w:val="21"/>
        <w:szCs w:val="21"/>
      </w:rPr>
      <w:t>20</w:t>
    </w:r>
    <w:r>
      <w:rPr>
        <w:rFonts w:hint="eastAsia" w:ascii="黑体" w:eastAsia="黑体"/>
        <w:b/>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sz w:val="21"/>
        <w:szCs w:val="21"/>
      </w:rPr>
      <w:t>JJF(新)</w:t>
    </w:r>
    <w:r>
      <w:rPr>
        <w:rFonts w:hint="eastAsia" w:cs="Times New Roman"/>
        <w:b/>
        <w:sz w:val="21"/>
        <w:szCs w:val="21"/>
        <w:lang w:val="en-US" w:eastAsia="zh-CN"/>
      </w:rPr>
      <w:t>XX</w:t>
    </w:r>
    <w:r>
      <w:rPr>
        <w:rFonts w:hint="default" w:ascii="Times New Roman" w:hAnsi="Times New Roman" w:eastAsia="宋体" w:cs="Times New Roman"/>
        <w:b/>
        <w:sz w:val="21"/>
        <w:szCs w:val="21"/>
      </w:rPr>
      <w:t>-20</w:t>
    </w:r>
    <w:r>
      <w:rPr>
        <w:rFonts w:hint="default" w:ascii="Times New Roman" w:hAnsi="Times New Roman" w:eastAsia="宋体" w:cs="Times New Roman"/>
        <w:b/>
        <w:sz w:val="21"/>
        <w:szCs w:val="21"/>
        <w:lang w:val="en-US" w:eastAsia="zh-CN"/>
      </w:rPr>
      <w:t>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eastAsia" w:ascii="Times New Roman" w:hAnsi="Times New Roman" w:eastAsia="宋体" w:cs="Times New Roman"/>
        <w:b/>
        <w:sz w:val="21"/>
        <w:szCs w:val="21"/>
        <w:lang w:val="en-US" w:eastAsia="zh-CN"/>
      </w:rPr>
    </w:pPr>
    <w:r>
      <w:rPr>
        <w:rFonts w:hint="eastAsia" w:ascii="Times New Roman" w:hAnsi="Times New Roman" w:eastAsia="宋体" w:cs="Times New Roman"/>
        <w:b/>
        <w:sz w:val="21"/>
        <w:szCs w:val="21"/>
      </w:rPr>
      <w:t>JJF(新)</w:t>
    </w:r>
    <w:r>
      <w:rPr>
        <w:rFonts w:hint="eastAsia" w:ascii="Times New Roman" w:hAnsi="Times New Roman" w:eastAsia="宋体" w:cs="Times New Roman"/>
        <w:b/>
        <w:sz w:val="21"/>
        <w:szCs w:val="21"/>
        <w:lang w:val="en-US" w:eastAsia="zh-CN"/>
      </w:rPr>
      <w:t>XX</w:t>
    </w:r>
    <w:r>
      <w:rPr>
        <w:rFonts w:hint="eastAsia" w:ascii="Times New Roman" w:hAnsi="Times New Roman" w:eastAsia="宋体" w:cs="Times New Roman"/>
        <w:b/>
        <w:sz w:val="21"/>
        <w:szCs w:val="21"/>
      </w:rPr>
      <w:t>-20</w:t>
    </w:r>
    <w:r>
      <w:rPr>
        <w:rFonts w:hint="eastAsia" w:ascii="Times New Roman" w:hAnsi="Times New Roman" w:eastAsia="宋体" w:cs="Times New Roman"/>
        <w:b/>
        <w:sz w:val="21"/>
        <w:szCs w:val="21"/>
        <w:lang w:val="en-US" w:eastAsia="zh-CN"/>
      </w:rPr>
      <w:t>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sz w:val="21"/>
        <w:szCs w:val="21"/>
      </w:rPr>
      <w:t>JJF(新)</w:t>
    </w:r>
    <w:r>
      <w:rPr>
        <w:rFonts w:hint="eastAsia" w:cs="Times New Roman"/>
        <w:b/>
        <w:sz w:val="21"/>
        <w:szCs w:val="21"/>
        <w:lang w:val="en-US" w:eastAsia="zh-CN"/>
      </w:rPr>
      <w:t>XX</w:t>
    </w:r>
    <w:r>
      <w:rPr>
        <w:rFonts w:hint="default" w:ascii="Times New Roman" w:hAnsi="Times New Roman" w:eastAsia="宋体" w:cs="Times New Roman"/>
        <w:b/>
        <w:sz w:val="21"/>
        <w:szCs w:val="21"/>
      </w:rPr>
      <w:t>-20</w:t>
    </w:r>
    <w:r>
      <w:rPr>
        <w:rFonts w:hint="default" w:ascii="Times New Roman" w:hAnsi="Times New Roman" w:eastAsia="宋体" w:cs="Times New Roman"/>
        <w:b/>
        <w:sz w:val="21"/>
        <w:szCs w:val="21"/>
        <w:lang w:val="en-US" w:eastAsia="zh-CN"/>
      </w:rPr>
      <w:t>2</w:t>
    </w:r>
    <w:r>
      <w:rPr>
        <w:rFonts w:hint="eastAsia" w:cs="Times New Roman"/>
        <w:b/>
        <w:sz w:val="21"/>
        <w:szCs w:val="21"/>
        <w:lang w:val="en-US" w:eastAsia="zh-CN"/>
      </w:rPr>
      <w:t>1</w:t>
    </w:r>
  </w:p>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70"/>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
    <w:nsid w:val="33557C4B"/>
    <w:multiLevelType w:val="multilevel"/>
    <w:tmpl w:val="33557C4B"/>
    <w:lvl w:ilvl="0" w:tentative="0">
      <w:start w:val="1"/>
      <w:numFmt w:val="decimal"/>
      <w:lvlText w:val="%1"/>
      <w:lvlJc w:val="left"/>
      <w:pPr>
        <w:tabs>
          <w:tab w:val="left" w:pos="432"/>
        </w:tabs>
        <w:ind w:left="432" w:hanging="432"/>
      </w:pPr>
      <w:rPr>
        <w:rFonts w:hint="eastAsia"/>
      </w:rPr>
    </w:lvl>
    <w:lvl w:ilvl="1" w:tentative="0">
      <w:start w:val="1"/>
      <w:numFmt w:val="decimal"/>
      <w:suff w:val="space"/>
      <w:lvlText w:val="%1.%2 "/>
      <w:lvlJc w:val="left"/>
      <w:pPr>
        <w:ind w:left="576" w:hanging="576"/>
      </w:pPr>
      <w:rPr>
        <w:rFonts w:hint="eastAsia"/>
      </w:rPr>
    </w:lvl>
    <w:lvl w:ilvl="2" w:tentative="0">
      <w:start w:val="1"/>
      <w:numFmt w:val="decimal"/>
      <w:suff w:val="space"/>
      <w:lvlText w:val="%1.%2.%3 "/>
      <w:lvlJc w:val="left"/>
      <w:pPr>
        <w:ind w:left="0" w:firstLine="0"/>
      </w:pPr>
      <w:rPr>
        <w:rFonts w:hint="eastAsia"/>
      </w:rPr>
    </w:lvl>
    <w:lvl w:ilvl="3" w:tentative="0">
      <w:start w:val="1"/>
      <w:numFmt w:val="decimal"/>
      <w:suff w:val="space"/>
      <w:lvlText w:val="%1.%2.%3.%4 "/>
      <w:lvlJc w:val="left"/>
      <w:pPr>
        <w:ind w:left="0" w:firstLine="0"/>
      </w:pPr>
      <w:rPr>
        <w:rFonts w:hint="eastAsia"/>
      </w:rPr>
    </w:lvl>
    <w:lvl w:ilvl="4" w:tentative="0">
      <w:start w:val="1"/>
      <w:numFmt w:val="decimal"/>
      <w:pStyle w:val="5"/>
      <w:suff w:val="space"/>
      <w:lvlText w:val="    %5）"/>
      <w:lvlJc w:val="left"/>
      <w:pPr>
        <w:ind w:left="0" w:firstLine="0"/>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2BB4"/>
    <w:rsid w:val="00020663"/>
    <w:rsid w:val="00023FE3"/>
    <w:rsid w:val="00024812"/>
    <w:rsid w:val="00031E3F"/>
    <w:rsid w:val="00033F08"/>
    <w:rsid w:val="00037645"/>
    <w:rsid w:val="00050747"/>
    <w:rsid w:val="00056203"/>
    <w:rsid w:val="000563FE"/>
    <w:rsid w:val="0006089B"/>
    <w:rsid w:val="00080D88"/>
    <w:rsid w:val="00082328"/>
    <w:rsid w:val="0008472A"/>
    <w:rsid w:val="000876F6"/>
    <w:rsid w:val="000A1675"/>
    <w:rsid w:val="000A4279"/>
    <w:rsid w:val="000A43BC"/>
    <w:rsid w:val="000B748F"/>
    <w:rsid w:val="000C1F18"/>
    <w:rsid w:val="000C25C6"/>
    <w:rsid w:val="000C2B2A"/>
    <w:rsid w:val="000C78EE"/>
    <w:rsid w:val="000D1BBF"/>
    <w:rsid w:val="000D2758"/>
    <w:rsid w:val="000D4A2C"/>
    <w:rsid w:val="000D6FE8"/>
    <w:rsid w:val="000E3EC8"/>
    <w:rsid w:val="000E417A"/>
    <w:rsid w:val="000E4B73"/>
    <w:rsid w:val="000F0E0C"/>
    <w:rsid w:val="000F5C83"/>
    <w:rsid w:val="00106990"/>
    <w:rsid w:val="00106CEB"/>
    <w:rsid w:val="001261D6"/>
    <w:rsid w:val="001337EB"/>
    <w:rsid w:val="00154D5A"/>
    <w:rsid w:val="00155A71"/>
    <w:rsid w:val="00155E4D"/>
    <w:rsid w:val="0016274E"/>
    <w:rsid w:val="00166B4C"/>
    <w:rsid w:val="00167CF7"/>
    <w:rsid w:val="00170BFA"/>
    <w:rsid w:val="00172A27"/>
    <w:rsid w:val="00172DA1"/>
    <w:rsid w:val="00180BCF"/>
    <w:rsid w:val="001810A4"/>
    <w:rsid w:val="00186A2B"/>
    <w:rsid w:val="00187377"/>
    <w:rsid w:val="00191328"/>
    <w:rsid w:val="00194540"/>
    <w:rsid w:val="00194D96"/>
    <w:rsid w:val="001A1B65"/>
    <w:rsid w:val="001A4B86"/>
    <w:rsid w:val="001A6822"/>
    <w:rsid w:val="001A7AC2"/>
    <w:rsid w:val="001B0551"/>
    <w:rsid w:val="001C2D05"/>
    <w:rsid w:val="001C4A65"/>
    <w:rsid w:val="001C5A7C"/>
    <w:rsid w:val="001D379D"/>
    <w:rsid w:val="001D5781"/>
    <w:rsid w:val="001D5B79"/>
    <w:rsid w:val="001D7BA6"/>
    <w:rsid w:val="001E1194"/>
    <w:rsid w:val="001F2DF3"/>
    <w:rsid w:val="0020546F"/>
    <w:rsid w:val="00205F62"/>
    <w:rsid w:val="0020640B"/>
    <w:rsid w:val="002076E2"/>
    <w:rsid w:val="0021230B"/>
    <w:rsid w:val="0021596D"/>
    <w:rsid w:val="002227CF"/>
    <w:rsid w:val="002232BA"/>
    <w:rsid w:val="002261A3"/>
    <w:rsid w:val="002263BD"/>
    <w:rsid w:val="00230D92"/>
    <w:rsid w:val="0025222C"/>
    <w:rsid w:val="00257309"/>
    <w:rsid w:val="00273997"/>
    <w:rsid w:val="002757EA"/>
    <w:rsid w:val="002773C6"/>
    <w:rsid w:val="00281D97"/>
    <w:rsid w:val="002837CE"/>
    <w:rsid w:val="002861B4"/>
    <w:rsid w:val="0029385C"/>
    <w:rsid w:val="002A31C9"/>
    <w:rsid w:val="002B033A"/>
    <w:rsid w:val="002C24A2"/>
    <w:rsid w:val="002D0197"/>
    <w:rsid w:val="002D14FF"/>
    <w:rsid w:val="002D4530"/>
    <w:rsid w:val="002D7BCE"/>
    <w:rsid w:val="002F401F"/>
    <w:rsid w:val="003059ED"/>
    <w:rsid w:val="003122E8"/>
    <w:rsid w:val="00315442"/>
    <w:rsid w:val="003177E3"/>
    <w:rsid w:val="00342E64"/>
    <w:rsid w:val="00353BD9"/>
    <w:rsid w:val="00362273"/>
    <w:rsid w:val="0037159A"/>
    <w:rsid w:val="00372C6E"/>
    <w:rsid w:val="00372EF3"/>
    <w:rsid w:val="003829C8"/>
    <w:rsid w:val="00382D97"/>
    <w:rsid w:val="00382DFF"/>
    <w:rsid w:val="00397A55"/>
    <w:rsid w:val="003A1F60"/>
    <w:rsid w:val="003A26B9"/>
    <w:rsid w:val="003A4CC6"/>
    <w:rsid w:val="003B5C2A"/>
    <w:rsid w:val="003B622E"/>
    <w:rsid w:val="003B7CBC"/>
    <w:rsid w:val="003C0B41"/>
    <w:rsid w:val="003C1DCE"/>
    <w:rsid w:val="003C24C1"/>
    <w:rsid w:val="003C4C4D"/>
    <w:rsid w:val="003D512C"/>
    <w:rsid w:val="003E1982"/>
    <w:rsid w:val="003E35CE"/>
    <w:rsid w:val="003E45E2"/>
    <w:rsid w:val="00402E96"/>
    <w:rsid w:val="00412719"/>
    <w:rsid w:val="00412A68"/>
    <w:rsid w:val="00415A3E"/>
    <w:rsid w:val="00415BC2"/>
    <w:rsid w:val="00416C16"/>
    <w:rsid w:val="00421E32"/>
    <w:rsid w:val="004256B9"/>
    <w:rsid w:val="00427931"/>
    <w:rsid w:val="00433086"/>
    <w:rsid w:val="00434487"/>
    <w:rsid w:val="004345B7"/>
    <w:rsid w:val="00434AB0"/>
    <w:rsid w:val="0043623A"/>
    <w:rsid w:val="004407AE"/>
    <w:rsid w:val="004421AF"/>
    <w:rsid w:val="00442FF9"/>
    <w:rsid w:val="00443BC4"/>
    <w:rsid w:val="00443CFD"/>
    <w:rsid w:val="00444511"/>
    <w:rsid w:val="00446585"/>
    <w:rsid w:val="00454381"/>
    <w:rsid w:val="00463220"/>
    <w:rsid w:val="00466F31"/>
    <w:rsid w:val="00471B81"/>
    <w:rsid w:val="00477F8A"/>
    <w:rsid w:val="00480F6C"/>
    <w:rsid w:val="00486FA7"/>
    <w:rsid w:val="0048755E"/>
    <w:rsid w:val="004A5ADA"/>
    <w:rsid w:val="004B7F95"/>
    <w:rsid w:val="004C0287"/>
    <w:rsid w:val="004E0534"/>
    <w:rsid w:val="004E107D"/>
    <w:rsid w:val="004F0FC7"/>
    <w:rsid w:val="00501E63"/>
    <w:rsid w:val="00514CD5"/>
    <w:rsid w:val="00524096"/>
    <w:rsid w:val="0052682B"/>
    <w:rsid w:val="00531FA4"/>
    <w:rsid w:val="00541883"/>
    <w:rsid w:val="00544861"/>
    <w:rsid w:val="0055044C"/>
    <w:rsid w:val="0055478F"/>
    <w:rsid w:val="00557690"/>
    <w:rsid w:val="00584EA7"/>
    <w:rsid w:val="00587A0E"/>
    <w:rsid w:val="00590B8C"/>
    <w:rsid w:val="00592B67"/>
    <w:rsid w:val="005957F8"/>
    <w:rsid w:val="005A4597"/>
    <w:rsid w:val="005B1C5D"/>
    <w:rsid w:val="005B70A3"/>
    <w:rsid w:val="005B7BC5"/>
    <w:rsid w:val="005C5E10"/>
    <w:rsid w:val="005C621D"/>
    <w:rsid w:val="005C7F57"/>
    <w:rsid w:val="005D58DC"/>
    <w:rsid w:val="005D700A"/>
    <w:rsid w:val="005E1DD4"/>
    <w:rsid w:val="005E4DE0"/>
    <w:rsid w:val="005F1D78"/>
    <w:rsid w:val="005F52E0"/>
    <w:rsid w:val="0060182F"/>
    <w:rsid w:val="00615A83"/>
    <w:rsid w:val="006236DC"/>
    <w:rsid w:val="00624118"/>
    <w:rsid w:val="006243B4"/>
    <w:rsid w:val="00625280"/>
    <w:rsid w:val="006257D5"/>
    <w:rsid w:val="006320BB"/>
    <w:rsid w:val="00644263"/>
    <w:rsid w:val="00646AFF"/>
    <w:rsid w:val="00656067"/>
    <w:rsid w:val="0066174A"/>
    <w:rsid w:val="00676477"/>
    <w:rsid w:val="00680777"/>
    <w:rsid w:val="006835F4"/>
    <w:rsid w:val="0069289C"/>
    <w:rsid w:val="00696C4D"/>
    <w:rsid w:val="006A7BCD"/>
    <w:rsid w:val="006B1BD1"/>
    <w:rsid w:val="006C061A"/>
    <w:rsid w:val="006C22AC"/>
    <w:rsid w:val="006C2C96"/>
    <w:rsid w:val="006C67FF"/>
    <w:rsid w:val="006C77AA"/>
    <w:rsid w:val="006E06B7"/>
    <w:rsid w:val="006E2E13"/>
    <w:rsid w:val="00710603"/>
    <w:rsid w:val="00710A80"/>
    <w:rsid w:val="00711132"/>
    <w:rsid w:val="00711B36"/>
    <w:rsid w:val="007133B8"/>
    <w:rsid w:val="00733ED7"/>
    <w:rsid w:val="00742CA6"/>
    <w:rsid w:val="00745B17"/>
    <w:rsid w:val="00746123"/>
    <w:rsid w:val="00747445"/>
    <w:rsid w:val="00747C65"/>
    <w:rsid w:val="0076092F"/>
    <w:rsid w:val="007613BF"/>
    <w:rsid w:val="007648F8"/>
    <w:rsid w:val="00764BFC"/>
    <w:rsid w:val="007711B3"/>
    <w:rsid w:val="00776CDD"/>
    <w:rsid w:val="0079166E"/>
    <w:rsid w:val="0079370C"/>
    <w:rsid w:val="007956B9"/>
    <w:rsid w:val="007A064A"/>
    <w:rsid w:val="007A5900"/>
    <w:rsid w:val="007B1A23"/>
    <w:rsid w:val="007C13B9"/>
    <w:rsid w:val="007C2B4B"/>
    <w:rsid w:val="007C7AF2"/>
    <w:rsid w:val="007E23EB"/>
    <w:rsid w:val="007E4032"/>
    <w:rsid w:val="007E59C2"/>
    <w:rsid w:val="007E7AE1"/>
    <w:rsid w:val="007F0CDE"/>
    <w:rsid w:val="007F3C91"/>
    <w:rsid w:val="00806ABF"/>
    <w:rsid w:val="00810AFE"/>
    <w:rsid w:val="008125F0"/>
    <w:rsid w:val="00823EEA"/>
    <w:rsid w:val="00836B9A"/>
    <w:rsid w:val="008453B6"/>
    <w:rsid w:val="00850F14"/>
    <w:rsid w:val="00852EE1"/>
    <w:rsid w:val="00854A22"/>
    <w:rsid w:val="00857E16"/>
    <w:rsid w:val="00863DE7"/>
    <w:rsid w:val="00866A7C"/>
    <w:rsid w:val="008772F4"/>
    <w:rsid w:val="0088161F"/>
    <w:rsid w:val="00882FF6"/>
    <w:rsid w:val="008838F1"/>
    <w:rsid w:val="00883966"/>
    <w:rsid w:val="008850ED"/>
    <w:rsid w:val="00885C5A"/>
    <w:rsid w:val="00885F79"/>
    <w:rsid w:val="0089093C"/>
    <w:rsid w:val="00892FD9"/>
    <w:rsid w:val="0089516D"/>
    <w:rsid w:val="00897920"/>
    <w:rsid w:val="008B0A8A"/>
    <w:rsid w:val="008B0D9C"/>
    <w:rsid w:val="008B3B6D"/>
    <w:rsid w:val="008B59E6"/>
    <w:rsid w:val="008C2650"/>
    <w:rsid w:val="008C3006"/>
    <w:rsid w:val="008C4990"/>
    <w:rsid w:val="008C7948"/>
    <w:rsid w:val="008D0750"/>
    <w:rsid w:val="008D19AA"/>
    <w:rsid w:val="008D321F"/>
    <w:rsid w:val="008D5353"/>
    <w:rsid w:val="00900CCB"/>
    <w:rsid w:val="00902CE9"/>
    <w:rsid w:val="00913CFE"/>
    <w:rsid w:val="00924689"/>
    <w:rsid w:val="00926419"/>
    <w:rsid w:val="009272AF"/>
    <w:rsid w:val="00930222"/>
    <w:rsid w:val="009317F5"/>
    <w:rsid w:val="00931C24"/>
    <w:rsid w:val="00934F20"/>
    <w:rsid w:val="0095515B"/>
    <w:rsid w:val="009711E9"/>
    <w:rsid w:val="0098040D"/>
    <w:rsid w:val="009840BC"/>
    <w:rsid w:val="00991295"/>
    <w:rsid w:val="009A0ED8"/>
    <w:rsid w:val="009A1ED8"/>
    <w:rsid w:val="009C45FB"/>
    <w:rsid w:val="009D138A"/>
    <w:rsid w:val="009D7896"/>
    <w:rsid w:val="009E55AF"/>
    <w:rsid w:val="009E5850"/>
    <w:rsid w:val="009E6CDC"/>
    <w:rsid w:val="009F312A"/>
    <w:rsid w:val="009F3DCF"/>
    <w:rsid w:val="00A06616"/>
    <w:rsid w:val="00A12F09"/>
    <w:rsid w:val="00A151E6"/>
    <w:rsid w:val="00A21E7B"/>
    <w:rsid w:val="00A23174"/>
    <w:rsid w:val="00A33C09"/>
    <w:rsid w:val="00A652F1"/>
    <w:rsid w:val="00A661D8"/>
    <w:rsid w:val="00A66F3D"/>
    <w:rsid w:val="00A71029"/>
    <w:rsid w:val="00A8270B"/>
    <w:rsid w:val="00A87ECA"/>
    <w:rsid w:val="00AA0E4D"/>
    <w:rsid w:val="00AC0897"/>
    <w:rsid w:val="00AD095D"/>
    <w:rsid w:val="00AD3283"/>
    <w:rsid w:val="00AE1EF5"/>
    <w:rsid w:val="00AE27F5"/>
    <w:rsid w:val="00AE2D4A"/>
    <w:rsid w:val="00AE79AA"/>
    <w:rsid w:val="00AF1742"/>
    <w:rsid w:val="00AF3DF9"/>
    <w:rsid w:val="00AF4F65"/>
    <w:rsid w:val="00B10442"/>
    <w:rsid w:val="00B117EC"/>
    <w:rsid w:val="00B12B66"/>
    <w:rsid w:val="00B15AED"/>
    <w:rsid w:val="00B20ABE"/>
    <w:rsid w:val="00B23285"/>
    <w:rsid w:val="00B25027"/>
    <w:rsid w:val="00B34761"/>
    <w:rsid w:val="00B37432"/>
    <w:rsid w:val="00B4035B"/>
    <w:rsid w:val="00B45661"/>
    <w:rsid w:val="00B469EA"/>
    <w:rsid w:val="00B579AD"/>
    <w:rsid w:val="00B67E04"/>
    <w:rsid w:val="00B67F84"/>
    <w:rsid w:val="00B72223"/>
    <w:rsid w:val="00B94368"/>
    <w:rsid w:val="00B947A0"/>
    <w:rsid w:val="00BB1137"/>
    <w:rsid w:val="00BB20F7"/>
    <w:rsid w:val="00BB2381"/>
    <w:rsid w:val="00BB40C0"/>
    <w:rsid w:val="00BB4A87"/>
    <w:rsid w:val="00BB5270"/>
    <w:rsid w:val="00BC3901"/>
    <w:rsid w:val="00BC7DA5"/>
    <w:rsid w:val="00BD37B8"/>
    <w:rsid w:val="00BE14A8"/>
    <w:rsid w:val="00BE5265"/>
    <w:rsid w:val="00BF152B"/>
    <w:rsid w:val="00BF35BD"/>
    <w:rsid w:val="00BF5277"/>
    <w:rsid w:val="00C01040"/>
    <w:rsid w:val="00C02AE4"/>
    <w:rsid w:val="00C22354"/>
    <w:rsid w:val="00C30BE0"/>
    <w:rsid w:val="00C35FAE"/>
    <w:rsid w:val="00C372B8"/>
    <w:rsid w:val="00C4121E"/>
    <w:rsid w:val="00C42685"/>
    <w:rsid w:val="00C47261"/>
    <w:rsid w:val="00C50A1A"/>
    <w:rsid w:val="00C54743"/>
    <w:rsid w:val="00C62C60"/>
    <w:rsid w:val="00C65D59"/>
    <w:rsid w:val="00C660B9"/>
    <w:rsid w:val="00C71B6D"/>
    <w:rsid w:val="00C76C86"/>
    <w:rsid w:val="00C81372"/>
    <w:rsid w:val="00C81F08"/>
    <w:rsid w:val="00C82476"/>
    <w:rsid w:val="00C8301C"/>
    <w:rsid w:val="00C87F08"/>
    <w:rsid w:val="00C91836"/>
    <w:rsid w:val="00CA1DDA"/>
    <w:rsid w:val="00CB37CB"/>
    <w:rsid w:val="00CB55D7"/>
    <w:rsid w:val="00CB643B"/>
    <w:rsid w:val="00CC0475"/>
    <w:rsid w:val="00CD331D"/>
    <w:rsid w:val="00CD7BDA"/>
    <w:rsid w:val="00CE2B66"/>
    <w:rsid w:val="00CF03CF"/>
    <w:rsid w:val="00CF5CE6"/>
    <w:rsid w:val="00CF64CD"/>
    <w:rsid w:val="00D00B47"/>
    <w:rsid w:val="00D00BEC"/>
    <w:rsid w:val="00D02EF2"/>
    <w:rsid w:val="00D13F02"/>
    <w:rsid w:val="00D22643"/>
    <w:rsid w:val="00D26F60"/>
    <w:rsid w:val="00D422D6"/>
    <w:rsid w:val="00D44035"/>
    <w:rsid w:val="00D46D0D"/>
    <w:rsid w:val="00D51E47"/>
    <w:rsid w:val="00D52080"/>
    <w:rsid w:val="00D54681"/>
    <w:rsid w:val="00D553D5"/>
    <w:rsid w:val="00D569BC"/>
    <w:rsid w:val="00D56D1F"/>
    <w:rsid w:val="00D706B3"/>
    <w:rsid w:val="00D768A7"/>
    <w:rsid w:val="00D845CE"/>
    <w:rsid w:val="00D84CFC"/>
    <w:rsid w:val="00D86F83"/>
    <w:rsid w:val="00DA377E"/>
    <w:rsid w:val="00DA5969"/>
    <w:rsid w:val="00DC189E"/>
    <w:rsid w:val="00DC30FA"/>
    <w:rsid w:val="00DE009E"/>
    <w:rsid w:val="00DE24D8"/>
    <w:rsid w:val="00DE3829"/>
    <w:rsid w:val="00DE5E8C"/>
    <w:rsid w:val="00DF1A19"/>
    <w:rsid w:val="00DF791E"/>
    <w:rsid w:val="00E00448"/>
    <w:rsid w:val="00E055F8"/>
    <w:rsid w:val="00E0709B"/>
    <w:rsid w:val="00E10447"/>
    <w:rsid w:val="00E11BE4"/>
    <w:rsid w:val="00E1221B"/>
    <w:rsid w:val="00E13FC6"/>
    <w:rsid w:val="00E2595C"/>
    <w:rsid w:val="00E434D3"/>
    <w:rsid w:val="00E46854"/>
    <w:rsid w:val="00E57885"/>
    <w:rsid w:val="00E6324E"/>
    <w:rsid w:val="00E7271D"/>
    <w:rsid w:val="00E92F30"/>
    <w:rsid w:val="00E97AB8"/>
    <w:rsid w:val="00EA1B65"/>
    <w:rsid w:val="00EA71DD"/>
    <w:rsid w:val="00EA7AD7"/>
    <w:rsid w:val="00EB4045"/>
    <w:rsid w:val="00EC767E"/>
    <w:rsid w:val="00ED364A"/>
    <w:rsid w:val="00EE2DF2"/>
    <w:rsid w:val="00EE4F3B"/>
    <w:rsid w:val="00EE5EBC"/>
    <w:rsid w:val="00EF2093"/>
    <w:rsid w:val="00EF34DC"/>
    <w:rsid w:val="00EF4C68"/>
    <w:rsid w:val="00EF64B0"/>
    <w:rsid w:val="00F04D4E"/>
    <w:rsid w:val="00F05625"/>
    <w:rsid w:val="00F12C5B"/>
    <w:rsid w:val="00F145C5"/>
    <w:rsid w:val="00F15C77"/>
    <w:rsid w:val="00F16F31"/>
    <w:rsid w:val="00F22012"/>
    <w:rsid w:val="00F248E8"/>
    <w:rsid w:val="00F258A4"/>
    <w:rsid w:val="00F30446"/>
    <w:rsid w:val="00F3272F"/>
    <w:rsid w:val="00F370A3"/>
    <w:rsid w:val="00F37A44"/>
    <w:rsid w:val="00F47FF0"/>
    <w:rsid w:val="00F60DCC"/>
    <w:rsid w:val="00F61A47"/>
    <w:rsid w:val="00F960B1"/>
    <w:rsid w:val="00F97A2F"/>
    <w:rsid w:val="00FA76D4"/>
    <w:rsid w:val="00FD0832"/>
    <w:rsid w:val="00FE0274"/>
    <w:rsid w:val="00FE6D7F"/>
    <w:rsid w:val="00FF3818"/>
    <w:rsid w:val="01270B06"/>
    <w:rsid w:val="016379E3"/>
    <w:rsid w:val="017954F6"/>
    <w:rsid w:val="02187EAE"/>
    <w:rsid w:val="02292AA3"/>
    <w:rsid w:val="024C70A9"/>
    <w:rsid w:val="02626184"/>
    <w:rsid w:val="02636C4E"/>
    <w:rsid w:val="02A16ED2"/>
    <w:rsid w:val="02E47E09"/>
    <w:rsid w:val="03275A29"/>
    <w:rsid w:val="032B6A2D"/>
    <w:rsid w:val="03792C65"/>
    <w:rsid w:val="03AA7AD8"/>
    <w:rsid w:val="03AE08FE"/>
    <w:rsid w:val="03B96A26"/>
    <w:rsid w:val="03CC29B6"/>
    <w:rsid w:val="03FB05C3"/>
    <w:rsid w:val="049B1C4E"/>
    <w:rsid w:val="04D50595"/>
    <w:rsid w:val="05421C50"/>
    <w:rsid w:val="0599722A"/>
    <w:rsid w:val="05A53C31"/>
    <w:rsid w:val="05B147D1"/>
    <w:rsid w:val="06016515"/>
    <w:rsid w:val="06532D42"/>
    <w:rsid w:val="06AF4F0C"/>
    <w:rsid w:val="06D50362"/>
    <w:rsid w:val="075D0C8B"/>
    <w:rsid w:val="075F0A7E"/>
    <w:rsid w:val="07C75822"/>
    <w:rsid w:val="080D02BF"/>
    <w:rsid w:val="08284BDE"/>
    <w:rsid w:val="082A2F70"/>
    <w:rsid w:val="083C0273"/>
    <w:rsid w:val="08422B8C"/>
    <w:rsid w:val="08512EFB"/>
    <w:rsid w:val="08595623"/>
    <w:rsid w:val="0869168E"/>
    <w:rsid w:val="089058A3"/>
    <w:rsid w:val="092C3FF3"/>
    <w:rsid w:val="096541F1"/>
    <w:rsid w:val="09782A3E"/>
    <w:rsid w:val="0A2154D9"/>
    <w:rsid w:val="0AB4432C"/>
    <w:rsid w:val="0B036076"/>
    <w:rsid w:val="0B414C51"/>
    <w:rsid w:val="0B8337CA"/>
    <w:rsid w:val="0BA460EA"/>
    <w:rsid w:val="0C966339"/>
    <w:rsid w:val="0CFF0BEF"/>
    <w:rsid w:val="0D457024"/>
    <w:rsid w:val="0D667BCD"/>
    <w:rsid w:val="0D675BE8"/>
    <w:rsid w:val="0E094F14"/>
    <w:rsid w:val="0E2A62B5"/>
    <w:rsid w:val="0E475B49"/>
    <w:rsid w:val="0E57441B"/>
    <w:rsid w:val="0E643968"/>
    <w:rsid w:val="0EBD6898"/>
    <w:rsid w:val="0F10693D"/>
    <w:rsid w:val="0F183ADE"/>
    <w:rsid w:val="0F415180"/>
    <w:rsid w:val="0F4F43A0"/>
    <w:rsid w:val="0F532BE8"/>
    <w:rsid w:val="10AC5B9F"/>
    <w:rsid w:val="11CF6537"/>
    <w:rsid w:val="124871F4"/>
    <w:rsid w:val="125737C6"/>
    <w:rsid w:val="125B02B0"/>
    <w:rsid w:val="129942A6"/>
    <w:rsid w:val="13022C4A"/>
    <w:rsid w:val="13D71BAD"/>
    <w:rsid w:val="14061287"/>
    <w:rsid w:val="14136BCE"/>
    <w:rsid w:val="14372A25"/>
    <w:rsid w:val="144B7E55"/>
    <w:rsid w:val="146A2EF6"/>
    <w:rsid w:val="14A72664"/>
    <w:rsid w:val="14B23778"/>
    <w:rsid w:val="14DE3E8B"/>
    <w:rsid w:val="14EF05D1"/>
    <w:rsid w:val="153F1B1D"/>
    <w:rsid w:val="154E4BA9"/>
    <w:rsid w:val="15831097"/>
    <w:rsid w:val="159F62E7"/>
    <w:rsid w:val="15BA08FE"/>
    <w:rsid w:val="16307DAA"/>
    <w:rsid w:val="16960BBC"/>
    <w:rsid w:val="16A0150C"/>
    <w:rsid w:val="16C760AA"/>
    <w:rsid w:val="17A17384"/>
    <w:rsid w:val="17FA2642"/>
    <w:rsid w:val="18383396"/>
    <w:rsid w:val="189454D0"/>
    <w:rsid w:val="18FE0CD7"/>
    <w:rsid w:val="191634D0"/>
    <w:rsid w:val="191E2728"/>
    <w:rsid w:val="1925445F"/>
    <w:rsid w:val="196D6A9B"/>
    <w:rsid w:val="199C08FA"/>
    <w:rsid w:val="1A156C8D"/>
    <w:rsid w:val="1A1E04EB"/>
    <w:rsid w:val="1A2F7554"/>
    <w:rsid w:val="1A351656"/>
    <w:rsid w:val="1A692F54"/>
    <w:rsid w:val="1B2237BC"/>
    <w:rsid w:val="1B3328B8"/>
    <w:rsid w:val="1B625358"/>
    <w:rsid w:val="1B9E323F"/>
    <w:rsid w:val="1BF13D1D"/>
    <w:rsid w:val="1BFD2ED6"/>
    <w:rsid w:val="1C0165E8"/>
    <w:rsid w:val="1C1F5935"/>
    <w:rsid w:val="1C210630"/>
    <w:rsid w:val="1CC85207"/>
    <w:rsid w:val="1D9A2161"/>
    <w:rsid w:val="1DD670E4"/>
    <w:rsid w:val="1E116EFA"/>
    <w:rsid w:val="1E42311A"/>
    <w:rsid w:val="1EAC1967"/>
    <w:rsid w:val="1FB50574"/>
    <w:rsid w:val="1FD37240"/>
    <w:rsid w:val="21293CBB"/>
    <w:rsid w:val="21AE5D2C"/>
    <w:rsid w:val="21C009C4"/>
    <w:rsid w:val="21E85EF3"/>
    <w:rsid w:val="221A18C2"/>
    <w:rsid w:val="22447B89"/>
    <w:rsid w:val="23143CFE"/>
    <w:rsid w:val="23294659"/>
    <w:rsid w:val="23795C47"/>
    <w:rsid w:val="237A4098"/>
    <w:rsid w:val="24350589"/>
    <w:rsid w:val="244C66EA"/>
    <w:rsid w:val="246522BE"/>
    <w:rsid w:val="2469311E"/>
    <w:rsid w:val="24F70DC9"/>
    <w:rsid w:val="25160E81"/>
    <w:rsid w:val="25364475"/>
    <w:rsid w:val="253C03D1"/>
    <w:rsid w:val="258B59B7"/>
    <w:rsid w:val="25D12930"/>
    <w:rsid w:val="267951FA"/>
    <w:rsid w:val="267A7782"/>
    <w:rsid w:val="267B1A9D"/>
    <w:rsid w:val="26882E5C"/>
    <w:rsid w:val="273B047F"/>
    <w:rsid w:val="27D77E8F"/>
    <w:rsid w:val="2829586E"/>
    <w:rsid w:val="28344892"/>
    <w:rsid w:val="28E83E17"/>
    <w:rsid w:val="290930E8"/>
    <w:rsid w:val="290A2E1B"/>
    <w:rsid w:val="295A7E82"/>
    <w:rsid w:val="29CC6446"/>
    <w:rsid w:val="2A2A17EF"/>
    <w:rsid w:val="2A3744DD"/>
    <w:rsid w:val="2A381762"/>
    <w:rsid w:val="2A641D78"/>
    <w:rsid w:val="2AB425C4"/>
    <w:rsid w:val="2B035A2E"/>
    <w:rsid w:val="2B780508"/>
    <w:rsid w:val="2BE6641B"/>
    <w:rsid w:val="2C103A6F"/>
    <w:rsid w:val="2C2436A2"/>
    <w:rsid w:val="2C6B4CCF"/>
    <w:rsid w:val="2CE761BF"/>
    <w:rsid w:val="2D147D27"/>
    <w:rsid w:val="2D394CD1"/>
    <w:rsid w:val="2D3C7FCD"/>
    <w:rsid w:val="2D5D20CA"/>
    <w:rsid w:val="2DF83AA3"/>
    <w:rsid w:val="2E0C2E47"/>
    <w:rsid w:val="2E726EAB"/>
    <w:rsid w:val="2F4D1568"/>
    <w:rsid w:val="2F711594"/>
    <w:rsid w:val="2FD07B25"/>
    <w:rsid w:val="3108420A"/>
    <w:rsid w:val="31234186"/>
    <w:rsid w:val="314D663A"/>
    <w:rsid w:val="31747B5C"/>
    <w:rsid w:val="31835504"/>
    <w:rsid w:val="327C32C7"/>
    <w:rsid w:val="328C4FC6"/>
    <w:rsid w:val="32FB0585"/>
    <w:rsid w:val="34150A7E"/>
    <w:rsid w:val="346F70FB"/>
    <w:rsid w:val="34F55CDF"/>
    <w:rsid w:val="353627E1"/>
    <w:rsid w:val="355E4D52"/>
    <w:rsid w:val="35C300B3"/>
    <w:rsid w:val="365A2AC0"/>
    <w:rsid w:val="371C41C2"/>
    <w:rsid w:val="37472016"/>
    <w:rsid w:val="375E2224"/>
    <w:rsid w:val="377366B5"/>
    <w:rsid w:val="37767792"/>
    <w:rsid w:val="37B90E1C"/>
    <w:rsid w:val="37D53513"/>
    <w:rsid w:val="37D7321D"/>
    <w:rsid w:val="37EA38FA"/>
    <w:rsid w:val="383B6C0C"/>
    <w:rsid w:val="387635CD"/>
    <w:rsid w:val="38962A69"/>
    <w:rsid w:val="39357462"/>
    <w:rsid w:val="394447CB"/>
    <w:rsid w:val="395D6A8A"/>
    <w:rsid w:val="39767D79"/>
    <w:rsid w:val="398A4A41"/>
    <w:rsid w:val="39AE4CA4"/>
    <w:rsid w:val="39AF314B"/>
    <w:rsid w:val="3A0D1121"/>
    <w:rsid w:val="3A2314A6"/>
    <w:rsid w:val="3A413975"/>
    <w:rsid w:val="3A4A2FFC"/>
    <w:rsid w:val="3AB625DD"/>
    <w:rsid w:val="3AC30131"/>
    <w:rsid w:val="3AF359C7"/>
    <w:rsid w:val="3B0D0586"/>
    <w:rsid w:val="3B1612F5"/>
    <w:rsid w:val="3B17587C"/>
    <w:rsid w:val="3B3F30F7"/>
    <w:rsid w:val="3B3F34C9"/>
    <w:rsid w:val="3B4158C1"/>
    <w:rsid w:val="3B8231AD"/>
    <w:rsid w:val="3D1941A5"/>
    <w:rsid w:val="3D4C0771"/>
    <w:rsid w:val="3D9A102B"/>
    <w:rsid w:val="3DF23726"/>
    <w:rsid w:val="3E062E24"/>
    <w:rsid w:val="3E0D1FA5"/>
    <w:rsid w:val="3E1627C5"/>
    <w:rsid w:val="3E1C3B73"/>
    <w:rsid w:val="3E401A87"/>
    <w:rsid w:val="3EAB6437"/>
    <w:rsid w:val="3F23574E"/>
    <w:rsid w:val="3F7F07BA"/>
    <w:rsid w:val="3FE15C04"/>
    <w:rsid w:val="3FFF527D"/>
    <w:rsid w:val="401C2BC8"/>
    <w:rsid w:val="405C1413"/>
    <w:rsid w:val="40A518D7"/>
    <w:rsid w:val="40E379C0"/>
    <w:rsid w:val="40E5659C"/>
    <w:rsid w:val="40E943B5"/>
    <w:rsid w:val="41003655"/>
    <w:rsid w:val="41422E3F"/>
    <w:rsid w:val="414A6148"/>
    <w:rsid w:val="41640767"/>
    <w:rsid w:val="41E41D9B"/>
    <w:rsid w:val="41E628C2"/>
    <w:rsid w:val="424F5344"/>
    <w:rsid w:val="42B353E8"/>
    <w:rsid w:val="42E74BBF"/>
    <w:rsid w:val="43001D1D"/>
    <w:rsid w:val="435E2F5F"/>
    <w:rsid w:val="435E6F5E"/>
    <w:rsid w:val="439505CB"/>
    <w:rsid w:val="439B0954"/>
    <w:rsid w:val="43E8093A"/>
    <w:rsid w:val="440C405D"/>
    <w:rsid w:val="441050D1"/>
    <w:rsid w:val="442F5697"/>
    <w:rsid w:val="447441D4"/>
    <w:rsid w:val="447C1FA2"/>
    <w:rsid w:val="449E2359"/>
    <w:rsid w:val="44BC7EBE"/>
    <w:rsid w:val="44F50ED2"/>
    <w:rsid w:val="45147F5E"/>
    <w:rsid w:val="45174B13"/>
    <w:rsid w:val="45472955"/>
    <w:rsid w:val="45835892"/>
    <w:rsid w:val="45835909"/>
    <w:rsid w:val="45965B74"/>
    <w:rsid w:val="45B93567"/>
    <w:rsid w:val="45FC34E8"/>
    <w:rsid w:val="46390AAE"/>
    <w:rsid w:val="466D4ED2"/>
    <w:rsid w:val="46A740CB"/>
    <w:rsid w:val="47B21012"/>
    <w:rsid w:val="47BC303C"/>
    <w:rsid w:val="47F577FC"/>
    <w:rsid w:val="481B4892"/>
    <w:rsid w:val="48381086"/>
    <w:rsid w:val="484F53AA"/>
    <w:rsid w:val="484F7C95"/>
    <w:rsid w:val="488B1E00"/>
    <w:rsid w:val="48B93857"/>
    <w:rsid w:val="48F26BAD"/>
    <w:rsid w:val="49043B5D"/>
    <w:rsid w:val="490D5EFC"/>
    <w:rsid w:val="492719BA"/>
    <w:rsid w:val="499A1CD1"/>
    <w:rsid w:val="49C43C2A"/>
    <w:rsid w:val="4A2C6609"/>
    <w:rsid w:val="4A767856"/>
    <w:rsid w:val="4ABE24EA"/>
    <w:rsid w:val="4BB52CEA"/>
    <w:rsid w:val="4BBF06B5"/>
    <w:rsid w:val="4C033707"/>
    <w:rsid w:val="4C0B2905"/>
    <w:rsid w:val="4C450CA5"/>
    <w:rsid w:val="4CAD1C51"/>
    <w:rsid w:val="4D320A35"/>
    <w:rsid w:val="4D8508E8"/>
    <w:rsid w:val="4E2B3C8E"/>
    <w:rsid w:val="4E5B4C95"/>
    <w:rsid w:val="4F4F29D2"/>
    <w:rsid w:val="4F781075"/>
    <w:rsid w:val="4F94412D"/>
    <w:rsid w:val="50235562"/>
    <w:rsid w:val="5037420C"/>
    <w:rsid w:val="503927AC"/>
    <w:rsid w:val="50D87EFA"/>
    <w:rsid w:val="50FC3859"/>
    <w:rsid w:val="514E4C9B"/>
    <w:rsid w:val="518A16CE"/>
    <w:rsid w:val="51E24AFB"/>
    <w:rsid w:val="529B017B"/>
    <w:rsid w:val="52B450D6"/>
    <w:rsid w:val="532903FA"/>
    <w:rsid w:val="53375592"/>
    <w:rsid w:val="5393335D"/>
    <w:rsid w:val="53E75583"/>
    <w:rsid w:val="54300454"/>
    <w:rsid w:val="54711823"/>
    <w:rsid w:val="54EA782C"/>
    <w:rsid w:val="550054D5"/>
    <w:rsid w:val="551F6CA2"/>
    <w:rsid w:val="55325305"/>
    <w:rsid w:val="55416AE3"/>
    <w:rsid w:val="555F70B3"/>
    <w:rsid w:val="55760929"/>
    <w:rsid w:val="557C19CB"/>
    <w:rsid w:val="55A33CCF"/>
    <w:rsid w:val="55F05FE1"/>
    <w:rsid w:val="564A386A"/>
    <w:rsid w:val="565076C4"/>
    <w:rsid w:val="568F1F83"/>
    <w:rsid w:val="579C5867"/>
    <w:rsid w:val="57BD33B0"/>
    <w:rsid w:val="57D42E49"/>
    <w:rsid w:val="57D75C00"/>
    <w:rsid w:val="581F228F"/>
    <w:rsid w:val="58DF2B4E"/>
    <w:rsid w:val="596F3108"/>
    <w:rsid w:val="59976065"/>
    <w:rsid w:val="599938CA"/>
    <w:rsid w:val="5A0C61BF"/>
    <w:rsid w:val="5A1515AA"/>
    <w:rsid w:val="5A3C62D8"/>
    <w:rsid w:val="5A470896"/>
    <w:rsid w:val="5A7454C6"/>
    <w:rsid w:val="5ACC1557"/>
    <w:rsid w:val="5B2F1BDC"/>
    <w:rsid w:val="5B4435F6"/>
    <w:rsid w:val="5B6F757B"/>
    <w:rsid w:val="5BA80A2F"/>
    <w:rsid w:val="5BD06A38"/>
    <w:rsid w:val="5C764796"/>
    <w:rsid w:val="5CA42351"/>
    <w:rsid w:val="5D317D0F"/>
    <w:rsid w:val="5D7950C5"/>
    <w:rsid w:val="5D8D7566"/>
    <w:rsid w:val="5DAB5BD9"/>
    <w:rsid w:val="5DB453D2"/>
    <w:rsid w:val="5DD508F5"/>
    <w:rsid w:val="5E385D67"/>
    <w:rsid w:val="5E91079E"/>
    <w:rsid w:val="5E926419"/>
    <w:rsid w:val="5F0C2A9B"/>
    <w:rsid w:val="5FA64F8C"/>
    <w:rsid w:val="6052323F"/>
    <w:rsid w:val="60EE4A22"/>
    <w:rsid w:val="61BB2A41"/>
    <w:rsid w:val="61E959DB"/>
    <w:rsid w:val="61F964AE"/>
    <w:rsid w:val="61FC0642"/>
    <w:rsid w:val="62273F90"/>
    <w:rsid w:val="629D6A68"/>
    <w:rsid w:val="63181C10"/>
    <w:rsid w:val="633A06C9"/>
    <w:rsid w:val="636A283E"/>
    <w:rsid w:val="63985A24"/>
    <w:rsid w:val="642D15FD"/>
    <w:rsid w:val="644535E6"/>
    <w:rsid w:val="64757772"/>
    <w:rsid w:val="647B0F71"/>
    <w:rsid w:val="64A239B3"/>
    <w:rsid w:val="64A335AE"/>
    <w:rsid w:val="64AB3960"/>
    <w:rsid w:val="64B13239"/>
    <w:rsid w:val="64BE7A31"/>
    <w:rsid w:val="659031FD"/>
    <w:rsid w:val="659E66A0"/>
    <w:rsid w:val="65A66AC7"/>
    <w:rsid w:val="65F33FF0"/>
    <w:rsid w:val="66145212"/>
    <w:rsid w:val="661C79B9"/>
    <w:rsid w:val="6638767A"/>
    <w:rsid w:val="66DF3A4F"/>
    <w:rsid w:val="67160DD0"/>
    <w:rsid w:val="672515DC"/>
    <w:rsid w:val="67A37033"/>
    <w:rsid w:val="68015563"/>
    <w:rsid w:val="683521D4"/>
    <w:rsid w:val="69204242"/>
    <w:rsid w:val="69A555DB"/>
    <w:rsid w:val="69B67FF1"/>
    <w:rsid w:val="6A2F662D"/>
    <w:rsid w:val="6A345D5D"/>
    <w:rsid w:val="6A514A7D"/>
    <w:rsid w:val="6ADA5ABE"/>
    <w:rsid w:val="6AF30915"/>
    <w:rsid w:val="6B1309F9"/>
    <w:rsid w:val="6B34618C"/>
    <w:rsid w:val="6B474327"/>
    <w:rsid w:val="6B680CE9"/>
    <w:rsid w:val="6B7F108C"/>
    <w:rsid w:val="6B984C40"/>
    <w:rsid w:val="6BE85F80"/>
    <w:rsid w:val="6C407D44"/>
    <w:rsid w:val="6C5C4C4B"/>
    <w:rsid w:val="6C6B731E"/>
    <w:rsid w:val="6C9A3415"/>
    <w:rsid w:val="6CA553CF"/>
    <w:rsid w:val="6CC30864"/>
    <w:rsid w:val="6CC777A5"/>
    <w:rsid w:val="6CC817A6"/>
    <w:rsid w:val="6D262077"/>
    <w:rsid w:val="6D7829E8"/>
    <w:rsid w:val="6DCD3A5F"/>
    <w:rsid w:val="6DD6004D"/>
    <w:rsid w:val="6E0602CF"/>
    <w:rsid w:val="6E82177F"/>
    <w:rsid w:val="6EEA7554"/>
    <w:rsid w:val="6F596B8F"/>
    <w:rsid w:val="6FA57B89"/>
    <w:rsid w:val="6FBF4D34"/>
    <w:rsid w:val="70BF2104"/>
    <w:rsid w:val="70F839AA"/>
    <w:rsid w:val="71671CA0"/>
    <w:rsid w:val="71CA4578"/>
    <w:rsid w:val="72216BAE"/>
    <w:rsid w:val="728D05D6"/>
    <w:rsid w:val="72A30B2C"/>
    <w:rsid w:val="72CA029A"/>
    <w:rsid w:val="72D162A0"/>
    <w:rsid w:val="73240E4F"/>
    <w:rsid w:val="73794D10"/>
    <w:rsid w:val="73937D0B"/>
    <w:rsid w:val="73AA7FDD"/>
    <w:rsid w:val="73ED166E"/>
    <w:rsid w:val="741758F6"/>
    <w:rsid w:val="74635670"/>
    <w:rsid w:val="75351129"/>
    <w:rsid w:val="75611E37"/>
    <w:rsid w:val="75795C86"/>
    <w:rsid w:val="758D7ED8"/>
    <w:rsid w:val="758E7AC5"/>
    <w:rsid w:val="75950846"/>
    <w:rsid w:val="75AF0A51"/>
    <w:rsid w:val="75DC5C87"/>
    <w:rsid w:val="75F35A51"/>
    <w:rsid w:val="76103C79"/>
    <w:rsid w:val="76196509"/>
    <w:rsid w:val="76273975"/>
    <w:rsid w:val="764913D5"/>
    <w:rsid w:val="76AB77B8"/>
    <w:rsid w:val="76AE7B49"/>
    <w:rsid w:val="76D51F4D"/>
    <w:rsid w:val="77511A84"/>
    <w:rsid w:val="784F03C7"/>
    <w:rsid w:val="78912C70"/>
    <w:rsid w:val="789E4F87"/>
    <w:rsid w:val="78CF26DA"/>
    <w:rsid w:val="78E8109F"/>
    <w:rsid w:val="790B609D"/>
    <w:rsid w:val="79C75FAE"/>
    <w:rsid w:val="79F276BB"/>
    <w:rsid w:val="7A0F625B"/>
    <w:rsid w:val="7A4776D8"/>
    <w:rsid w:val="7A5C3D99"/>
    <w:rsid w:val="7ACC079B"/>
    <w:rsid w:val="7AF44337"/>
    <w:rsid w:val="7B246DC6"/>
    <w:rsid w:val="7B876CDE"/>
    <w:rsid w:val="7BDB7308"/>
    <w:rsid w:val="7CD1648F"/>
    <w:rsid w:val="7CFC42E8"/>
    <w:rsid w:val="7DD61AF6"/>
    <w:rsid w:val="7DFD2201"/>
    <w:rsid w:val="7E2967AA"/>
    <w:rsid w:val="7EF05A46"/>
    <w:rsid w:val="7EF40074"/>
    <w:rsid w:val="7F0A2EEE"/>
    <w:rsid w:val="7F13472A"/>
    <w:rsid w:val="7F1876BF"/>
    <w:rsid w:val="7F1B04A0"/>
    <w:rsid w:val="7F3D2777"/>
    <w:rsid w:val="7F6A14A1"/>
    <w:rsid w:val="7FA32229"/>
    <w:rsid w:val="7FAF6710"/>
    <w:rsid w:val="7FC96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ocked="1"/>
    <w:lsdException w:qFormat="1" w:unhideWhenUsed="0" w:uiPriority="0"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ocked="1"/>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5"/>
    <w:basedOn w:val="1"/>
    <w:next w:val="1"/>
    <w:qFormat/>
    <w:locked/>
    <w:uiPriority w:val="0"/>
    <w:pPr>
      <w:numPr>
        <w:ilvl w:val="4"/>
        <w:numId w:val="1"/>
      </w:numPr>
      <w:adjustRightInd w:val="0"/>
      <w:snapToGrid w:val="0"/>
      <w:spacing w:line="300" w:lineRule="auto"/>
      <w:outlineLvl w:val="4"/>
    </w:pPr>
    <w:rPr>
      <w:bCs/>
      <w:kern w:val="0"/>
      <w:sz w:val="24"/>
      <w:szCs w:val="28"/>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6">
    <w:name w:val="index 8"/>
    <w:basedOn w:val="1"/>
    <w:next w:val="1"/>
    <w:semiHidden/>
    <w:qFormat/>
    <w:uiPriority w:val="0"/>
    <w:pPr>
      <w:ind w:left="1680" w:hanging="210"/>
      <w:jc w:val="left"/>
    </w:pPr>
    <w:rPr>
      <w:sz w:val="20"/>
      <w:szCs w:val="20"/>
    </w:rPr>
  </w:style>
  <w:style w:type="paragraph" w:styleId="7">
    <w:name w:val="Normal Indent"/>
    <w:basedOn w:val="1"/>
    <w:qFormat/>
    <w:uiPriority w:val="0"/>
    <w:pPr>
      <w:autoSpaceDE w:val="0"/>
      <w:autoSpaceDN w:val="0"/>
      <w:adjustRightInd w:val="0"/>
      <w:snapToGrid w:val="0"/>
      <w:spacing w:line="300" w:lineRule="auto"/>
      <w:ind w:left="2" w:firstLine="538" w:firstLineChars="224"/>
    </w:pPr>
    <w:rPr>
      <w:sz w:val="24"/>
    </w:rPr>
  </w:style>
  <w:style w:type="paragraph" w:styleId="8">
    <w:name w:val="index 5"/>
    <w:basedOn w:val="1"/>
    <w:next w:val="1"/>
    <w:semiHidden/>
    <w:qFormat/>
    <w:uiPriority w:val="0"/>
    <w:pPr>
      <w:ind w:left="1050" w:hanging="210"/>
      <w:jc w:val="left"/>
    </w:pPr>
    <w:rPr>
      <w:sz w:val="20"/>
      <w:szCs w:val="20"/>
    </w:rPr>
  </w:style>
  <w:style w:type="paragraph" w:styleId="9">
    <w:name w:val="annotation text"/>
    <w:basedOn w:val="1"/>
    <w:semiHidden/>
    <w:qFormat/>
    <w:uiPriority w:val="0"/>
    <w:pPr>
      <w:jc w:val="left"/>
    </w:pPr>
  </w:style>
  <w:style w:type="paragraph" w:styleId="10">
    <w:name w:val="index 6"/>
    <w:basedOn w:val="1"/>
    <w:next w:val="1"/>
    <w:semiHidden/>
    <w:qFormat/>
    <w:uiPriority w:val="0"/>
    <w:pPr>
      <w:ind w:left="1260" w:hanging="210"/>
      <w:jc w:val="left"/>
    </w:pPr>
    <w:rPr>
      <w:sz w:val="20"/>
      <w:szCs w:val="20"/>
    </w:rPr>
  </w:style>
  <w:style w:type="paragraph" w:styleId="11">
    <w:name w:val="Body Text"/>
    <w:basedOn w:val="1"/>
    <w:qFormat/>
    <w:uiPriority w:val="0"/>
    <w:pPr>
      <w:spacing w:after="120"/>
    </w:pPr>
  </w:style>
  <w:style w:type="paragraph" w:styleId="12">
    <w:name w:val="Body Text Indent"/>
    <w:basedOn w:val="1"/>
    <w:link w:val="60"/>
    <w:qFormat/>
    <w:uiPriority w:val="0"/>
    <w:pPr>
      <w:ind w:firstLine="475" w:firstLineChars="198"/>
    </w:pPr>
    <w:rPr>
      <w:sz w:val="24"/>
      <w:szCs w:val="20"/>
    </w:rPr>
  </w:style>
  <w:style w:type="paragraph" w:styleId="13">
    <w:name w:val="index 4"/>
    <w:basedOn w:val="1"/>
    <w:next w:val="1"/>
    <w:semiHidden/>
    <w:qFormat/>
    <w:uiPriority w:val="0"/>
    <w:pPr>
      <w:ind w:left="840" w:hanging="210"/>
      <w:jc w:val="left"/>
    </w:pPr>
    <w:rPr>
      <w:sz w:val="20"/>
      <w:szCs w:val="20"/>
    </w:rPr>
  </w:style>
  <w:style w:type="paragraph" w:styleId="14">
    <w:name w:val="toc 3"/>
    <w:basedOn w:val="1"/>
    <w:next w:val="1"/>
    <w:qFormat/>
    <w:uiPriority w:val="0"/>
    <w:pPr>
      <w:ind w:left="840" w:leftChars="400"/>
    </w:pPr>
    <w:rPr>
      <w:sz w:val="24"/>
    </w:rPr>
  </w:style>
  <w:style w:type="paragraph" w:styleId="15">
    <w:name w:val="Plain Text"/>
    <w:basedOn w:val="1"/>
    <w:link w:val="56"/>
    <w:qFormat/>
    <w:uiPriority w:val="0"/>
    <w:rPr>
      <w:rFonts w:ascii="宋体" w:hAnsi="Courier New" w:cs="Courier New"/>
      <w:szCs w:val="21"/>
    </w:rPr>
  </w:style>
  <w:style w:type="paragraph" w:styleId="16">
    <w:name w:val="index 3"/>
    <w:basedOn w:val="1"/>
    <w:next w:val="1"/>
    <w:semiHidden/>
    <w:qFormat/>
    <w:uiPriority w:val="0"/>
    <w:pPr>
      <w:ind w:left="630" w:hanging="210"/>
      <w:jc w:val="left"/>
    </w:pPr>
    <w:rPr>
      <w:sz w:val="20"/>
      <w:szCs w:val="20"/>
    </w:rPr>
  </w:style>
  <w:style w:type="paragraph" w:styleId="17">
    <w:name w:val="Date"/>
    <w:basedOn w:val="1"/>
    <w:next w:val="1"/>
    <w:link w:val="50"/>
    <w:qFormat/>
    <w:uiPriority w:val="0"/>
    <w:pPr>
      <w:ind w:left="100" w:leftChars="2500"/>
    </w:pPr>
  </w:style>
  <w:style w:type="paragraph" w:styleId="18">
    <w:name w:val="Balloon Text"/>
    <w:basedOn w:val="1"/>
    <w:semiHidden/>
    <w:qFormat/>
    <w:uiPriority w:val="0"/>
    <w:rPr>
      <w:sz w:val="18"/>
      <w:szCs w:val="18"/>
    </w:rPr>
  </w:style>
  <w:style w:type="paragraph" w:styleId="19">
    <w:name w:val="footer"/>
    <w:basedOn w:val="1"/>
    <w:link w:val="64"/>
    <w:qFormat/>
    <w:uiPriority w:val="0"/>
    <w:pPr>
      <w:tabs>
        <w:tab w:val="center" w:pos="4153"/>
        <w:tab w:val="right" w:pos="8306"/>
      </w:tabs>
      <w:snapToGrid w:val="0"/>
      <w:jc w:val="left"/>
    </w:pPr>
    <w:rPr>
      <w:sz w:val="18"/>
      <w:szCs w:val="18"/>
    </w:rPr>
  </w:style>
  <w:style w:type="paragraph" w:styleId="20">
    <w:name w:val="header"/>
    <w:basedOn w:val="1"/>
    <w:link w:val="47"/>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rPr>
      <w:sz w:val="24"/>
    </w:rPr>
  </w:style>
  <w:style w:type="paragraph" w:styleId="22">
    <w:name w:val="index heading"/>
    <w:basedOn w:val="1"/>
    <w:next w:val="23"/>
    <w:semiHidden/>
    <w:qFormat/>
    <w:uiPriority w:val="0"/>
    <w:pPr>
      <w:jc w:val="left"/>
    </w:pPr>
    <w:rPr>
      <w:sz w:val="20"/>
      <w:szCs w:val="20"/>
    </w:rPr>
  </w:style>
  <w:style w:type="paragraph" w:styleId="23">
    <w:name w:val="index 1"/>
    <w:basedOn w:val="1"/>
    <w:next w:val="1"/>
    <w:semiHidden/>
    <w:qFormat/>
    <w:uiPriority w:val="0"/>
    <w:pPr>
      <w:ind w:left="210" w:hanging="210"/>
      <w:jc w:val="left"/>
    </w:pPr>
    <w:rPr>
      <w:sz w:val="20"/>
      <w:szCs w:val="20"/>
    </w:rPr>
  </w:style>
  <w:style w:type="paragraph" w:styleId="24">
    <w:name w:val="index 7"/>
    <w:basedOn w:val="1"/>
    <w:next w:val="1"/>
    <w:semiHidden/>
    <w:qFormat/>
    <w:uiPriority w:val="0"/>
    <w:pPr>
      <w:ind w:left="1470" w:hanging="210"/>
      <w:jc w:val="left"/>
    </w:pPr>
    <w:rPr>
      <w:sz w:val="20"/>
      <w:szCs w:val="20"/>
    </w:rPr>
  </w:style>
  <w:style w:type="paragraph" w:styleId="25">
    <w:name w:val="index 9"/>
    <w:basedOn w:val="1"/>
    <w:next w:val="1"/>
    <w:semiHidden/>
    <w:qFormat/>
    <w:uiPriority w:val="0"/>
    <w:pPr>
      <w:ind w:left="1890" w:hanging="210"/>
      <w:jc w:val="left"/>
    </w:pPr>
    <w:rPr>
      <w:sz w:val="20"/>
      <w:szCs w:val="20"/>
    </w:rPr>
  </w:style>
  <w:style w:type="paragraph" w:styleId="26">
    <w:name w:val="table of figures"/>
    <w:basedOn w:val="1"/>
    <w:next w:val="1"/>
    <w:semiHidden/>
    <w:qFormat/>
    <w:uiPriority w:val="0"/>
    <w:pPr>
      <w:ind w:left="200" w:leftChars="200" w:hanging="200" w:hangingChars="200"/>
    </w:pPr>
  </w:style>
  <w:style w:type="paragraph" w:styleId="27">
    <w:name w:val="toc 2"/>
    <w:basedOn w:val="1"/>
    <w:next w:val="1"/>
    <w:qFormat/>
    <w:uiPriority w:val="39"/>
    <w:pPr>
      <w:jc w:val="left"/>
    </w:pPr>
    <w:rPr>
      <w:sz w:val="24"/>
    </w:rPr>
  </w:style>
  <w:style w:type="paragraph" w:styleId="28">
    <w:name w:val="Normal (Web)"/>
    <w:basedOn w:val="1"/>
    <w:qFormat/>
    <w:uiPriority w:val="0"/>
    <w:pPr>
      <w:jc w:val="left"/>
    </w:pPr>
    <w:rPr>
      <w:kern w:val="0"/>
      <w:sz w:val="24"/>
    </w:rPr>
  </w:style>
  <w:style w:type="paragraph" w:styleId="29">
    <w:name w:val="index 2"/>
    <w:basedOn w:val="1"/>
    <w:next w:val="1"/>
    <w:semiHidden/>
    <w:qFormat/>
    <w:uiPriority w:val="0"/>
    <w:pPr>
      <w:ind w:left="420" w:hanging="210"/>
      <w:jc w:val="left"/>
    </w:pPr>
    <w:rPr>
      <w:sz w:val="20"/>
      <w:szCs w:val="20"/>
    </w:rPr>
  </w:style>
  <w:style w:type="paragraph" w:styleId="30">
    <w:name w:val="annotation subject"/>
    <w:basedOn w:val="9"/>
    <w:next w:val="9"/>
    <w:semiHidden/>
    <w:qFormat/>
    <w:uiPriority w:val="0"/>
    <w:rPr>
      <w:b/>
      <w:bCs/>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locked/>
    <w:uiPriority w:val="0"/>
    <w:rPr>
      <w:b/>
      <w:sz w:val="24"/>
      <w:szCs w:val="24"/>
    </w:rPr>
  </w:style>
  <w:style w:type="character" w:styleId="35">
    <w:name w:val="page number"/>
    <w:qFormat/>
    <w:uiPriority w:val="0"/>
    <w:rPr>
      <w:rFonts w:cs="Times New Roman"/>
    </w:rPr>
  </w:style>
  <w:style w:type="character" w:styleId="36">
    <w:name w:val="FollowedHyperlink"/>
    <w:qFormat/>
    <w:uiPriority w:val="0"/>
    <w:rPr>
      <w:color w:val="2A2A2A"/>
      <w:u w:val="none"/>
    </w:rPr>
  </w:style>
  <w:style w:type="character" w:styleId="37">
    <w:name w:val="Emphasis"/>
    <w:qFormat/>
    <w:locked/>
    <w:uiPriority w:val="0"/>
    <w:rPr>
      <w:color w:val="CC0000"/>
      <w:sz w:val="24"/>
      <w:szCs w:val="24"/>
    </w:rPr>
  </w:style>
  <w:style w:type="character" w:styleId="38">
    <w:name w:val="HTML Definition"/>
    <w:qFormat/>
    <w:uiPriority w:val="0"/>
  </w:style>
  <w:style w:type="character" w:styleId="39">
    <w:name w:val="HTML Acronym"/>
    <w:basedOn w:val="33"/>
    <w:qFormat/>
    <w:uiPriority w:val="0"/>
  </w:style>
  <w:style w:type="character" w:styleId="40">
    <w:name w:val="HTML Variable"/>
    <w:qFormat/>
    <w:uiPriority w:val="0"/>
  </w:style>
  <w:style w:type="character" w:styleId="41">
    <w:name w:val="Hyperlink"/>
    <w:basedOn w:val="33"/>
    <w:qFormat/>
    <w:uiPriority w:val="99"/>
    <w:rPr>
      <w:rFonts w:cs="Times New Roman"/>
      <w:color w:val="0000FF"/>
      <w:u w:val="single"/>
    </w:rPr>
  </w:style>
  <w:style w:type="character" w:styleId="42">
    <w:name w:val="HTML Code"/>
    <w:basedOn w:val="33"/>
    <w:qFormat/>
    <w:uiPriority w:val="0"/>
    <w:rPr>
      <w:rFonts w:ascii="Courier New" w:hAnsi="Courier New"/>
      <w:sz w:val="20"/>
    </w:rPr>
  </w:style>
  <w:style w:type="character" w:styleId="43">
    <w:name w:val="annotation reference"/>
    <w:semiHidden/>
    <w:qFormat/>
    <w:uiPriority w:val="0"/>
    <w:rPr>
      <w:rFonts w:cs="Times New Roman"/>
      <w:sz w:val="21"/>
      <w:szCs w:val="21"/>
    </w:rPr>
  </w:style>
  <w:style w:type="character" w:styleId="44">
    <w:name w:val="HTML Cite"/>
    <w:qFormat/>
    <w:uiPriority w:val="0"/>
    <w:rPr>
      <w:sz w:val="24"/>
      <w:szCs w:val="24"/>
    </w:rPr>
  </w:style>
  <w:style w:type="character" w:customStyle="1" w:styleId="45">
    <w:name w:val="Placeholder Text"/>
    <w:semiHidden/>
    <w:qFormat/>
    <w:uiPriority w:val="0"/>
    <w:rPr>
      <w:rFonts w:cs="Times New Roman"/>
      <w:color w:val="808080"/>
    </w:rPr>
  </w:style>
  <w:style w:type="character" w:customStyle="1" w:styleId="46">
    <w:name w:val="txtright2"/>
    <w:basedOn w:val="33"/>
    <w:qFormat/>
    <w:uiPriority w:val="0"/>
  </w:style>
  <w:style w:type="character" w:customStyle="1" w:styleId="47">
    <w:name w:val="页眉 Char"/>
    <w:link w:val="20"/>
    <w:qFormat/>
    <w:locked/>
    <w:uiPriority w:val="0"/>
    <w:rPr>
      <w:rFonts w:eastAsia="宋体" w:cs="Times New Roman"/>
      <w:kern w:val="2"/>
      <w:sz w:val="18"/>
      <w:szCs w:val="18"/>
      <w:lang w:val="en-US" w:eastAsia="zh-CN" w:bidi="ar-SA"/>
    </w:rPr>
  </w:style>
  <w:style w:type="character" w:customStyle="1" w:styleId="48">
    <w:name w:val="youfu"/>
    <w:qFormat/>
    <w:uiPriority w:val="0"/>
    <w:rPr>
      <w:color w:val="FF0000"/>
      <w:u w:val="single"/>
    </w:rPr>
  </w:style>
  <w:style w:type="character" w:customStyle="1" w:styleId="49">
    <w:name w:val="mr-prof"/>
    <w:basedOn w:val="33"/>
    <w:qFormat/>
    <w:uiPriority w:val="0"/>
  </w:style>
  <w:style w:type="character" w:customStyle="1" w:styleId="50">
    <w:name w:val="日期 Char"/>
    <w:link w:val="17"/>
    <w:qFormat/>
    <w:uiPriority w:val="0"/>
    <w:rPr>
      <w:kern w:val="2"/>
      <w:sz w:val="21"/>
      <w:szCs w:val="24"/>
    </w:rPr>
  </w:style>
  <w:style w:type="character" w:customStyle="1" w:styleId="51">
    <w:name w:val="txtleft"/>
    <w:basedOn w:val="33"/>
    <w:qFormat/>
    <w:uiPriority w:val="0"/>
  </w:style>
  <w:style w:type="character" w:customStyle="1" w:styleId="52">
    <w:name w:val="段 Char"/>
    <w:link w:val="53"/>
    <w:qFormat/>
    <w:locked/>
    <w:uiPriority w:val="0"/>
    <w:rPr>
      <w:rFonts w:ascii="宋体"/>
      <w:sz w:val="21"/>
      <w:lang w:val="en-US" w:eastAsia="zh-CN" w:bidi="ar-SA"/>
    </w:rPr>
  </w:style>
  <w:style w:type="paragraph" w:customStyle="1" w:styleId="53">
    <w:name w:val="段"/>
    <w:link w:val="5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4">
    <w:name w:val="marginbottom10px2"/>
    <w:basedOn w:val="33"/>
    <w:qFormat/>
    <w:uiPriority w:val="0"/>
  </w:style>
  <w:style w:type="character" w:customStyle="1" w:styleId="55">
    <w:name w:val="datespan"/>
    <w:qFormat/>
    <w:uiPriority w:val="0"/>
    <w:rPr>
      <w:color w:val="CCCCCC"/>
    </w:rPr>
  </w:style>
  <w:style w:type="character" w:customStyle="1" w:styleId="56">
    <w:name w:val="纯文本 Char"/>
    <w:link w:val="15"/>
    <w:qFormat/>
    <w:locked/>
    <w:uiPriority w:val="0"/>
    <w:rPr>
      <w:rFonts w:ascii="宋体" w:hAnsi="Courier New" w:eastAsia="宋体" w:cs="Courier New"/>
      <w:kern w:val="2"/>
      <w:sz w:val="21"/>
      <w:szCs w:val="21"/>
      <w:lang w:val="en-US" w:eastAsia="zh-CN" w:bidi="ar-SA"/>
    </w:rPr>
  </w:style>
  <w:style w:type="character" w:customStyle="1" w:styleId="57">
    <w:name w:val="hover39"/>
    <w:qFormat/>
    <w:uiPriority w:val="0"/>
    <w:rPr>
      <w:color w:val="3EAF0E"/>
    </w:rPr>
  </w:style>
  <w:style w:type="character" w:customStyle="1" w:styleId="58">
    <w:name w:val="mid2"/>
    <w:basedOn w:val="33"/>
    <w:qFormat/>
    <w:uiPriority w:val="0"/>
  </w:style>
  <w:style w:type="character" w:customStyle="1" w:styleId="59">
    <w:name w:val="s16"/>
    <w:qFormat/>
    <w:uiPriority w:val="0"/>
    <w:rPr>
      <w:color w:val="DDDDDD"/>
      <w:sz w:val="18"/>
      <w:szCs w:val="18"/>
    </w:rPr>
  </w:style>
  <w:style w:type="character" w:customStyle="1" w:styleId="60">
    <w:name w:val="正文文本缩进 Char"/>
    <w:link w:val="12"/>
    <w:qFormat/>
    <w:locked/>
    <w:uiPriority w:val="0"/>
    <w:rPr>
      <w:rFonts w:cs="Times New Roman"/>
      <w:kern w:val="2"/>
      <w:sz w:val="24"/>
    </w:rPr>
  </w:style>
  <w:style w:type="character" w:customStyle="1" w:styleId="61">
    <w:name w:val="btn-task-gray2"/>
    <w:qFormat/>
    <w:uiPriority w:val="0"/>
    <w:rPr>
      <w:color w:val="FFFFFF"/>
      <w:u w:val="none"/>
      <w:shd w:val="clear" w:color="auto" w:fill="CCCCCC"/>
    </w:rPr>
  </w:style>
  <w:style w:type="character" w:customStyle="1" w:styleId="62">
    <w:name w:val="del_marginbottom2"/>
    <w:basedOn w:val="33"/>
    <w:qFormat/>
    <w:uiPriority w:val="0"/>
  </w:style>
  <w:style w:type="character" w:customStyle="1" w:styleId="63">
    <w:name w:val="zuofu"/>
    <w:basedOn w:val="33"/>
    <w:qFormat/>
    <w:uiPriority w:val="0"/>
  </w:style>
  <w:style w:type="character" w:customStyle="1" w:styleId="64">
    <w:name w:val="页脚 Char"/>
    <w:link w:val="19"/>
    <w:qFormat/>
    <w:locked/>
    <w:uiPriority w:val="0"/>
    <w:rPr>
      <w:rFonts w:eastAsia="宋体" w:cs="Times New Roman"/>
      <w:kern w:val="2"/>
      <w:sz w:val="18"/>
      <w:szCs w:val="18"/>
      <w:lang w:val="en-US" w:eastAsia="zh-CN" w:bidi="ar-SA"/>
    </w:rPr>
  </w:style>
  <w:style w:type="paragraph" w:customStyle="1" w:styleId="65">
    <w:name w:val="二级条标题"/>
    <w:basedOn w:val="1"/>
    <w:next w:val="53"/>
    <w:qFormat/>
    <w:uiPriority w:val="0"/>
    <w:pPr>
      <w:widowControl/>
      <w:jc w:val="left"/>
      <w:outlineLvl w:val="3"/>
    </w:pPr>
    <w:rPr>
      <w:rFonts w:eastAsia="黑体"/>
      <w:kern w:val="0"/>
      <w:szCs w:val="20"/>
    </w:rPr>
  </w:style>
  <w:style w:type="paragraph" w:customStyle="1" w:styleId="66">
    <w:name w:val="一级条标题"/>
    <w:next w:val="53"/>
    <w:qFormat/>
    <w:uiPriority w:val="0"/>
    <w:pPr>
      <w:outlineLvl w:val="2"/>
    </w:pPr>
    <w:rPr>
      <w:rFonts w:ascii="Times New Roman" w:hAnsi="Times New Roman" w:eastAsia="黑体" w:cs="Times New Roman"/>
      <w:sz w:val="21"/>
      <w:lang w:val="en-US" w:eastAsia="zh-CN" w:bidi="ar-SA"/>
    </w:rPr>
  </w:style>
  <w:style w:type="paragraph" w:customStyle="1" w:styleId="67">
    <w:name w:val="Char Char Char Char"/>
    <w:basedOn w:val="1"/>
    <w:next w:val="1"/>
    <w:qFormat/>
    <w:uiPriority w:val="0"/>
    <w:pPr>
      <w:spacing w:line="360" w:lineRule="auto"/>
      <w:jc w:val="left"/>
    </w:pPr>
    <w:rPr>
      <w:sz w:val="28"/>
    </w:rPr>
  </w:style>
  <w:style w:type="paragraph" w:customStyle="1" w:styleId="68">
    <w:name w:val="TOC Heading"/>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69">
    <w:name w:val="List Paragraph"/>
    <w:basedOn w:val="1"/>
    <w:qFormat/>
    <w:uiPriority w:val="0"/>
    <w:pPr>
      <w:ind w:firstLine="420" w:firstLineChars="200"/>
    </w:pPr>
  </w:style>
  <w:style w:type="paragraph" w:customStyle="1" w:styleId="70">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character" w:customStyle="1" w:styleId="71">
    <w:name w:val="focus"/>
    <w:basedOn w:val="33"/>
    <w:qFormat/>
    <w:uiPriority w:val="0"/>
  </w:style>
  <w:style w:type="character" w:customStyle="1" w:styleId="72">
    <w:name w:val="high-light-bg5"/>
    <w:basedOn w:val="33"/>
    <w:qFormat/>
    <w:uiPriority w:val="0"/>
    <w:rPr>
      <w:shd w:val="clear" w:fill="FEE97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60"/>
    <customShpInfo spid="_x0000_s2056"/>
    <customShpInfo spid="_x0000_s2057"/>
    <customShpInfo spid="_x0000_s2063" textRotate="1"/>
    <customShpInfo spid="_x0000_s1026"/>
    <customShpInfo spid="_x0000_s1028"/>
    <customShpInfo spid="_x0000_s1033"/>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1008</Words>
  <Characters>5747</Characters>
  <Lines>47</Lines>
  <Paragraphs>13</Paragraphs>
  <TotalTime>1</TotalTime>
  <ScaleCrop>false</ScaleCrop>
  <LinksUpToDate>false</LinksUpToDate>
  <CharactersWithSpaces>6742</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2020-04-24T02:55:00Z</dcterms:created>
  <dc:creator>User</dc:creator>
  <cp:lastModifiedBy>滔滔</cp:lastModifiedBy>
  <cp:lastPrinted>2014-07-10T12:13:00Z</cp:lastPrinted>
  <dcterms:modified xsi:type="dcterms:W3CDTF">2021-01-21T10:25:29Z</dcterms:modified>
  <dc:title>_</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