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exact"/>
        <w:ind w:firstLine="420" w:firstLineChars="200"/>
        <w:jc w:val="right"/>
        <w:rPr>
          <w:rFonts w:ascii="黑体" w:hAnsi="新宋体" w:eastAsia="黑体"/>
          <w:sz w:val="150"/>
          <w:szCs w:val="150"/>
        </w:rPr>
      </w:pPr>
      <w:r>
        <w:drawing>
          <wp:anchor distT="0" distB="0" distL="114300" distR="114300" simplePos="0" relativeHeight="251666432" behindDoc="0" locked="0" layoutInCell="1" allowOverlap="1">
            <wp:simplePos x="0" y="0"/>
            <wp:positionH relativeFrom="column">
              <wp:posOffset>3827145</wp:posOffset>
            </wp:positionH>
            <wp:positionV relativeFrom="paragraph">
              <wp:posOffset>-201930</wp:posOffset>
            </wp:positionV>
            <wp:extent cx="1971675" cy="970915"/>
            <wp:effectExtent l="0" t="0" r="9525" b="635"/>
            <wp:wrapNone/>
            <wp:docPr id="1" name="图片 9" descr="QQ图片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QQ图片22"/>
                    <pic:cNvPicPr>
                      <a:picLocks noChangeAspect="1"/>
                    </pic:cNvPicPr>
                  </pic:nvPicPr>
                  <pic:blipFill>
                    <a:blip r:embed="rId16"/>
                    <a:stretch>
                      <a:fillRect/>
                    </a:stretch>
                  </pic:blipFill>
                  <pic:spPr>
                    <a:xfrm>
                      <a:off x="0" y="0"/>
                      <a:ext cx="1971675" cy="970915"/>
                    </a:xfrm>
                    <a:prstGeom prst="rect">
                      <a:avLst/>
                    </a:prstGeom>
                    <a:noFill/>
                    <a:ln>
                      <a:noFill/>
                    </a:ln>
                  </pic:spPr>
                </pic:pic>
              </a:graphicData>
            </a:graphic>
          </wp:anchor>
        </w:drawing>
      </w:r>
      <w:r>
        <w:rPr>
          <w:lang w:val="en-US" w:eastAsia="zh-CN"/>
        </w:rPr>
        <mc:AlternateContent>
          <mc:Choice Requires="wps">
            <w:drawing>
              <wp:anchor distT="0" distB="0" distL="114300" distR="114300" simplePos="0" relativeHeight="251658240" behindDoc="0" locked="0" layoutInCell="1" allowOverlap="1">
                <wp:simplePos x="0" y="0"/>
                <wp:positionH relativeFrom="column">
                  <wp:posOffset>-38100</wp:posOffset>
                </wp:positionH>
                <wp:positionV relativeFrom="paragraph">
                  <wp:posOffset>-374650</wp:posOffset>
                </wp:positionV>
                <wp:extent cx="6400800" cy="297180"/>
                <wp:effectExtent l="7620" t="7620" r="11430" b="19050"/>
                <wp:wrapNone/>
                <wp:docPr id="4" name="矩形 2"/>
                <wp:cNvGraphicFramePr/>
                <a:graphic xmlns:a="http://schemas.openxmlformats.org/drawingml/2006/main">
                  <a:graphicData uri="http://schemas.microsoft.com/office/word/2010/wordprocessingShape">
                    <wps:wsp>
                      <wps:cNvSpPr/>
                      <wps:spPr>
                        <a:xfrm>
                          <a:off x="0" y="0"/>
                          <a:ext cx="6400800" cy="297180"/>
                        </a:xfrm>
                        <a:prstGeom prst="rect">
                          <a:avLst/>
                        </a:prstGeom>
                        <a:solidFill>
                          <a:srgbClr val="FFFFFF"/>
                        </a:solidFill>
                        <a:ln w="15875" cap="flat" cmpd="sng">
                          <a:solidFill>
                            <a:srgbClr val="FFFFFF"/>
                          </a:solidFill>
                          <a:prstDash val="solid"/>
                          <a:miter/>
                          <a:headEnd type="none" w="med" len="med"/>
                          <a:tailEnd type="none" w="med" len="med"/>
                        </a:ln>
                      </wps:spPr>
                      <wps:txbx>
                        <w:txbxContent>
                          <w:p/>
                        </w:txbxContent>
                      </wps:txbx>
                      <wps:bodyPr upright="1"/>
                    </wps:wsp>
                  </a:graphicData>
                </a:graphic>
              </wp:anchor>
            </w:drawing>
          </mc:Choice>
          <mc:Fallback>
            <w:pict>
              <v:rect id="矩形 2" o:spid="_x0000_s1026" o:spt="1" style="position:absolute;left:0pt;margin-left:-3pt;margin-top:-29.5pt;height:23.4pt;width:504pt;z-index:251658240;mso-width-relative:page;mso-height-relative:page;" fillcolor="#FFFFFF" filled="t" stroked="t" coordsize="21600,21600" o:gfxdata="UEsDBAoAAAAAAIdO4kAAAAAAAAAAAAAAAAAEAAAAZHJzL1BLAwQUAAAACACHTuJAU1QfCNYAAAAL&#10;AQAADwAAAGRycy9kb3ducmV2LnhtbE1PPU/DMBDdkfgP1iGxtXYiWtE0ToVAZEAsFBY2xz6SiPgc&#10;xW5S/j3XCaZ7d/f0PsrD2Q9ixin2gTRkawUCyQbXU6vh4/15dQ8iJkPODIFQww9GOFTXV6UpXFjo&#10;DedjagWLUCyMhi6lsZAy2g69ieswIvHvK0zeJF6nVrrJLCzuB5krtZXe9MQOnRnxsUP7fTx5DS9e&#10;zvXrVNuHLDjb1Gqz3D19an17k6k9iITn9EeGS3yODhVnasKJXBSDhtWWqySemx2DC0GpnFHDpyzP&#10;QVal/N+h+gVQSwMEFAAAAAgAh07iQKRQkwT/AQAAKgQAAA4AAABkcnMvZTJvRG9jLnhtbK1TS44T&#10;MRDdI3EHy3vSnWg+oZXOLAhhg2CkGQ7g+NNtyT+5nHTnNEjsOATHQVyDsjtkmGGTBb1wV9nlV/Ve&#10;lVd3ozXkICNo71o6n9WUSMe90K5r6ZfH7ZslJZCYE8x4J1t6lEDv1q9frYbQyIXvvREyEgRx0Ayh&#10;pX1Koakq4L20DGY+SIeHykfLErqxq0RkA6JbUy3q+qYafBQhei4BcHczHdITYrwE0Culudx4vrfS&#10;pQk1SsMSUoJeB6DrUq1SkqfPSoFMxLQUmaayYhK0d3mt1ivWdJGFXvNTCeySEl5wskw7THqG2rDE&#10;yD7qf6Cs5tGDV2nGva0mIkURZDGvX2jz0LMgCxeUGsJZdPh/sPzT4T4SLVp6RYljFhv+6+v3nz++&#10;kUXWZgjQYMhDuI8nD9DMREcVbf4jBTIWPY9nPeWYCMfNm6u6XtYoNcezxdvb+bIIXj3dDhHSB+kt&#10;yUZLI/aryMgOHyFhRgz9E5KTgTdabLUxxYnd7p2J5MCwt9vy5ZLxyrMw48iAc369vL3GQhhOrMJJ&#10;QdMGZA2uKwmfXYHLkHNlGwb9VEFBmObJ6iSzXqzpJRPvnSDpGFBZhw+K5mqsFJQYie8vWyUyMW0u&#10;iUR6xiHL3JmpF9lK425EmGzuvDhiS/ch6q5HTedFlHyCI1TkOY17ntG//QL69MTX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TVB8I1gAAAAsBAAAPAAAAAAAAAAEAIAAAACIAAABkcnMvZG93bnJl&#10;di54bWxQSwECFAAUAAAACACHTuJApFCTBP8BAAAqBAAADgAAAAAAAAABACAAAAAlAQAAZHJzL2Uy&#10;b0RvYy54bWxQSwUGAAAAAAYABgBZAQAAlgUAAAAA&#10;">
                <v:fill on="t" focussize="0,0"/>
                <v:stroke weight="1.25pt" color="#FFFFFF" joinstyle="miter"/>
                <v:imagedata o:title=""/>
                <o:lock v:ext="edit" aspectratio="f"/>
                <v:textbox>
                  <w:txbxContent>
                    <w:p/>
                  </w:txbxContent>
                </v:textbox>
              </v:rect>
            </w:pict>
          </mc:Fallback>
        </mc:AlternateContent>
      </w:r>
    </w:p>
    <w:p>
      <w:pPr>
        <w:spacing w:line="240" w:lineRule="exact"/>
        <w:ind w:firstLine="3000" w:firstLineChars="200"/>
        <w:jc w:val="right"/>
        <w:rPr>
          <w:rFonts w:ascii="黑体" w:hAnsi="新宋体" w:eastAsia="黑体"/>
          <w:sz w:val="150"/>
          <w:szCs w:val="150"/>
        </w:rPr>
      </w:pPr>
    </w:p>
    <w:p>
      <w:pPr>
        <w:spacing w:line="240" w:lineRule="exact"/>
        <w:ind w:firstLine="3000" w:firstLineChars="200"/>
        <w:jc w:val="right"/>
        <w:rPr>
          <w:rFonts w:ascii="黑体" w:hAnsi="新宋体" w:eastAsia="黑体"/>
          <w:sz w:val="150"/>
          <w:szCs w:val="150"/>
        </w:rPr>
      </w:pPr>
    </w:p>
    <w:p>
      <w:pPr>
        <w:spacing w:line="240" w:lineRule="exact"/>
        <w:ind w:firstLine="3000" w:firstLineChars="200"/>
        <w:jc w:val="right"/>
        <w:rPr>
          <w:rFonts w:ascii="黑体" w:hAnsi="新宋体" w:eastAsia="黑体"/>
          <w:sz w:val="150"/>
          <w:szCs w:val="150"/>
        </w:rPr>
      </w:pPr>
    </w:p>
    <w:p>
      <w:pPr>
        <w:spacing w:before="100" w:beforeAutospacing="1"/>
        <w:jc w:val="center"/>
        <w:rPr>
          <w:rFonts w:hint="eastAsia" w:ascii="方正小标宋简体" w:hAnsi="宋体" w:eastAsia="方正小标宋简体" w:cs="宋体"/>
          <w:b/>
          <w:kern w:val="36"/>
          <w:sz w:val="52"/>
          <w:szCs w:val="52"/>
        </w:rPr>
      </w:pPr>
      <w:r>
        <w:rPr>
          <w:rFonts w:hint="eastAsia" w:ascii="方正小标宋简体" w:hAnsi="宋体" w:eastAsia="方正小标宋简体" w:cs="宋体"/>
          <w:b/>
          <w:kern w:val="36"/>
          <w:sz w:val="52"/>
          <w:szCs w:val="52"/>
        </w:rPr>
        <w:t>新疆维吾尔自治区地方计量</w:t>
      </w:r>
      <w:r>
        <w:rPr>
          <w:rFonts w:hint="eastAsia" w:ascii="方正小标宋简体" w:hAnsi="宋体" w:eastAsia="方正小标宋简体" w:cs="宋体"/>
          <w:b/>
          <w:kern w:val="36"/>
          <w:sz w:val="52"/>
          <w:szCs w:val="52"/>
          <w:lang w:val="en-US" w:eastAsia="zh-CN"/>
        </w:rPr>
        <w:t>技术</w:t>
      </w:r>
      <w:r>
        <w:rPr>
          <w:rFonts w:hint="eastAsia" w:ascii="方正小标宋简体" w:hAnsi="宋体" w:eastAsia="方正小标宋简体" w:cs="宋体"/>
          <w:b/>
          <w:kern w:val="36"/>
          <w:sz w:val="52"/>
          <w:szCs w:val="52"/>
        </w:rPr>
        <w:t>规范</w:t>
      </w:r>
    </w:p>
    <w:p>
      <w:pPr>
        <w:spacing w:line="360" w:lineRule="auto"/>
        <w:ind w:firstLine="6094" w:firstLineChars="2168"/>
        <w:rPr>
          <w:rFonts w:hint="eastAsia" w:ascii="Times New Roman" w:hAnsi="Times New Roman" w:eastAsia="黑体" w:cs="Times New Roman"/>
          <w:b/>
          <w:sz w:val="28"/>
          <w:szCs w:val="28"/>
          <w:lang w:eastAsia="zh-CN"/>
        </w:rPr>
      </w:pPr>
      <w:r>
        <w:rPr>
          <w:rFonts w:ascii="Times New Roman" w:hAnsi="Times New Roman" w:eastAsia="黑体" w:cs="Times New Roman"/>
          <w:b/>
          <w:sz w:val="28"/>
          <w:szCs w:val="28"/>
        </w:rPr>
        <w:t>JJ</w:t>
      </w:r>
      <w:r>
        <w:rPr>
          <w:rFonts w:hint="eastAsia" w:ascii="Times New Roman" w:hAnsi="Times New Roman" w:eastAsia="黑体" w:cs="Times New Roman"/>
          <w:b/>
          <w:sz w:val="28"/>
          <w:szCs w:val="28"/>
          <w:lang w:val="en-US" w:eastAsia="zh-CN"/>
        </w:rPr>
        <w:t>F</w:t>
      </w:r>
      <w:r>
        <w:rPr>
          <w:rFonts w:ascii="Times New Roman" w:hAnsi="Times New Roman" w:eastAsia="黑体" w:cs="Times New Roman"/>
          <w:b/>
          <w:sz w:val="28"/>
          <w:szCs w:val="28"/>
        </w:rPr>
        <w:t>（新）</w:t>
      </w:r>
      <w:r>
        <w:rPr>
          <w:rFonts w:hint="eastAsia" w:eastAsia="黑体" w:cs="Times New Roman"/>
          <w:b/>
          <w:sz w:val="28"/>
          <w:szCs w:val="28"/>
          <w:lang w:val="en-US" w:eastAsia="zh-CN"/>
        </w:rPr>
        <w:t>XX</w:t>
      </w:r>
      <w:r>
        <w:rPr>
          <w:rFonts w:hint="eastAsia" w:ascii="Times New Roman" w:hAnsi="Times New Roman" w:eastAsia="黑体" w:cs="Times New Roman"/>
          <w:b/>
          <w:sz w:val="28"/>
          <w:szCs w:val="28"/>
        </w:rPr>
        <w:t>－</w:t>
      </w:r>
      <w:r>
        <w:rPr>
          <w:rFonts w:ascii="Times New Roman" w:hAnsi="Times New Roman" w:eastAsia="黑体" w:cs="Times New Roman"/>
          <w:b/>
          <w:sz w:val="28"/>
          <w:szCs w:val="28"/>
        </w:rPr>
        <w:t>20</w:t>
      </w:r>
      <w:r>
        <w:rPr>
          <w:rFonts w:hint="eastAsia" w:ascii="Times New Roman" w:hAnsi="Times New Roman" w:eastAsia="黑体" w:cs="Times New Roman"/>
          <w:b/>
          <w:sz w:val="28"/>
          <w:szCs w:val="28"/>
        </w:rPr>
        <w:t>2</w:t>
      </w:r>
      <w:r>
        <w:rPr>
          <w:rFonts w:hint="eastAsia" w:eastAsia="黑体" w:cs="Times New Roman"/>
          <w:b/>
          <w:sz w:val="28"/>
          <w:szCs w:val="28"/>
          <w:lang w:val="en-US" w:eastAsia="zh-CN"/>
        </w:rPr>
        <w:t>1</w:t>
      </w:r>
    </w:p>
    <w:p>
      <w:r>
        <w:rPr>
          <w:lang w:val="en-US" w:eastAsia="zh-CN"/>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45720</wp:posOffset>
                </wp:positionV>
                <wp:extent cx="5943600" cy="0"/>
                <wp:effectExtent l="0" t="0" r="0" b="0"/>
                <wp:wrapNone/>
                <wp:docPr id="2" name="直线 4"/>
                <wp:cNvGraphicFramePr/>
                <a:graphic xmlns:a="http://schemas.openxmlformats.org/drawingml/2006/main">
                  <a:graphicData uri="http://schemas.microsoft.com/office/word/2010/wordprocessingShape">
                    <wps:wsp>
                      <wps:cNvCnPr/>
                      <wps:spPr>
                        <a:xfrm>
                          <a:off x="0" y="0"/>
                          <a:ext cx="5943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0pt;margin-top:3.6pt;height:0pt;width:468pt;z-index:251656192;mso-width-relative:page;mso-height-relative:page;" filled="f" stroked="t" coordsize="21600,21600" o:gfxdata="UEsDBAoAAAAAAIdO4kAAAAAAAAAAAAAAAAAEAAAAZHJzL1BLAwQUAAAACACHTuJAFSwBNdIAAAAE&#10;AQAADwAAAGRycy9kb3ducmV2LnhtbE2Py07DMBBF90j8gzVIbKrWbiqVEuJ0AWTHhhbEdhoPSUQ8&#10;TmP3AV/PwAaWR3d075liffa9OtIYu8AW5jMDirgOruPGwsu2mq5AxYTssA9MFj4pwrq8vCgwd+HE&#10;z3TcpEZJCcccLbQpDbnWsW7JY5yFgViy9zB6TIJjo92IJyn3vc6MWWqPHctCiwPdt1R/bA7eQqxe&#10;aV99TeqJeVs0gbL9w9MjWnt9NTd3oBKd098x/OiLOpTitAsHdlH1FuSRZOEmAyXh7WIpvPtlXRb6&#10;v3z5DVBLAwQUAAAACACHTuJANwL4MekBAADbAwAADgAAAGRycy9lMm9Eb2MueG1srVNLbtswEN0X&#10;6B0I7mvZbhw0guUs4qabojXQ9gBjkpII8AcObdln6TW66qbHyTU6pBynTTZeRAtqyBm+mfdmuLw9&#10;WMP2KqL2ruGzyZQz5YSX2nUN//H9/t0HzjCBk2C8Uw0/KuS3q7dvlkOo1dz33kgVGYE4rIfQ8D6l&#10;UFcVil5ZwIkPypGz9dFCom3sKhlhIHRrqvl0el0NPsoQvVCIdLoenfyEGC8B9G2rhVp7sbPKpRE1&#10;KgOJKGGvA/JVqbZtlUhf2xZVYqbhxDSVlZKQvc1rtVpC3UUIvRanEuCSEp5xsqAdJT1DrSEB20X9&#10;AspqET36Nk2Et9VIpChCLGbTZ9p86yGowoWkxnAWHV8PVnzZbyLTsuFzzhxYavjDz18Pv/+wq6zN&#10;ELCmkDu3iacdhk3MRA9ttPlPFNih6Hk866kOiQk6XNxcvb+ektTi0Vc9XQwR0yflLctGw412mSrU&#10;sP+MiZJR6GNIPjaODQ2/WcwXBAc0dy31m0wbqHZ0XbmL3mh5r43JNzB22zsT2R5y78uXKRHuf2E5&#10;yRqwH+OKa5yKXoH86CRLx0CqOHoMPJdgleTMKHo72SJAqBNoc0kkpTaOKsiqjjpma+vlkXqwC1F3&#10;PSkxK1VmD/W81HuazzxU/+4L0tObXP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SwBNdIAAAAE&#10;AQAADwAAAAAAAAABACAAAAAiAAAAZHJzL2Rvd25yZXYueG1sUEsBAhQAFAAAAAgAh07iQDcC+DHp&#10;AQAA2wMAAA4AAAAAAAAAAQAgAAAAIQEAAGRycy9lMm9Eb2MueG1sUEsFBgAAAAAGAAYAWQEAAHwF&#10;AAAAAA==&#10;">
                <v:fill on="f" focussize="0,0"/>
                <v:stroke color="#000000" joinstyle="round"/>
                <v:imagedata o:title=""/>
                <o:lock v:ext="edit" aspectratio="f"/>
              </v:line>
            </w:pict>
          </mc:Fallback>
        </mc:AlternateContent>
      </w:r>
    </w:p>
    <w:p/>
    <w:p/>
    <w:p/>
    <w:p/>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center"/>
        <w:textAlignment w:val="auto"/>
        <w:outlineLvl w:val="9"/>
        <w:rPr>
          <w:rFonts w:hint="eastAsia" w:ascii="黑体" w:hAnsi="宋体" w:eastAsia="黑体" w:cs="Times New Roman"/>
          <w:b/>
          <w:bCs/>
          <w:kern w:val="2"/>
          <w:sz w:val="52"/>
          <w:szCs w:val="52"/>
          <w:lang w:val="en-US" w:eastAsia="zh-CN" w:bidi="ar-SA"/>
        </w:rPr>
      </w:pPr>
      <w:r>
        <w:rPr>
          <w:rFonts w:hint="eastAsia" w:ascii="黑体" w:hAnsi="宋体" w:eastAsia="黑体" w:cs="Times New Roman"/>
          <w:b/>
          <w:bCs/>
          <w:kern w:val="2"/>
          <w:sz w:val="52"/>
          <w:szCs w:val="52"/>
          <w:lang w:val="en-US" w:eastAsia="zh-CN" w:bidi="ar-SA"/>
        </w:rPr>
        <w:t>发电厂集散控制系统的事件顺序记录分辨率检测规范</w:t>
      </w:r>
    </w:p>
    <w:p>
      <w:pPr>
        <w:pStyle w:val="2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jc w:val="center"/>
        <w:rPr>
          <w:rFonts w:hint="eastAsia" w:ascii="Times New Roman" w:hAnsi="Times New Roman" w:eastAsia="黑体" w:cs="Times New Roman"/>
          <w:b/>
          <w:bCs/>
          <w:kern w:val="2"/>
          <w:sz w:val="28"/>
          <w:szCs w:val="28"/>
          <w:lang w:val="en-US" w:eastAsia="zh-CN" w:bidi="ar-SA"/>
        </w:rPr>
      </w:pPr>
      <w:r>
        <w:rPr>
          <w:rFonts w:hint="eastAsia" w:ascii="Times New Roman" w:hAnsi="Times New Roman" w:eastAsia="黑体" w:cs="Times New Roman"/>
          <w:b/>
          <w:bCs/>
          <w:kern w:val="2"/>
          <w:sz w:val="28"/>
          <w:szCs w:val="28"/>
          <w:lang w:val="en-US" w:eastAsia="zh-CN" w:bidi="ar-SA"/>
        </w:rPr>
        <w:t>Specification for sequence of events record resolution detection in distributed control system of power plant</w:t>
      </w:r>
    </w:p>
    <w:p>
      <w:pPr>
        <w:rPr>
          <w:rFonts w:hint="eastAsia"/>
          <w:lang w:val="en-US" w:eastAsia="zh-CN"/>
        </w:rPr>
      </w:pPr>
    </w:p>
    <w:p/>
    <w:p/>
    <w:p/>
    <w:p/>
    <w:p/>
    <w:p/>
    <w:p/>
    <w:p/>
    <w:p/>
    <w:p>
      <w:pPr>
        <w:ind w:firstLine="562" w:firstLineChars="200"/>
        <w:rPr>
          <w:rFonts w:hint="eastAsia" w:ascii="黑体" w:hAnsi="Times New Roman" w:eastAsia="黑体" w:cs="Times New Roman"/>
          <w:b/>
          <w:sz w:val="28"/>
          <w:szCs w:val="28"/>
        </w:rPr>
      </w:pPr>
      <w:r>
        <w:rPr>
          <w:rFonts w:hint="eastAsia" w:ascii="黑体" w:hAnsi="Times New Roman" w:eastAsia="黑体" w:cs="Times New Roman"/>
          <w:b/>
          <w:sz w:val="28"/>
          <w:szCs w:val="28"/>
        </w:rPr>
        <w:t>202</w:t>
      </w:r>
      <w:r>
        <w:rPr>
          <w:rFonts w:hint="eastAsia" w:ascii="黑体" w:eastAsia="黑体" w:cs="Times New Roman"/>
          <w:b/>
          <w:sz w:val="28"/>
          <w:szCs w:val="28"/>
          <w:lang w:val="en-US" w:eastAsia="zh-CN"/>
        </w:rPr>
        <w:t>1</w:t>
      </w:r>
      <w:r>
        <w:rPr>
          <w:rFonts w:hint="eastAsia" w:ascii="黑体" w:hAnsi="Times New Roman" w:eastAsia="黑体" w:cs="Times New Roman"/>
          <w:b/>
          <w:sz w:val="28"/>
          <w:szCs w:val="28"/>
        </w:rPr>
        <w:t>-××-××发布               202</w:t>
      </w:r>
      <w:r>
        <w:rPr>
          <w:rFonts w:hint="eastAsia" w:ascii="黑体" w:eastAsia="黑体" w:cs="Times New Roman"/>
          <w:b/>
          <w:sz w:val="28"/>
          <w:szCs w:val="28"/>
          <w:lang w:val="en-US" w:eastAsia="zh-CN"/>
        </w:rPr>
        <w:t>1</w:t>
      </w:r>
      <w:r>
        <w:rPr>
          <w:rFonts w:hint="eastAsia" w:ascii="黑体" w:hAnsi="Times New Roman" w:eastAsia="黑体" w:cs="Times New Roman"/>
          <w:b/>
          <w:sz w:val="28"/>
          <w:szCs w:val="28"/>
        </w:rPr>
        <w:t>-××-××实施</w:t>
      </w:r>
    </w:p>
    <w:p>
      <w:pPr>
        <w:spacing w:before="312" w:beforeLines="100"/>
        <w:ind w:firstLine="797" w:firstLineChars="248"/>
        <w:rPr>
          <w:rFonts w:eastAsia="黑体"/>
          <w:sz w:val="44"/>
          <w:szCs w:val="44"/>
        </w:rPr>
        <w:sectPr>
          <w:headerReference r:id="rId4" w:type="first"/>
          <w:footerReference r:id="rId6" w:type="first"/>
          <w:headerReference r:id="rId3" w:type="default"/>
          <w:footerReference r:id="rId5" w:type="default"/>
          <w:pgSz w:w="11906" w:h="16838"/>
          <w:pgMar w:top="1440" w:right="1418" w:bottom="1440" w:left="1418" w:header="851" w:footer="992" w:gutter="0"/>
          <w:pgNumType w:fmt="upperRoman" w:start="1"/>
          <w:cols w:space="720" w:num="1"/>
          <w:titlePg/>
          <w:docGrid w:type="lines" w:linePitch="312" w:charSpace="0"/>
        </w:sectPr>
      </w:pPr>
      <w:r>
        <w:rPr>
          <w:rFonts w:hint="eastAsia" w:ascii="方正小标宋简体" w:hAnsi="Times New Roman" w:eastAsia="方正小标宋简体" w:cs="Times New Roman"/>
          <w:b/>
          <w:sz w:val="32"/>
          <w:szCs w:val="32"/>
          <w:lang w:val="en-US" w:eastAsia="zh-CN"/>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45720</wp:posOffset>
                </wp:positionV>
                <wp:extent cx="5943600" cy="0"/>
                <wp:effectExtent l="0" t="0" r="0" b="0"/>
                <wp:wrapNone/>
                <wp:docPr id="3" name="直线 5"/>
                <wp:cNvGraphicFramePr/>
                <a:graphic xmlns:a="http://schemas.openxmlformats.org/drawingml/2006/main">
                  <a:graphicData uri="http://schemas.microsoft.com/office/word/2010/wordprocessingShape">
                    <wps:wsp>
                      <wps:cNvCnPr/>
                      <wps:spPr>
                        <a:xfrm>
                          <a:off x="0" y="0"/>
                          <a:ext cx="5943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0pt;margin-top:3.6pt;height:0pt;width:468pt;z-index:251657216;mso-width-relative:page;mso-height-relative:page;" filled="f" stroked="t" coordsize="21600,21600" o:gfxdata="UEsDBAoAAAAAAIdO4kAAAAAAAAAAAAAAAAAEAAAAZHJzL1BLAwQUAAAACACHTuJAFSwBNdIAAAAE&#10;AQAADwAAAGRycy9kb3ducmV2LnhtbE2Py07DMBBF90j8gzVIbKrWbiqVEuJ0AWTHhhbEdhoPSUQ8&#10;TmP3AV/PwAaWR3d075liffa9OtIYu8AW5jMDirgOruPGwsu2mq5AxYTssA9MFj4pwrq8vCgwd+HE&#10;z3TcpEZJCcccLbQpDbnWsW7JY5yFgViy9zB6TIJjo92IJyn3vc6MWWqPHctCiwPdt1R/bA7eQqxe&#10;aV99TeqJeVs0gbL9w9MjWnt9NTd3oBKd098x/OiLOpTitAsHdlH1FuSRZOEmAyXh7WIpvPtlXRb6&#10;v3z5DVBLAwQUAAAACACHTuJAPtuOVukBAADbAwAADgAAAGRycy9lMm9Eb2MueG1srVNLbtswEN0X&#10;6B0I7mvZTh00guUs4qabojXQ9gBjkpII8AcObdln6TW66qbHyTU6pBynTTZeRAtqyBm+mfdmuLw9&#10;WMP2KqL2ruGzyZQz5YSX2nUN//H9/t0HzjCBk2C8Uw0/KuS3q7dvlkOo1dz33kgVGYE4rIfQ8D6l&#10;UFcVil5ZwIkPypGz9dFCom3sKhlhIHRrqvl0el0NPsoQvVCIdLoenfyEGC8B9G2rhVp7sbPKpRE1&#10;KgOJKGGvA/JVqbZtlUhf2xZVYqbhxDSVlZKQvc1rtVpC3UUIvRanEuCSEp5xsqAdJT1DrSEB20X9&#10;AspqET36Nk2Et9VIpChCLGbTZ9p86yGowoWkxnAWHV8PVnzZbyLTsuFXnDmw1PCHn78efv9hi6zN&#10;ELCmkDu3iacdhk3MRA9ttPlPFNih6Hk866kOiQk6XNy8v7qektTi0Vc9XQwR0yflLctGw412mSrU&#10;sP+MiZJR6GNIPjaODQ2/WcwXBAc0dy31m0wbqHZ0XbmL3mh5r43JNzB22zsT2R5y78uXKRHuf2E5&#10;yRqwH+OKa5yKXoH86CRLx0CqOHoMPJdgleTMKHo72SJAqBNoc0kkpTaOKsiqjjpma+vlkXqwC1F3&#10;PSkxK1VmD/W81HuazzxU/+4L0tObXP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SwBNdIAAAAE&#10;AQAADwAAAAAAAAABACAAAAAiAAAAZHJzL2Rvd25yZXYueG1sUEsBAhQAFAAAAAgAh07iQD7bjlbp&#10;AQAA2wMAAA4AAAAAAAAAAQAgAAAAIQEAAGRycy9lMm9Eb2MueG1sUEsFBgAAAAAGAAYAWQEAAHwF&#10;AAAAAA==&#10;">
                <v:fill on="f" focussize="0,0"/>
                <v:stroke color="#000000" joinstyle="round"/>
                <v:imagedata o:title=""/>
                <o:lock v:ext="edit" aspectratio="f"/>
              </v:line>
            </w:pict>
          </mc:Fallback>
        </mc:AlternateContent>
      </w:r>
      <w:r>
        <w:rPr>
          <w:rFonts w:hint="eastAsia" w:ascii="方正小标宋简体" w:hAnsi="Times New Roman" w:eastAsia="方正小标宋简体" w:cs="Times New Roman"/>
          <w:b/>
          <w:sz w:val="32"/>
          <w:szCs w:val="32"/>
          <w:lang w:val="en-US" w:eastAsia="zh-CN"/>
        </w:rPr>
        <w:t xml:space="preserve">新 疆 维 吾 尔 自 治 区 </w:t>
      </w:r>
      <w:r>
        <w:rPr>
          <w:rFonts w:hint="eastAsia" w:ascii="方正小标宋简体" w:hAnsi="Times New Roman" w:eastAsia="方正小标宋简体" w:cs="Times New Roman"/>
          <w:b/>
          <w:sz w:val="32"/>
          <w:szCs w:val="32"/>
          <w:lang w:val="en-US"/>
        </w:rPr>
        <w:t>市</w:t>
      </w:r>
      <w:r>
        <w:rPr>
          <w:rFonts w:hint="eastAsia" w:ascii="方正小标宋简体" w:hAnsi="Times New Roman" w:eastAsia="方正小标宋简体" w:cs="Times New Roman"/>
          <w:b/>
          <w:sz w:val="32"/>
          <w:szCs w:val="32"/>
        </w:rPr>
        <w:t xml:space="preserve"> </w:t>
      </w:r>
      <w:r>
        <w:rPr>
          <w:rFonts w:hint="eastAsia" w:ascii="方正小标宋简体" w:hAnsi="Times New Roman" w:eastAsia="方正小标宋简体" w:cs="Times New Roman"/>
          <w:b/>
          <w:sz w:val="32"/>
          <w:szCs w:val="32"/>
          <w:lang w:val="en-US"/>
        </w:rPr>
        <w:t>场</w:t>
      </w:r>
      <w:r>
        <w:rPr>
          <w:rFonts w:hint="eastAsia" w:ascii="方正小标宋简体" w:hAnsi="Times New Roman" w:eastAsia="方正小标宋简体" w:cs="Times New Roman"/>
          <w:b/>
          <w:sz w:val="32"/>
          <w:szCs w:val="32"/>
          <w:lang w:val="en-US" w:eastAsia="zh-CN"/>
        </w:rPr>
        <w:t xml:space="preserve"> 监 督 </w:t>
      </w:r>
      <w:r>
        <w:rPr>
          <w:rFonts w:hint="eastAsia" w:ascii="方正小标宋简体" w:hAnsi="Times New Roman" w:eastAsia="方正小标宋简体" w:cs="Times New Roman"/>
          <w:b/>
          <w:sz w:val="32"/>
          <w:szCs w:val="32"/>
          <w:lang w:val="en-US"/>
        </w:rPr>
        <w:t>管</w:t>
      </w:r>
      <w:r>
        <w:rPr>
          <w:rFonts w:hint="eastAsia" w:ascii="方正小标宋简体" w:hAnsi="Times New Roman" w:eastAsia="方正小标宋简体" w:cs="Times New Roman"/>
          <w:b/>
          <w:sz w:val="32"/>
          <w:szCs w:val="32"/>
        </w:rPr>
        <w:t xml:space="preserve"> </w:t>
      </w:r>
      <w:r>
        <w:rPr>
          <w:rFonts w:hint="eastAsia" w:ascii="方正小标宋简体" w:hAnsi="Times New Roman" w:eastAsia="方正小标宋简体" w:cs="Times New Roman"/>
          <w:b/>
          <w:sz w:val="32"/>
          <w:szCs w:val="32"/>
          <w:lang w:val="en-US"/>
        </w:rPr>
        <w:t>理</w:t>
      </w:r>
      <w:r>
        <w:rPr>
          <w:rFonts w:hint="eastAsia" w:ascii="方正小标宋简体" w:hAnsi="Times New Roman" w:eastAsia="方正小标宋简体" w:cs="Times New Roman"/>
          <w:b/>
          <w:sz w:val="32"/>
          <w:szCs w:val="32"/>
        </w:rPr>
        <w:t xml:space="preserve"> </w:t>
      </w:r>
      <w:r>
        <w:rPr>
          <w:rFonts w:hint="eastAsia" w:ascii="方正小标宋简体" w:hAnsi="Times New Roman" w:eastAsia="方正小标宋简体" w:cs="Times New Roman"/>
          <w:b/>
          <w:sz w:val="32"/>
          <w:szCs w:val="32"/>
          <w:lang w:val="en-US" w:eastAsia="zh-CN"/>
        </w:rPr>
        <w:t>局</w:t>
      </w:r>
      <w:r>
        <w:rPr>
          <w:rFonts w:hint="eastAsia" w:ascii="方正小标宋简体" w:hAnsi="Times New Roman" w:eastAsia="方正小标宋简体" w:cs="Times New Roman"/>
          <w:b/>
          <w:sz w:val="32"/>
          <w:szCs w:val="32"/>
        </w:rPr>
        <w:t xml:space="preserve">  发 布</w:t>
      </w:r>
    </w:p>
    <w:p>
      <w:pPr>
        <w:tabs>
          <w:tab w:val="left" w:pos="1545"/>
        </w:tabs>
        <w:spacing w:line="360" w:lineRule="auto"/>
        <w:ind w:right="880"/>
        <w:rPr>
          <w:rFonts w:eastAsia="黑体"/>
          <w:sz w:val="44"/>
          <w:szCs w:val="44"/>
        </w:rPr>
      </w:pP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left"/>
        <w:textAlignment w:val="auto"/>
        <w:outlineLvl w:val="9"/>
        <w:rPr>
          <w:rFonts w:hint="eastAsia" w:ascii="黑体" w:hAnsi="Times New Roman" w:eastAsia="黑体" w:cs="Times New Roman"/>
          <w:b/>
          <w:bCs w:val="0"/>
          <w:kern w:val="2"/>
          <w:sz w:val="44"/>
          <w:szCs w:val="44"/>
          <w:lang w:val="en-US" w:eastAsia="zh-CN" w:bidi="ar-SA"/>
        </w:rPr>
      </w:pPr>
      <w:r>
        <w:rPr>
          <w:rFonts w:eastAsia="黑体"/>
          <w:sz w:val="44"/>
          <w:szCs w:val="44"/>
          <w:lang w:val="en-US" w:eastAsia="zh-CN"/>
        </w:rPr>
        <mc:AlternateContent>
          <mc:Choice Requires="wps">
            <w:drawing>
              <wp:anchor distT="0" distB="0" distL="114300" distR="114300" simplePos="0" relativeHeight="251659264" behindDoc="0" locked="0" layoutInCell="1" allowOverlap="1">
                <wp:simplePos x="0" y="0"/>
                <wp:positionH relativeFrom="column">
                  <wp:posOffset>3742690</wp:posOffset>
                </wp:positionH>
                <wp:positionV relativeFrom="paragraph">
                  <wp:posOffset>288925</wp:posOffset>
                </wp:positionV>
                <wp:extent cx="1733550" cy="693420"/>
                <wp:effectExtent l="9525" t="9525" r="9525" b="20955"/>
                <wp:wrapNone/>
                <wp:docPr id="5" name="文本框 101"/>
                <wp:cNvGraphicFramePr/>
                <a:graphic xmlns:a="http://schemas.openxmlformats.org/drawingml/2006/main">
                  <a:graphicData uri="http://schemas.microsoft.com/office/word/2010/wordprocessingShape">
                    <wps:wsp>
                      <wps:cNvSpPr txBox="1"/>
                      <wps:spPr>
                        <a:xfrm>
                          <a:off x="0" y="0"/>
                          <a:ext cx="1733550" cy="693420"/>
                        </a:xfrm>
                        <a:prstGeom prst="rect">
                          <a:avLst/>
                        </a:prstGeom>
                        <a:solidFill>
                          <a:srgbClr val="FFFFFF"/>
                        </a:solidFill>
                        <a:ln w="19050" cap="flat" cmpd="sng">
                          <a:solidFill>
                            <a:srgbClr val="000000"/>
                          </a:solidFill>
                          <a:prstDash val="sysDot"/>
                          <a:miter/>
                          <a:headEnd type="none" w="med" len="med"/>
                          <a:tailEnd type="none" w="med" len="med"/>
                        </a:ln>
                      </wps:spPr>
                      <wps:txbx>
                        <w:txbxContent>
                          <w:p>
                            <w:pPr>
                              <w:spacing w:beforeLines="50"/>
                              <w:rPr>
                                <w:rFonts w:hint="default" w:eastAsia="宋体"/>
                                <w:b/>
                                <w:lang w:val="en-US" w:eastAsia="zh-CN"/>
                              </w:rPr>
                            </w:pPr>
                            <w:r>
                              <w:rPr>
                                <w:rFonts w:hint="eastAsia"/>
                                <w:b/>
                                <w:bCs/>
                                <w:sz w:val="28"/>
                              </w:rPr>
                              <w:t>JJ</w:t>
                            </w:r>
                            <w:r>
                              <w:rPr>
                                <w:rFonts w:hint="eastAsia"/>
                                <w:b/>
                                <w:bCs/>
                                <w:sz w:val="28"/>
                                <w:lang w:val="en-US" w:eastAsia="zh-CN"/>
                              </w:rPr>
                              <w:t>F</w:t>
                            </w:r>
                            <w:r>
                              <w:rPr>
                                <w:rFonts w:hint="eastAsia"/>
                                <w:b/>
                                <w:bCs/>
                                <w:sz w:val="28"/>
                              </w:rPr>
                              <w:t>（新）</w:t>
                            </w:r>
                            <w:r>
                              <w:rPr>
                                <w:rFonts w:hint="eastAsia"/>
                                <w:b/>
                                <w:bCs/>
                                <w:sz w:val="28"/>
                                <w:lang w:val="en-US" w:eastAsia="zh-CN"/>
                              </w:rPr>
                              <w:t>XX</w:t>
                            </w:r>
                            <w:r>
                              <w:rPr>
                                <w:rFonts w:hint="eastAsia"/>
                                <w:b/>
                                <w:bCs/>
                                <w:sz w:val="28"/>
                              </w:rPr>
                              <w:t>—20</w:t>
                            </w:r>
                            <w:r>
                              <w:rPr>
                                <w:rFonts w:hint="eastAsia"/>
                                <w:b/>
                                <w:bCs/>
                                <w:sz w:val="28"/>
                                <w:lang w:val="en-US" w:eastAsia="zh-CN"/>
                              </w:rPr>
                              <w:t>21</w:t>
                            </w:r>
                          </w:p>
                        </w:txbxContent>
                      </wps:txbx>
                      <wps:bodyPr upright="1"/>
                    </wps:wsp>
                  </a:graphicData>
                </a:graphic>
              </wp:anchor>
            </w:drawing>
          </mc:Choice>
          <mc:Fallback>
            <w:pict>
              <v:shape id="文本框 101" o:spid="_x0000_s1026" o:spt="202" type="#_x0000_t202" style="position:absolute;left:0pt;margin-left:294.7pt;margin-top:22.75pt;height:54.6pt;width:136.5pt;z-index:251659264;mso-width-relative:page;mso-height-relative:page;" fillcolor="#FFFFFF" filled="t" stroked="t" coordsize="21600,21600" o:gfxdata="UEsDBAoAAAAAAIdO4kAAAAAAAAAAAAAAAAAEAAAAZHJzL1BLAwQUAAAACACHTuJAb09NZtkAAAAK&#10;AQAADwAAAGRycy9kb3ducmV2LnhtbE2PTU+DQBCG7yb+h82YeLMLFVqKLD2ojSdTqR563LJTIN0P&#10;wi4F/73jSY8z8+Sd5y22s9HsioPvnBUQLyJgaGunOtsI+PrcPWTAfJBWSe0sCvhGD9vy9qaQuXKT&#10;rfB6CA2jEOtzKaANoc8593WLRvqF69HS7ewGIwONQ8PVICcKN5ovo2jFjewsfWhlj88t1pfDaARU&#10;4e3l43jxexO/7t7Pj3oep3UlxP1dHD0BCziHPxh+9UkdSnI6udEqz7SANNskhApI0hQYAdlqSYsT&#10;kWmyBl4W/H+F8gdQSwMEFAAAAAgAh07iQA6/PUcPAgAAOgQAAA4AAABkcnMvZTJvRG9jLnhtbK1T&#10;S44TMRDdI3EHy3vSnYQMTCudkSCEDQKkgQM4trvbkn9yOenOBeAGrNiw51w5B2V3JvOBRRb0wl22&#10;y8/vvSovbwajyV4GUM7WdDopKZGWO6FsW9OvXzYvXlMCkVnBtLOypgcJ9Gb1/Nmy95Wcuc5pIQNB&#10;EAtV72vaxeirogDeScNg4ry0uNm4YFjEaWgLEViP6EYXs7K8KnoXhA+OSwBcXY+b9IQYLgF0TaO4&#10;XDu+M9LGETVIzSJKgk55oKvMtmkkj5+aBmQkuqaoNOYRL8F4m8ZitWRVG5jvFD9RYJdQeKLJMGXx&#10;0jPUmkVGdkH9BWUUDw5cEyfcmWIUkh1BFdPyiTe3HfMya0GrwZ9Nh/8Hyz/uPweiRE0XlFhmsODH&#10;H9+PP38ff30j03KaDOo9VJh36zEzDm/cgG1ztw64mHQPTTDpj4oI7qO9h7O9coiEp0Ov5vPFArc4&#10;7l1dz1/Osv/F/WkfIL6XzpAU1DRg+bKrbP8BIjLB1LuUdBk4rcRGaZ0nod2+1YHsGZZ6k79EEo88&#10;StOW9EjlusxEGDZwg42DnIxHE8C2+cJHR+Ahcpm/fyEnZmsG3cgADrB2MeWxyqgoQ446ycQ7K0g8&#10;eHTa4gOjiY6RghIt8T2mKGdGpvQlmahPW5SZijQWI0Vx2A4Ik8KtEwcs3M4H1XZoai5dTseWyv6c&#10;2j/17MN5Br1/8q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09NZtkAAAAKAQAADwAAAAAAAAAB&#10;ACAAAAAiAAAAZHJzL2Rvd25yZXYueG1sUEsBAhQAFAAAAAgAh07iQA6/PUcPAgAAOgQAAA4AAAAA&#10;AAAAAQAgAAAAKAEAAGRycy9lMm9Eb2MueG1sUEsFBgAAAAAGAAYAWQEAAKkFAAAAAA==&#10;">
                <v:fill on="t" focussize="0,0"/>
                <v:stroke weight="1.5pt" color="#000000" joinstyle="miter" dashstyle="1 1"/>
                <v:imagedata o:title=""/>
                <o:lock v:ext="edit" aspectratio="f"/>
                <v:textbox>
                  <w:txbxContent>
                    <w:p>
                      <w:pPr>
                        <w:spacing w:beforeLines="50"/>
                        <w:rPr>
                          <w:rFonts w:hint="default" w:eastAsia="宋体"/>
                          <w:b/>
                          <w:lang w:val="en-US" w:eastAsia="zh-CN"/>
                        </w:rPr>
                      </w:pPr>
                      <w:r>
                        <w:rPr>
                          <w:rFonts w:hint="eastAsia"/>
                          <w:b/>
                          <w:bCs/>
                          <w:sz w:val="28"/>
                        </w:rPr>
                        <w:t>JJ</w:t>
                      </w:r>
                      <w:r>
                        <w:rPr>
                          <w:rFonts w:hint="eastAsia"/>
                          <w:b/>
                          <w:bCs/>
                          <w:sz w:val="28"/>
                          <w:lang w:val="en-US" w:eastAsia="zh-CN"/>
                        </w:rPr>
                        <w:t>F</w:t>
                      </w:r>
                      <w:r>
                        <w:rPr>
                          <w:rFonts w:hint="eastAsia"/>
                          <w:b/>
                          <w:bCs/>
                          <w:sz w:val="28"/>
                        </w:rPr>
                        <w:t>（新）</w:t>
                      </w:r>
                      <w:r>
                        <w:rPr>
                          <w:rFonts w:hint="eastAsia"/>
                          <w:b/>
                          <w:bCs/>
                          <w:sz w:val="28"/>
                          <w:lang w:val="en-US" w:eastAsia="zh-CN"/>
                        </w:rPr>
                        <w:t>XX</w:t>
                      </w:r>
                      <w:r>
                        <w:rPr>
                          <w:rFonts w:hint="eastAsia"/>
                          <w:b/>
                          <w:bCs/>
                          <w:sz w:val="28"/>
                        </w:rPr>
                        <w:t>—20</w:t>
                      </w:r>
                      <w:r>
                        <w:rPr>
                          <w:rFonts w:hint="eastAsia"/>
                          <w:b/>
                          <w:bCs/>
                          <w:sz w:val="28"/>
                          <w:lang w:val="en-US" w:eastAsia="zh-CN"/>
                        </w:rPr>
                        <w:t>21</w:t>
                      </w:r>
                    </w:p>
                  </w:txbxContent>
                </v:textbox>
              </v:shape>
            </w:pict>
          </mc:Fallback>
        </mc:AlternateContent>
      </w:r>
      <w:r>
        <w:rPr>
          <w:rFonts w:hint="eastAsia" w:ascii="黑体" w:hAnsi="Times New Roman" w:eastAsia="黑体" w:cs="Times New Roman"/>
          <w:b/>
          <w:bCs w:val="0"/>
          <w:kern w:val="2"/>
          <w:sz w:val="44"/>
          <w:szCs w:val="44"/>
          <w:lang w:val="en-US" w:eastAsia="zh-CN" w:bidi="ar-SA"/>
        </w:rPr>
        <w:t>发电厂集散控制系统的事件</w:t>
      </w: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left"/>
        <w:textAlignment w:val="auto"/>
        <w:outlineLvl w:val="9"/>
        <w:rPr>
          <w:rFonts w:hint="eastAsia" w:ascii="黑体" w:eastAsia="黑体"/>
          <w:b/>
          <w:sz w:val="44"/>
          <w:szCs w:val="44"/>
        </w:rPr>
      </w:pPr>
      <w:r>
        <w:rPr>
          <w:rFonts w:hint="eastAsia" w:ascii="黑体" w:hAnsi="Times New Roman" w:eastAsia="黑体" w:cs="Times New Roman"/>
          <w:b/>
          <w:bCs w:val="0"/>
          <w:kern w:val="2"/>
          <w:sz w:val="44"/>
          <w:szCs w:val="44"/>
          <w:lang w:val="en-US" w:eastAsia="zh-CN" w:bidi="ar-SA"/>
        </w:rPr>
        <w:t>顺序记录分辨率检测规范</w:t>
      </w:r>
    </w:p>
    <w:p>
      <w:pPr>
        <w:spacing w:line="360" w:lineRule="auto"/>
        <w:jc w:val="both"/>
        <w:rPr>
          <w:rFonts w:hint="eastAsia" w:ascii="Times New Roman" w:hAnsi="Times New Roman" w:eastAsia="黑体" w:cs="Times New Roman"/>
          <w:b/>
          <w:bCs/>
          <w:sz w:val="28"/>
          <w:szCs w:val="28"/>
          <w:lang w:val="en-US" w:eastAsia="zh-CN"/>
        </w:rPr>
      </w:pPr>
      <w:r>
        <w:rPr>
          <w:rFonts w:hint="eastAsia" w:ascii="Times New Roman" w:hAnsi="Times New Roman" w:eastAsia="黑体" w:cs="Times New Roman"/>
          <w:b/>
          <w:bCs/>
          <w:sz w:val="28"/>
          <w:szCs w:val="28"/>
          <w:lang w:val="en-US" w:eastAsia="zh-CN"/>
        </w:rPr>
        <w:t xml:space="preserve">Specification for sequence of events record </w:t>
      </w:r>
    </w:p>
    <w:p>
      <w:pPr>
        <w:spacing w:line="360" w:lineRule="auto"/>
        <w:rPr>
          <w:rFonts w:hint="eastAsia" w:ascii="Times New Roman" w:hAnsi="Times New Roman" w:eastAsia="黑体" w:cs="Times New Roman"/>
          <w:b/>
          <w:bCs/>
          <w:sz w:val="28"/>
          <w:szCs w:val="28"/>
          <w:lang w:val="en-US" w:eastAsia="zh-CN"/>
        </w:rPr>
      </w:pPr>
      <w:r>
        <w:rPr>
          <w:rFonts w:hint="eastAsia" w:ascii="Times New Roman" w:hAnsi="Times New Roman" w:eastAsia="黑体" w:cs="Times New Roman"/>
          <w:b/>
          <w:bCs/>
          <w:sz w:val="28"/>
          <w:szCs w:val="28"/>
          <w:lang w:val="en-US" w:eastAsia="zh-CN"/>
        </w:rPr>
        <w:t>resolution detection in distributed control system of power plant</w:t>
      </w:r>
    </w:p>
    <w:p>
      <w:pPr>
        <w:spacing w:line="520" w:lineRule="exact"/>
        <w:rPr>
          <w:rFonts w:hint="eastAsia"/>
          <w:sz w:val="28"/>
          <w:u w:val="single"/>
        </w:rPr>
      </w:pPr>
      <w:r>
        <w:rPr>
          <w:rFonts w:hint="eastAsia" w:ascii="方正大标宋简体" w:eastAsia="方正大标宋简体"/>
        </w:rPr>
        <mc:AlternateContent>
          <mc:Choice Requires="wps">
            <w:drawing>
              <wp:anchor distT="0" distB="0" distL="114300" distR="114300" simplePos="0" relativeHeight="251672576" behindDoc="0" locked="0" layoutInCell="1" allowOverlap="1">
                <wp:simplePos x="0" y="0"/>
                <wp:positionH relativeFrom="column">
                  <wp:posOffset>0</wp:posOffset>
                </wp:positionH>
                <wp:positionV relativeFrom="paragraph">
                  <wp:posOffset>213360</wp:posOffset>
                </wp:positionV>
                <wp:extent cx="5943600" cy="0"/>
                <wp:effectExtent l="0" t="0" r="0" b="0"/>
                <wp:wrapNone/>
                <wp:docPr id="6" name="直线 9"/>
                <wp:cNvGraphicFramePr/>
                <a:graphic xmlns:a="http://schemas.openxmlformats.org/drawingml/2006/main">
                  <a:graphicData uri="http://schemas.microsoft.com/office/word/2010/wordprocessingShape">
                    <wps:wsp>
                      <wps:cNvCnPr/>
                      <wps:spPr>
                        <a:xfrm>
                          <a:off x="0" y="0"/>
                          <a:ext cx="5943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margin-left:0pt;margin-top:16.8pt;height:0pt;width:468pt;z-index:251672576;mso-width-relative:page;mso-height-relative:page;" filled="f" stroked="t" coordsize="21600,21600" o:gfxdata="UEsDBAoAAAAAAIdO4kAAAAAAAAAAAAAAAAAEAAAAZHJzL1BLAwQUAAAACACHTuJA+7KjHdMAAAAG&#10;AQAADwAAAGRycy9kb3ducmV2LnhtbE2PzU7DMBCE70i8g7VIXCpqt5EiSOP0AOTGhQLiuo23SUS8&#10;TmP3B56eRRzgODOrmW/L9dkP6khT7ANbWMwNKOImuJ5bC68v9c0tqJiQHQ6BycInRVhXlxclFi6c&#10;+JmOm9QqKeFYoIUupbHQOjYdeYzzMBJLtguTxyRyarWb8CTlftBLY3LtsWdZ6HCk+46aj83BW4j1&#10;G+3rr1kzM+9ZG2i5f3h6RGuvrxZmBSrROf0dww++oEMlTNtwYBfVYEEeSRayLAcl6V2Wi7H9NXRV&#10;6v/41TdQSwMEFAAAAAgAh07iQNwqoYPoAQAA2wMAAA4AAABkcnMvZTJvRG9jLnhtbK1TS44TMRDd&#10;I3EHy3vSSSARaaUziwnDBsFIDAeo2O5uS/7J5aSTs3ANVmw4zlyDsjuTgWGTBb1wl13lV/Veldc3&#10;R2vYQUXU3jV8NplyppzwUruu4d8e7t685wwTOAnGO9Xwk0J+s3n9aj2EWs19741UkRGIw3oIDe9T&#10;CnVVoeiVBZz4oBw5Wx8tJNrGrpIRBkK3pppPp8tq8FGG6IVCpNPt6ORnxHgNoG9bLdTWi71VLo2o&#10;URlIRAl7HZBvSrVtq0T60raoEjMNJ6aprJSE7F1eq80a6i5C6LU4lwDXlPCCkwXtKOkFagsJ2D7q&#10;f6CsFtGjb9NEeFuNRIoixGI2faHN1x6CKlxIagwX0fH/wYrPh/vItGz4kjMHlhr++P3H489fbJW1&#10;GQLWFHLr7uN5h+E+ZqLHNtr8JwrsWPQ8XfRUx8QEHS5W794upyS1ePJVzxdDxPRRecuy0XCjXaYK&#10;NRw+YaJkFPoUko+NY0PDV4v5guCA5q6lfpNpA9WOrit30Rst77Qx+QbGbndrIjtA7n35MiXC/Sss&#10;J9kC9mNccY1T0SuQH5xk6RRIFUePgecSrJKcGUVvJ1sECHUCba6JpNTGUQVZ1VHHbO28PFEP9iHq&#10;riclZqXK7KGel3rP85mH6s99QXp+k5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7KjHdMAAAAG&#10;AQAADwAAAAAAAAABACAAAAAiAAAAZHJzL2Rvd25yZXYueG1sUEsBAhQAFAAAAAgAh07iQNwqoYPo&#10;AQAA2wMAAA4AAAAAAAAAAQAgAAAAIgEAAGRycy9lMm9Eb2MueG1sUEsFBgAAAAAGAAYAWQEAAHwF&#10;AAAAAA==&#10;">
                <v:fill on="f" focussize="0,0"/>
                <v:stroke color="#000000" joinstyle="round"/>
                <v:imagedata o:title=""/>
                <o:lock v:ext="edit" aspectratio="f"/>
              </v:line>
            </w:pict>
          </mc:Fallback>
        </mc:AlternateContent>
      </w:r>
    </w:p>
    <w:p>
      <w:pPr>
        <w:spacing w:line="360" w:lineRule="auto"/>
        <w:rPr>
          <w:rFonts w:hint="eastAsia" w:ascii="Times New Roman" w:hAnsi="Times New Roman" w:eastAsia="黑体" w:cs="Times New Roman"/>
          <w:b/>
          <w:bCs/>
          <w:sz w:val="28"/>
          <w:szCs w:val="28"/>
          <w:lang w:val="en-US" w:eastAsia="zh-CN"/>
        </w:rPr>
      </w:pPr>
    </w:p>
    <w:p>
      <w:pPr>
        <w:spacing w:line="360" w:lineRule="auto"/>
        <w:rPr>
          <w:rFonts w:ascii="宋体" w:hAnsi="宋体"/>
          <w:sz w:val="28"/>
        </w:rPr>
      </w:pPr>
      <w:r>
        <w:rPr>
          <w:rFonts w:eastAsia="黑体"/>
          <w:sz w:val="28"/>
        </w:rPr>
        <w:t xml:space="preserve">    </w:t>
      </w:r>
    </w:p>
    <w:p>
      <w:pPr>
        <w:spacing w:line="360" w:lineRule="auto"/>
        <w:jc w:val="both"/>
        <w:rPr>
          <w:sz w:val="32"/>
        </w:rPr>
      </w:pP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32"/>
        </w:rPr>
      </w:pPr>
    </w:p>
    <w:p>
      <w:pPr>
        <w:spacing w:line="360" w:lineRule="auto"/>
        <w:jc w:val="center"/>
        <w:rPr>
          <w:sz w:val="28"/>
        </w:rPr>
      </w:pPr>
      <w:r>
        <w:rPr>
          <w:rFonts w:hint="eastAsia" w:eastAsia="黑体"/>
          <w:b/>
          <w:spacing w:val="8"/>
          <w:sz w:val="28"/>
          <w:szCs w:val="28"/>
        </w:rPr>
        <w:t>归</w:t>
      </w:r>
      <w:r>
        <w:rPr>
          <w:rFonts w:eastAsia="黑体"/>
          <w:b/>
          <w:spacing w:val="8"/>
          <w:sz w:val="28"/>
          <w:szCs w:val="28"/>
        </w:rPr>
        <w:t xml:space="preserve"> </w:t>
      </w:r>
      <w:r>
        <w:rPr>
          <w:rFonts w:hint="eastAsia" w:eastAsia="黑体"/>
          <w:b/>
          <w:spacing w:val="8"/>
          <w:sz w:val="28"/>
          <w:szCs w:val="28"/>
        </w:rPr>
        <w:t>口</w:t>
      </w:r>
      <w:r>
        <w:rPr>
          <w:rFonts w:eastAsia="黑体"/>
          <w:b/>
          <w:spacing w:val="8"/>
          <w:sz w:val="28"/>
          <w:szCs w:val="28"/>
        </w:rPr>
        <w:t xml:space="preserve"> </w:t>
      </w:r>
      <w:r>
        <w:rPr>
          <w:rFonts w:hint="eastAsia" w:eastAsia="黑体"/>
          <w:b/>
          <w:spacing w:val="8"/>
          <w:sz w:val="28"/>
          <w:szCs w:val="28"/>
        </w:rPr>
        <w:t>单</w:t>
      </w:r>
      <w:r>
        <w:rPr>
          <w:rFonts w:eastAsia="黑体"/>
          <w:b/>
          <w:spacing w:val="8"/>
          <w:sz w:val="28"/>
          <w:szCs w:val="28"/>
        </w:rPr>
        <w:t xml:space="preserve"> </w:t>
      </w:r>
      <w:r>
        <w:rPr>
          <w:rFonts w:hint="eastAsia" w:eastAsia="黑体"/>
          <w:b/>
          <w:spacing w:val="8"/>
          <w:sz w:val="28"/>
          <w:szCs w:val="28"/>
        </w:rPr>
        <w:t>位</w:t>
      </w:r>
      <w:r>
        <w:rPr>
          <w:rFonts w:eastAsia="黑体"/>
          <w:b/>
          <w:spacing w:val="10"/>
          <w:sz w:val="28"/>
          <w:szCs w:val="28"/>
        </w:rPr>
        <w:t>:</w:t>
      </w:r>
      <w:r>
        <w:rPr>
          <w:rFonts w:eastAsia="黑体"/>
          <w:b/>
          <w:sz w:val="28"/>
          <w:szCs w:val="28"/>
        </w:rPr>
        <w:t xml:space="preserve"> </w:t>
      </w:r>
      <w:r>
        <w:rPr>
          <w:rFonts w:hint="eastAsia"/>
          <w:sz w:val="28"/>
        </w:rPr>
        <w:t>新疆维吾尔自治区市场监督管理局</w:t>
      </w:r>
    </w:p>
    <w:p>
      <w:pPr>
        <w:spacing w:line="360" w:lineRule="auto"/>
        <w:ind w:firstLine="1526" w:firstLineChars="543"/>
        <w:rPr>
          <w:sz w:val="28"/>
        </w:rPr>
      </w:pPr>
      <w:r>
        <w:rPr>
          <w:rFonts w:hint="eastAsia" w:eastAsia="黑体"/>
          <w:b/>
          <w:sz w:val="28"/>
          <w:szCs w:val="28"/>
        </w:rPr>
        <w:t>起 草 单 位：</w:t>
      </w:r>
      <w:r>
        <w:rPr>
          <w:rFonts w:hint="eastAsia"/>
          <w:sz w:val="28"/>
        </w:rPr>
        <w:t>新疆维吾尔自治区计量测试研究院</w:t>
      </w:r>
    </w:p>
    <w:p>
      <w:pPr>
        <w:spacing w:line="360" w:lineRule="auto"/>
        <w:jc w:val="both"/>
        <w:rPr>
          <w:sz w:val="32"/>
        </w:rPr>
      </w:pPr>
    </w:p>
    <w:p>
      <w:pPr>
        <w:spacing w:line="360" w:lineRule="auto"/>
        <w:jc w:val="center"/>
        <w:rPr>
          <w:sz w:val="32"/>
        </w:rPr>
      </w:pPr>
    </w:p>
    <w:p>
      <w:pPr>
        <w:spacing w:line="360" w:lineRule="auto"/>
        <w:rPr>
          <w:sz w:val="32"/>
        </w:rPr>
      </w:pPr>
    </w:p>
    <w:p>
      <w:pPr>
        <w:spacing w:line="360" w:lineRule="auto"/>
        <w:rPr>
          <w:sz w:val="32"/>
        </w:rPr>
      </w:pPr>
    </w:p>
    <w:p>
      <w:pPr>
        <w:spacing w:line="360" w:lineRule="auto"/>
        <w:jc w:val="center"/>
        <w:rPr>
          <w:rFonts w:hint="eastAsia" w:ascii="Times New Roman" w:hAnsi="Times New Roman" w:cs="Times New Roman"/>
          <w:sz w:val="28"/>
        </w:rPr>
      </w:pPr>
      <w:r>
        <w:rPr>
          <w:rFonts w:hint="eastAsia" w:ascii="Times New Roman" w:hAnsi="Times New Roman" w:cs="Times New Roman"/>
          <w:sz w:val="28"/>
        </w:rPr>
        <w:t>本规范委托新疆维吾尔自治区市场监督管理局负责解释</w:t>
      </w:r>
    </w:p>
    <w:p>
      <w:pPr>
        <w:spacing w:line="360" w:lineRule="auto"/>
        <w:rPr>
          <w:rFonts w:hint="eastAsia" w:eastAsia="黑体"/>
          <w:b/>
          <w:sz w:val="28"/>
        </w:rPr>
        <w:sectPr>
          <w:footerReference r:id="rId8" w:type="first"/>
          <w:footerReference r:id="rId7" w:type="default"/>
          <w:pgSz w:w="11906" w:h="16838"/>
          <w:pgMar w:top="1440" w:right="1418" w:bottom="1440" w:left="1418" w:header="851" w:footer="992" w:gutter="0"/>
          <w:pgNumType w:fmt="upperRoman" w:start="1"/>
          <w:cols w:space="720" w:num="1"/>
          <w:docGrid w:type="lines" w:linePitch="312" w:charSpace="0"/>
        </w:sectPr>
      </w:pPr>
    </w:p>
    <w:p>
      <w:pPr>
        <w:spacing w:line="360" w:lineRule="auto"/>
        <w:rPr>
          <w:rFonts w:hint="eastAsia" w:eastAsia="黑体"/>
          <w:b/>
          <w:sz w:val="28"/>
        </w:rPr>
      </w:pPr>
    </w:p>
    <w:p>
      <w:pPr>
        <w:spacing w:line="360" w:lineRule="auto"/>
        <w:rPr>
          <w:rFonts w:hint="eastAsia" w:eastAsia="黑体"/>
          <w:b/>
          <w:sz w:val="28"/>
        </w:rPr>
      </w:pPr>
    </w:p>
    <w:p>
      <w:pPr>
        <w:spacing w:line="360" w:lineRule="auto"/>
        <w:rPr>
          <w:rFonts w:hint="eastAsia" w:eastAsia="黑体"/>
          <w:b/>
          <w:sz w:val="28"/>
        </w:rPr>
      </w:pPr>
    </w:p>
    <w:p>
      <w:pPr>
        <w:spacing w:line="360" w:lineRule="auto"/>
        <w:rPr>
          <w:rFonts w:hint="eastAsia" w:eastAsia="黑体"/>
          <w:b/>
          <w:sz w:val="28"/>
        </w:rPr>
      </w:pPr>
    </w:p>
    <w:p>
      <w:pPr>
        <w:spacing w:line="360" w:lineRule="auto"/>
        <w:rPr>
          <w:rFonts w:hint="eastAsia" w:eastAsia="黑体"/>
          <w:b/>
          <w:sz w:val="28"/>
        </w:rPr>
      </w:pPr>
    </w:p>
    <w:p>
      <w:pPr>
        <w:spacing w:line="360" w:lineRule="auto"/>
        <w:ind w:firstLine="967" w:firstLineChars="344"/>
        <w:rPr>
          <w:rFonts w:hint="eastAsia" w:eastAsia="黑体"/>
          <w:b/>
          <w:sz w:val="28"/>
        </w:rPr>
      </w:pPr>
      <w:r>
        <w:rPr>
          <w:rFonts w:hint="eastAsia" w:eastAsia="黑体"/>
          <w:b/>
          <w:sz w:val="28"/>
        </w:rPr>
        <w:t>本规范主要起草人：</w:t>
      </w:r>
    </w:p>
    <w:p>
      <w:pPr>
        <w:spacing w:line="360" w:lineRule="auto"/>
        <w:ind w:firstLine="967" w:firstLineChars="344"/>
        <w:rPr>
          <w:rFonts w:hint="eastAsia" w:eastAsia="黑体"/>
          <w:b/>
          <w:sz w:val="28"/>
        </w:rPr>
      </w:pPr>
    </w:p>
    <w:p>
      <w:pPr>
        <w:spacing w:line="360" w:lineRule="auto"/>
        <w:ind w:firstLine="967" w:firstLineChars="344"/>
        <w:rPr>
          <w:rFonts w:hint="eastAsia" w:eastAsia="黑体"/>
          <w:b/>
          <w:sz w:val="28"/>
        </w:rPr>
      </w:pPr>
    </w:p>
    <w:p>
      <w:pPr>
        <w:spacing w:line="360" w:lineRule="auto"/>
        <w:ind w:firstLine="967" w:firstLineChars="344"/>
        <w:rPr>
          <w:rFonts w:hint="eastAsia" w:eastAsia="黑体"/>
          <w:b/>
          <w:sz w:val="28"/>
        </w:rPr>
      </w:pPr>
    </w:p>
    <w:p>
      <w:pPr>
        <w:spacing w:line="360" w:lineRule="auto"/>
        <w:ind w:firstLine="967" w:firstLineChars="344"/>
        <w:rPr>
          <w:rFonts w:hint="eastAsia" w:eastAsia="黑体"/>
          <w:b/>
          <w:sz w:val="28"/>
        </w:rPr>
      </w:pPr>
      <w:r>
        <w:rPr>
          <w:rFonts w:hint="eastAsia" w:eastAsia="黑体"/>
          <w:b/>
          <w:sz w:val="28"/>
        </w:rPr>
        <w:t>参与起草人：</w:t>
      </w:r>
    </w:p>
    <w:p>
      <w:pPr>
        <w:spacing w:line="360" w:lineRule="auto"/>
        <w:jc w:val="center"/>
        <w:rPr>
          <w:sz w:val="28"/>
        </w:rPr>
      </w:pPr>
    </w:p>
    <w:p>
      <w:pPr>
        <w:spacing w:line="360" w:lineRule="auto"/>
        <w:jc w:val="center"/>
        <w:rPr>
          <w:rFonts w:hAnsi="宋体"/>
          <w:sz w:val="28"/>
        </w:rPr>
      </w:pPr>
    </w:p>
    <w:p>
      <w:pPr>
        <w:spacing w:line="360" w:lineRule="auto"/>
        <w:jc w:val="center"/>
        <w:rPr>
          <w:sz w:val="28"/>
        </w:rPr>
      </w:pPr>
    </w:p>
    <w:p>
      <w:pPr>
        <w:spacing w:line="360" w:lineRule="auto"/>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jc w:val="center"/>
        <w:rPr>
          <w:sz w:val="28"/>
        </w:rPr>
      </w:pPr>
    </w:p>
    <w:p>
      <w:pPr>
        <w:spacing w:line="360" w:lineRule="auto"/>
        <w:rPr>
          <w:sz w:val="28"/>
        </w:rPr>
        <w:sectPr>
          <w:footerReference r:id="rId9" w:type="default"/>
          <w:pgSz w:w="11906" w:h="16838"/>
          <w:pgMar w:top="1440" w:right="1418" w:bottom="1440" w:left="1418" w:header="851" w:footer="992" w:gutter="0"/>
          <w:pgNumType w:fmt="upperRoman" w:start="1"/>
          <w:cols w:space="720" w:num="1"/>
          <w:docGrid w:type="lines" w:linePitch="312" w:charSpace="0"/>
        </w:sectPr>
      </w:pPr>
    </w:p>
    <w:p>
      <w:pPr>
        <w:pStyle w:val="65"/>
        <w:pageBreakBefore w:val="0"/>
        <w:kinsoku/>
        <w:wordWrap/>
        <w:overflowPunct/>
        <w:topLinePunct w:val="0"/>
        <w:autoSpaceDE/>
        <w:autoSpaceDN/>
        <w:bidi w:val="0"/>
        <w:adjustRightInd/>
        <w:snapToGrid/>
        <w:spacing w:line="360" w:lineRule="auto"/>
        <w:jc w:val="center"/>
        <w:textAlignment w:val="auto"/>
        <w:rPr>
          <w:rFonts w:ascii="黑体" w:hAnsi="黑体" w:eastAsia="黑体"/>
          <w:b/>
          <w:color w:val="auto"/>
          <w:sz w:val="44"/>
          <w:szCs w:val="44"/>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"1-3" \h \u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_Toc6872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kern w:val="2"/>
          <w:szCs w:val="36"/>
          <w:lang w:val="en-US" w:eastAsia="zh-CN" w:bidi="ar-SA"/>
        </w:rPr>
        <w:t>引  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_Toc6872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_Toc4869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1</w:t>
      </w:r>
      <w:r>
        <w:rPr>
          <w:rFonts w:hint="eastAsia" w:asciiTheme="minorEastAsia" w:hAnsiTheme="minorEastAsia" w:eastAsiaTheme="minorEastAsia" w:cstheme="minorEastAsia"/>
          <w:kern w:val="2"/>
          <w:szCs w:val="24"/>
        </w:rPr>
        <w:t>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_Toc4869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_Toc24723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2引用文件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_Toc24723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_Toc10974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3 术语、定义和缩略语</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_Toc10974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_Toc29581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rPr>
        <w:t>3.1术语</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_Toc29581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_Toc8576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4 概述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_Toc8576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_Toc17303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5 检测技术指标</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_Toc17303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_Toc19891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6 检测环境与条件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_Toc19891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_Toc16807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rPr>
        <w:t>6.1检测设备</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_Toc16807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_Toc17568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bCs w:val="0"/>
        </w:rPr>
        <w:t>6.2 检测具备条件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_Toc17568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_Toc7723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7 检测方法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_Toc7723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_Toc11604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kern w:val="2"/>
          <w:szCs w:val="24"/>
          <w:lang w:val="en-US" w:eastAsia="zh-CN"/>
        </w:rPr>
        <w:t>8 检测结果</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_Toc11604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_Toc8937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rPr>
        <w:t>8.1 检测记录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_Toc8937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6"/>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_Toc13740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rPr>
        <w:t>8.2 检测报告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_Toc13740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_Toc19663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A  事件顺序记录分辨率检测记录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_Toc19663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pStyle w:val="20"/>
        <w:keepNext w:val="0"/>
        <w:keepLines w:val="0"/>
        <w:pageBreakBefore w:val="0"/>
        <w:widowControl w:val="0"/>
        <w:tabs>
          <w:tab w:val="right" w:leader="dot" w:pos="8312"/>
        </w:tabs>
        <w:kinsoku/>
        <w:wordWrap/>
        <w:overflowPunct/>
        <w:topLinePunct w:val="0"/>
        <w:autoSpaceDE/>
        <w:autoSpaceDN/>
        <w:bidi w:val="0"/>
        <w:adjustRightInd/>
        <w:snapToGrid/>
        <w:spacing w:line="360" w:lineRule="auto"/>
        <w:textAlignment w:val="auto"/>
      </w:pPr>
      <w:r>
        <w:rPr>
          <w:rFonts w:hint="eastAsia" w:asciiTheme="minorEastAsia" w:hAnsiTheme="minorEastAsia" w:eastAsiaTheme="minorEastAsia" w:cstheme="minorEastAsia"/>
          <w:szCs w:val="24"/>
        </w:rPr>
        <w:fldChar w:fldCharType="begin"/>
      </w:r>
      <w:r>
        <w:rPr>
          <w:rFonts w:hint="eastAsia" w:asciiTheme="minorEastAsia" w:hAnsiTheme="minorEastAsia" w:eastAsiaTheme="minorEastAsia" w:cstheme="minorEastAsia"/>
          <w:szCs w:val="24"/>
        </w:rPr>
        <w:instrText xml:space="preserve"> HYPERLINK \l _Toc23380 </w:instrText>
      </w:r>
      <w:r>
        <w:rPr>
          <w:rFonts w:hint="eastAsia" w:asciiTheme="minorEastAsia" w:hAnsiTheme="minorEastAsia" w:eastAsiaTheme="minorEastAsia" w:cstheme="minorEastAsia"/>
          <w:szCs w:val="24"/>
        </w:rPr>
        <w:fldChar w:fldCharType="separate"/>
      </w:r>
      <w:r>
        <w:rPr>
          <w:rFonts w:hint="eastAsia" w:asciiTheme="minorEastAsia" w:hAnsiTheme="minorEastAsia" w:eastAsiaTheme="minorEastAsia" w:cstheme="minorEastAsia"/>
          <w:szCs w:val="28"/>
        </w:rPr>
        <w:t xml:space="preserve">附录 </w:t>
      </w:r>
      <w:r>
        <w:rPr>
          <w:rFonts w:hint="eastAsia" w:asciiTheme="minorEastAsia" w:hAnsiTheme="minorEastAsia" w:eastAsiaTheme="minorEastAsia" w:cstheme="minorEastAsia"/>
          <w:szCs w:val="28"/>
          <w:lang w:val="en-US" w:eastAsia="zh-CN"/>
        </w:rPr>
        <w:t>B  发电厂集散控制系统的事件顺序记录分辨率检测报告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_Toc23380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asciiTheme="minorEastAsia" w:hAnsiTheme="minorEastAsia" w:eastAsiaTheme="minorEastAsia" w:cstheme="minorEastAsia"/>
          <w:szCs w:val="24"/>
        </w:rPr>
        <w:fldChar w:fldCharType="end"/>
      </w:r>
    </w:p>
    <w:p>
      <w:pPr>
        <w:pStyle w:val="2"/>
        <w:jc w:val="center"/>
        <w:rPr>
          <w:rFonts w:hint="eastAsia" w:ascii="Times New Roman" w:hAnsi="Times New Roman" w:eastAsia="黑体" w:cs="Times New Roman"/>
          <w:b/>
          <w:bCs/>
          <w:kern w:val="2"/>
          <w:sz w:val="44"/>
          <w:szCs w:val="36"/>
          <w:lang w:val="en-US" w:eastAsia="zh-CN" w:bidi="ar-SA"/>
        </w:rPr>
        <w:sectPr>
          <w:headerReference r:id="rId10" w:type="default"/>
          <w:footerReference r:id="rId11" w:type="default"/>
          <w:pgSz w:w="11906" w:h="16838"/>
          <w:pgMar w:top="1457" w:right="1797" w:bottom="1440" w:left="1797" w:header="851" w:footer="992" w:gutter="0"/>
          <w:pgNumType w:fmt="upperRoman"/>
          <w:cols w:space="720" w:num="1"/>
          <w:docGrid w:type="lines" w:linePitch="312" w:charSpace="0"/>
        </w:sectPr>
      </w:pPr>
      <w:bookmarkStart w:id="0" w:name="_Toc524432657"/>
      <w:bookmarkStart w:id="1" w:name="_Toc497833326"/>
    </w:p>
    <w:p>
      <w:pPr>
        <w:pStyle w:val="2"/>
        <w:jc w:val="center"/>
        <w:rPr>
          <w:rFonts w:eastAsia="黑体"/>
        </w:rPr>
      </w:pPr>
      <w:bookmarkStart w:id="2" w:name="_Toc6872"/>
      <w:r>
        <w:rPr>
          <w:rFonts w:hint="eastAsia" w:ascii="Times New Roman" w:hAnsi="Times New Roman" w:eastAsia="黑体" w:cs="Times New Roman"/>
          <w:b/>
          <w:bCs/>
          <w:kern w:val="2"/>
          <w:sz w:val="44"/>
          <w:szCs w:val="36"/>
          <w:lang w:val="en-US" w:eastAsia="zh-CN" w:bidi="ar-SA"/>
        </w:rPr>
        <w:t>引  言</w:t>
      </w:r>
      <w:bookmarkEnd w:id="0"/>
      <w:bookmarkEnd w:id="1"/>
      <w:bookmarkEnd w:id="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JJF1001-2011《通用计量术语及定义</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、JJF1071-2010</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国家计量校准规范</w:t>
      </w:r>
      <w:r>
        <w:rPr>
          <w:rFonts w:hint="eastAsia" w:cs="Times New Roman"/>
          <w:sz w:val="24"/>
          <w:lang w:val="en-US" w:eastAsia="zh-CN"/>
        </w:rPr>
        <w:t>编写</w:t>
      </w:r>
      <w:r>
        <w:rPr>
          <w:rFonts w:hint="default" w:ascii="Times New Roman" w:hAnsi="Times New Roman" w:eastAsia="宋体" w:cs="Times New Roman"/>
          <w:sz w:val="24"/>
          <w:lang w:val="en-US" w:eastAsia="zh-CN"/>
        </w:rPr>
        <w:t>规则</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和JJF1059.1-2012</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测量不确定度评定与表示</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共同构成本规范制定的基础性系列规范。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本规范在参考了DL/T 774-2015《火力发电厂热工自动化系统检修运行维护</w:t>
      </w:r>
      <w:r>
        <w:rPr>
          <w:rFonts w:hint="eastAsia" w:cs="Times New Roman"/>
          <w:sz w:val="24"/>
          <w:lang w:val="en-US" w:eastAsia="zh-CN"/>
        </w:rPr>
        <w:t>规程</w:t>
      </w:r>
      <w:r>
        <w:rPr>
          <w:rFonts w:hint="default" w:ascii="Times New Roman" w:hAnsi="Times New Roman" w:eastAsia="宋体" w:cs="Times New Roman"/>
          <w:sz w:val="24"/>
          <w:lang w:val="en-US" w:eastAsia="zh-CN"/>
        </w:rPr>
        <w:t xml:space="preserve">》 </w:t>
      </w:r>
      <w:r>
        <w:rPr>
          <w:rFonts w:hint="default" w:ascii="Times New Roman" w:hAnsi="Times New Roman" w:cs="Times New Roman"/>
          <w:sz w:val="24"/>
          <w:lang w:val="en-US" w:eastAsia="zh-CN"/>
        </w:rPr>
        <w:t>、</w:t>
      </w:r>
      <w:r>
        <w:rPr>
          <w:rFonts w:hint="default" w:ascii="Times New Roman" w:hAnsi="Times New Roman" w:eastAsia="宋体" w:cs="Times New Roman"/>
          <w:sz w:val="24"/>
          <w:lang w:val="en-US" w:eastAsia="zh-CN"/>
        </w:rPr>
        <w:t>DLT 659-2006《火力发电厂分散控制系统验收</w:t>
      </w:r>
      <w:r>
        <w:rPr>
          <w:rFonts w:hint="eastAsia" w:cs="Times New Roman"/>
          <w:sz w:val="24"/>
          <w:lang w:val="en-US" w:eastAsia="zh-CN"/>
        </w:rPr>
        <w:t>测试规程</w:t>
      </w:r>
      <w:r>
        <w:rPr>
          <w:rFonts w:hint="default" w:ascii="Times New Roman" w:hAnsi="Times New Roman" w:eastAsia="宋体" w:cs="Times New Roman"/>
          <w:sz w:val="24"/>
          <w:lang w:val="en-US" w:eastAsia="zh-CN"/>
        </w:rPr>
        <w:t>》、《DL/T 701 火力发电厂热工自动化术语》等文件基础上，结合国内发电厂集散控制系统的事件顺序记录分辨率制定</w:t>
      </w:r>
      <w:r>
        <w:rPr>
          <w:rFonts w:hint="default" w:ascii="Times New Roman" w:hAnsi="Times New Roman" w:cs="Times New Roman"/>
          <w:sz w:val="24"/>
          <w:lang w:val="en-US" w:eastAsia="zh-CN"/>
        </w:rPr>
        <w:t>本</w:t>
      </w:r>
      <w:r>
        <w:rPr>
          <w:rFonts w:hint="default" w:ascii="Times New Roman" w:hAnsi="Times New Roman" w:eastAsia="宋体" w:cs="Times New Roman"/>
          <w:sz w:val="24"/>
          <w:lang w:val="en-US" w:eastAsia="zh-CN"/>
        </w:rPr>
        <w:t xml:space="preserve">检测规范。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本规范属于首次发布</w:t>
      </w:r>
      <w:r>
        <w:rPr>
          <w:rFonts w:hint="eastAsia" w:cs="Times New Roman"/>
          <w:sz w:val="24"/>
          <w:lang w:val="en-US" w:eastAsia="zh-CN"/>
        </w:rPr>
        <w:t>。</w:t>
      </w:r>
      <w:r>
        <w:rPr>
          <w:rFonts w:hint="default" w:ascii="Times New Roman" w:hAnsi="Times New Roman" w:eastAsia="宋体" w:cs="Times New Roman"/>
          <w:sz w:val="24"/>
          <w:lang w:val="en-US" w:eastAsia="zh-CN"/>
        </w:rPr>
        <w:t xml:space="preserve"> </w:t>
      </w: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r>
        <w:rPr>
          <w:rFonts w:hint="eastAsia"/>
          <w:szCs w:val="22"/>
          <w:lang w:val="en-US" w:eastAsia="zh-CN"/>
        </w:rPr>
        <w:t xml:space="preserve">   </w:t>
      </w: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pStyle w:val="47"/>
        <w:tabs>
          <w:tab w:val="center" w:pos="4201"/>
          <w:tab w:val="right" w:leader="dot" w:pos="9298"/>
        </w:tabs>
        <w:ind w:firstLine="420"/>
        <w:rPr>
          <w:rFonts w:hint="eastAsia"/>
          <w:szCs w:val="22"/>
          <w:lang w:val="en-US" w:eastAsia="zh-CN"/>
        </w:rPr>
      </w:pP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both"/>
        <w:textAlignment w:val="auto"/>
        <w:outlineLvl w:val="9"/>
        <w:rPr>
          <w:rFonts w:hint="eastAsia" w:ascii="Times New Roman" w:hAnsi="Times New Roman" w:eastAsia="黑体" w:cs="Times New Roman"/>
          <w:b/>
          <w:bCs/>
          <w:kern w:val="2"/>
          <w:sz w:val="32"/>
          <w:szCs w:val="28"/>
          <w:lang w:val="en-US" w:eastAsia="zh-CN" w:bidi="ar-SA"/>
        </w:rPr>
        <w:sectPr>
          <w:footerReference r:id="rId12" w:type="default"/>
          <w:pgSz w:w="11906" w:h="16838"/>
          <w:pgMar w:top="1457" w:right="1797" w:bottom="1440" w:left="1797" w:header="851" w:footer="992" w:gutter="0"/>
          <w:pgNumType w:fmt="upperRoman"/>
          <w:cols w:space="720" w:num="1"/>
          <w:docGrid w:type="lines" w:linePitch="312" w:charSpace="0"/>
        </w:sectPr>
      </w:pPr>
      <w:bookmarkStart w:id="3" w:name="_Toc364786284"/>
      <w:bookmarkStart w:id="4" w:name="_Toc364785663"/>
      <w:bookmarkStart w:id="5" w:name="_Toc364673244"/>
      <w:bookmarkStart w:id="6" w:name="_Toc497833327"/>
      <w:bookmarkStart w:id="7" w:name="_Toc524432658"/>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both"/>
        <w:textAlignment w:val="auto"/>
        <w:outlineLvl w:val="9"/>
        <w:rPr>
          <w:rFonts w:hint="eastAsia" w:ascii="Times New Roman" w:hAnsi="Times New Roman" w:eastAsia="黑体" w:cs="Times New Roman"/>
          <w:b/>
          <w:bCs/>
          <w:kern w:val="2"/>
          <w:sz w:val="32"/>
          <w:szCs w:val="28"/>
          <w:lang w:val="en-US" w:eastAsia="zh-CN" w:bidi="ar-SA"/>
        </w:rPr>
      </w:pP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center"/>
        <w:textAlignment w:val="auto"/>
        <w:outlineLvl w:val="9"/>
        <w:rPr>
          <w:rFonts w:hint="eastAsia" w:ascii="Times New Roman" w:hAnsi="Times New Roman" w:eastAsia="黑体" w:cs="Times New Roman"/>
          <w:b/>
          <w:bCs/>
          <w:kern w:val="2"/>
          <w:sz w:val="32"/>
          <w:szCs w:val="28"/>
          <w:lang w:val="en-US" w:eastAsia="zh-CN" w:bidi="ar-SA"/>
        </w:rPr>
      </w:pPr>
      <w:r>
        <w:rPr>
          <w:rFonts w:hint="eastAsia" w:ascii="Times New Roman" w:hAnsi="Times New Roman" w:eastAsia="黑体" w:cs="Times New Roman"/>
          <w:b/>
          <w:bCs/>
          <w:kern w:val="2"/>
          <w:sz w:val="32"/>
          <w:szCs w:val="28"/>
          <w:lang w:val="en-US" w:eastAsia="zh-CN" w:bidi="ar-SA"/>
        </w:rPr>
        <w:t>发电厂集散控制系统的事件顺序记录分辨率检测规范</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rPr>
      </w:pPr>
      <w:bookmarkStart w:id="8" w:name="_Toc4869"/>
      <w:r>
        <w:rPr>
          <w:rFonts w:hint="eastAsia" w:ascii="黑体" w:hAnsi="黑体" w:eastAsia="黑体" w:cs="Times New Roman"/>
          <w:color w:val="000000"/>
          <w:kern w:val="2"/>
          <w:sz w:val="24"/>
          <w:szCs w:val="24"/>
          <w:lang w:val="en-US" w:eastAsia="zh-CN"/>
        </w:rPr>
        <w:t>1</w:t>
      </w:r>
      <w:r>
        <w:rPr>
          <w:rFonts w:hint="eastAsia" w:ascii="黑体" w:hAnsi="黑体" w:eastAsia="黑体" w:cs="Times New Roman"/>
          <w:color w:val="000000"/>
          <w:kern w:val="2"/>
          <w:sz w:val="24"/>
          <w:szCs w:val="24"/>
        </w:rPr>
        <w:t>范围</w:t>
      </w:r>
      <w:bookmarkEnd w:id="3"/>
      <w:bookmarkEnd w:id="4"/>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适用于具有数据采集、模拟量控制、顺序控制和锅炉炉膛安全监控功能的单机容量300MW及以上火电机组的新建或技术改造的分散控制系统SOE的最终在线验收测试。</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9" w:name="_Toc364785664"/>
      <w:bookmarkStart w:id="10" w:name="_Toc364673245"/>
      <w:bookmarkStart w:id="11" w:name="_Toc364786285"/>
      <w:bookmarkStart w:id="12" w:name="_Toc497833328"/>
      <w:bookmarkStart w:id="13" w:name="_Toc524432659"/>
      <w:bookmarkStart w:id="14" w:name="_Toc24723"/>
      <w:r>
        <w:rPr>
          <w:rFonts w:hint="eastAsia" w:ascii="黑体" w:hAnsi="黑体" w:eastAsia="黑体" w:cs="Times New Roman"/>
          <w:color w:val="000000"/>
          <w:kern w:val="2"/>
          <w:sz w:val="24"/>
          <w:szCs w:val="24"/>
          <w:lang w:val="en-US" w:eastAsia="zh-CN"/>
        </w:rPr>
        <w:t>2引用文</w:t>
      </w:r>
      <w:bookmarkEnd w:id="9"/>
      <w:bookmarkEnd w:id="10"/>
      <w:bookmarkEnd w:id="11"/>
      <w:bookmarkEnd w:id="12"/>
      <w:r>
        <w:rPr>
          <w:rFonts w:hint="eastAsia" w:ascii="黑体" w:hAnsi="黑体" w:eastAsia="黑体" w:cs="Times New Roman"/>
          <w:color w:val="000000"/>
          <w:kern w:val="2"/>
          <w:sz w:val="24"/>
          <w:szCs w:val="24"/>
          <w:lang w:val="en-US" w:eastAsia="zh-CN"/>
        </w:rPr>
        <w:t>件</w:t>
      </w:r>
      <w:bookmarkEnd w:id="13"/>
      <w:bookmarkEnd w:id="1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本规范引用以下文件：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DL/T 774-2015  </w:t>
      </w:r>
      <w:r>
        <w:rPr>
          <w:rFonts w:hint="default" w:ascii="Times New Roman" w:hAnsi="Times New Roman" w:cs="Times New Roman"/>
          <w:sz w:val="24"/>
          <w:lang w:val="en-US" w:eastAsia="zh-CN"/>
        </w:rPr>
        <w:t xml:space="preserve"> </w:t>
      </w:r>
      <w:r>
        <w:rPr>
          <w:rFonts w:hint="default" w:ascii="Times New Roman" w:hAnsi="Times New Roman" w:eastAsia="宋体" w:cs="Times New Roman"/>
          <w:sz w:val="24"/>
        </w:rPr>
        <w:t>《火力发电厂热工自动化系统检修运行维护</w:t>
      </w:r>
      <w:r>
        <w:rPr>
          <w:rFonts w:hint="eastAsia" w:cs="Times New Roman"/>
          <w:sz w:val="24"/>
          <w:lang w:val="en-US" w:eastAsia="zh-CN"/>
        </w:rPr>
        <w:t>规程</w:t>
      </w:r>
      <w:r>
        <w:rPr>
          <w:rFonts w:hint="default" w:ascii="Times New Roman" w:hAnsi="Times New Roman" w:eastAsia="宋体"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DL</w:t>
      </w:r>
      <w:r>
        <w:rPr>
          <w:rFonts w:hint="default" w:ascii="Times New Roman" w:hAnsi="Times New Roman" w:eastAsia="宋体" w:cs="Times New Roman"/>
          <w:sz w:val="24"/>
          <w:lang w:val="en-US" w:eastAsia="zh-CN"/>
        </w:rPr>
        <w:t>/</w:t>
      </w:r>
      <w:r>
        <w:rPr>
          <w:rFonts w:hint="default" w:ascii="Times New Roman" w:hAnsi="Times New Roman" w:eastAsia="宋体" w:cs="Times New Roman"/>
          <w:sz w:val="24"/>
        </w:rPr>
        <w:t xml:space="preserve">T 659-2016  </w:t>
      </w:r>
      <w:r>
        <w:rPr>
          <w:rFonts w:hint="eastAsia" w:cs="Times New Roman"/>
          <w:sz w:val="24"/>
          <w:lang w:val="en-US" w:eastAsia="zh-CN"/>
        </w:rPr>
        <w:t xml:space="preserve"> </w:t>
      </w:r>
      <w:r>
        <w:rPr>
          <w:rFonts w:hint="default" w:ascii="Times New Roman" w:hAnsi="Times New Roman" w:eastAsia="宋体" w:cs="Times New Roman"/>
          <w:sz w:val="24"/>
        </w:rPr>
        <w:t>《火力发电厂分散控制系统验收</w:t>
      </w:r>
      <w:r>
        <w:rPr>
          <w:rFonts w:hint="eastAsia" w:cs="Times New Roman"/>
          <w:sz w:val="24"/>
          <w:lang w:val="en-US" w:eastAsia="zh-CN"/>
        </w:rPr>
        <w:t>测试规程</w:t>
      </w:r>
      <w:r>
        <w:rPr>
          <w:rFonts w:hint="default" w:ascii="Times New Roman" w:hAnsi="Times New Roman" w:eastAsia="宋体"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 xml:space="preserve">DL/T 701 </w:t>
      </w:r>
      <w:r>
        <w:rPr>
          <w:rFonts w:hint="default" w:ascii="Times New Roman" w:hAnsi="Times New Roman" w:eastAsia="宋体" w:cs="Times New Roman"/>
          <w:sz w:val="24"/>
          <w:lang w:val="en-US" w:eastAsia="zh-CN"/>
        </w:rPr>
        <w:t xml:space="preserve">       </w:t>
      </w:r>
      <w:r>
        <w:rPr>
          <w:rFonts w:hint="default" w:ascii="Times New Roman" w:hAnsi="Times New Roman" w:eastAsia="宋体" w:cs="Times New Roman"/>
          <w:sz w:val="24"/>
        </w:rPr>
        <w:t xml:space="preserve">《火力发电厂热工自动化术语》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Times New Roman" w:eastAsia="宋体" w:cs="Times New Roman"/>
          <w:sz w:val="24"/>
        </w:rPr>
      </w:pPr>
      <w:r>
        <w:rPr>
          <w:rFonts w:hint="default" w:ascii="Times New Roman" w:hAnsi="Times New Roman" w:eastAsia="宋体" w:cs="Times New Roman"/>
          <w:sz w:val="24"/>
        </w:rPr>
        <w:t xml:space="preserve">凡是注日期的引用文件，仅所注日期的版本适用于本文件。凡是不注日期的引用文件，其最新版本（包括所有的修改单）适用于本文件。  </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15" w:name="_Toc524432660"/>
      <w:bookmarkStart w:id="16" w:name="_Toc364786286"/>
      <w:bookmarkStart w:id="17" w:name="_Toc364673246"/>
      <w:bookmarkStart w:id="18" w:name="_Toc497833329"/>
      <w:bookmarkStart w:id="19" w:name="_Toc364785665"/>
      <w:bookmarkStart w:id="20" w:name="_Toc10974"/>
      <w:r>
        <w:rPr>
          <w:rFonts w:hint="eastAsia" w:ascii="黑体" w:hAnsi="黑体" w:eastAsia="黑体" w:cs="Times New Roman"/>
          <w:color w:val="000000"/>
          <w:kern w:val="2"/>
          <w:sz w:val="24"/>
          <w:szCs w:val="24"/>
          <w:lang w:val="en-US" w:eastAsia="zh-CN"/>
        </w:rPr>
        <w:t>3 术语</w:t>
      </w:r>
      <w:bookmarkEnd w:id="15"/>
      <w:bookmarkEnd w:id="16"/>
      <w:bookmarkEnd w:id="17"/>
      <w:bookmarkEnd w:id="18"/>
      <w:bookmarkEnd w:id="19"/>
      <w:r>
        <w:rPr>
          <w:rFonts w:hint="eastAsia" w:ascii="黑体" w:hAnsi="黑体" w:eastAsia="黑体" w:cs="Times New Roman"/>
          <w:color w:val="000000"/>
          <w:kern w:val="2"/>
          <w:sz w:val="24"/>
          <w:szCs w:val="24"/>
          <w:lang w:val="en-US" w:eastAsia="zh-CN"/>
        </w:rPr>
        <w:t>、定义和缩略语</w:t>
      </w:r>
      <w:bookmarkEnd w:id="20"/>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DL/T701中界定的以及下列术语、定义和缩略语适用于本文件。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b w:val="0"/>
          <w:bCs w:val="0"/>
          <w:sz w:val="24"/>
        </w:rPr>
      </w:pPr>
      <w:bookmarkStart w:id="21" w:name="_Toc29581"/>
      <w:r>
        <w:rPr>
          <w:rFonts w:hint="default" w:ascii="Times New Roman" w:hAnsi="Times New Roman" w:cs="Times New Roman"/>
          <w:b w:val="0"/>
          <w:bCs w:val="0"/>
          <w:sz w:val="24"/>
        </w:rPr>
        <w:t>3.1术语</w:t>
      </w:r>
      <w:bookmarkEnd w:id="21"/>
    </w:p>
    <w:p>
      <w:pPr>
        <w:keepNext w:val="0"/>
        <w:keepLines w:val="0"/>
        <w:pageBreakBefore w:val="0"/>
        <w:kinsoku/>
        <w:wordWrap/>
        <w:overflowPunct/>
        <w:topLinePunct w:val="0"/>
        <w:bidi w:val="0"/>
        <w:snapToGrid/>
        <w:spacing w:line="360" w:lineRule="auto"/>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3.1.1 事件顺序记录系统 Sequence Of Event，简称SOE</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在事故发生时记录多个开关量输入信号变位的准确时间，以便于区分多个变位的先后顺序。</w:t>
      </w:r>
    </w:p>
    <w:p>
      <w:pPr>
        <w:keepNext w:val="0"/>
        <w:keepLines w:val="0"/>
        <w:pageBreakBefore w:val="0"/>
        <w:widowControl/>
        <w:kinsoku/>
        <w:wordWrap/>
        <w:overflowPunct/>
        <w:topLinePunct w:val="0"/>
        <w:bidi w:val="0"/>
        <w:snapToGrid/>
        <w:spacing w:line="360" w:lineRule="auto"/>
        <w:jc w:val="left"/>
        <w:textAlignment w:val="auto"/>
        <w:rPr>
          <w:rFonts w:hint="default" w:ascii="Times New Roman" w:hAnsi="Times New Roman" w:cs="Times New Roman"/>
          <w:b w:val="0"/>
          <w:bCs w:val="0"/>
        </w:rPr>
      </w:pPr>
      <w:r>
        <w:rPr>
          <w:rFonts w:hint="default" w:ascii="Times New Roman" w:hAnsi="Times New Roman" w:cs="Times New Roman"/>
          <w:b w:val="0"/>
          <w:bCs w:val="0"/>
          <w:sz w:val="24"/>
        </w:rPr>
        <w:t>3.1.2 协调控制系统coordination control system，简称CCS</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通过控制回路协调汽轮机和锅炉的工作状态，同时给锅炉自动控制系统和汽轮机自动控制系统发出指令，以达到快速响应负荷变化的目的，尽最大可能发挥机组的调频、调峰能力，稳定运行参数。</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3.1.3 模拟量控制系统 modulating control system，简称MCS</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实现锅炉、汽机及辅助系统参数自动控制的系统。</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3.1.4 数据采集系统 datacquisition system，简称DAS</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采用数字计算机系统对工艺系统和设备运行测量参数进行采集和处理系统。</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注：对采集的结果进行处理、记录、显示和报警，对机组的运行情况计算和分析，并提出运行指导的数据采集。</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3.1.5 数字电液控制系统 digital  electro-hydraulic control system，简称DEH</w:t>
      </w:r>
    </w:p>
    <w:p>
      <w:pPr>
        <w:keepNext w:val="0"/>
        <w:keepLines w:val="0"/>
        <w:pageBreakBefore w:val="0"/>
        <w:kinsoku/>
        <w:wordWrap/>
        <w:overflowPunct/>
        <w:topLinePunct w:val="0"/>
        <w:bidi w:val="0"/>
        <w:snapToGrid/>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由电气原理设计的敏感元件，按电气、液压原理设计的放大原件和伺服机构，实现控制逻辑的汽轮机调节、保安系统。</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rPr>
      </w:pPr>
      <w:r>
        <w:rPr>
          <w:rFonts w:hint="default" w:ascii="Times New Roman" w:hAnsi="Times New Roman" w:cs="Times New Roman"/>
          <w:b w:val="0"/>
          <w:bCs w:val="0"/>
          <w:sz w:val="24"/>
        </w:rPr>
        <w:t>3.1.6 分散控制系统 distributed control system ，简称DCS</w:t>
      </w:r>
    </w:p>
    <w:p>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Times New Roman"/>
          <w:sz w:val="24"/>
        </w:rPr>
      </w:pPr>
      <w:r>
        <w:rPr>
          <w:rFonts w:hint="default" w:ascii="Times New Roman" w:hAnsi="Times New Roman" w:cs="Times New Roman"/>
          <w:sz w:val="24"/>
        </w:rPr>
        <w:t>采用分布式结构的智能网络控制系统即利用计算机技术对生产过程进行集中监视、操作、管理和分散控制。</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22" w:name="_Toc8576"/>
      <w:r>
        <w:rPr>
          <w:rFonts w:hint="eastAsia" w:ascii="黑体" w:hAnsi="黑体" w:eastAsia="黑体" w:cs="Times New Roman"/>
          <w:color w:val="000000"/>
          <w:kern w:val="2"/>
          <w:sz w:val="24"/>
          <w:szCs w:val="24"/>
          <w:lang w:val="en-US" w:eastAsia="zh-CN"/>
        </w:rPr>
        <w:t>4 概述</w:t>
      </w:r>
      <w:bookmarkEnd w:id="2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bCs/>
          <w:kern w:val="44"/>
          <w:sz w:val="24"/>
          <w:szCs w:val="44"/>
        </w:rPr>
      </w:pPr>
      <w:r>
        <w:rPr>
          <w:rFonts w:hint="default" w:ascii="Times New Roman" w:hAnsi="Times New Roman" w:cs="Times New Roman"/>
          <w:sz w:val="24"/>
        </w:rPr>
        <w:t>随着火力发电厂自动化程度的提高，大部分计量参数集中到了DCS分散控制系统中，计量参数的准确性关系到设备自动投入、保护系统的正确性，</w:t>
      </w:r>
      <w:r>
        <w:rPr>
          <w:rFonts w:hint="default" w:ascii="Times New Roman" w:hAnsi="Times New Roman" w:cs="Times New Roman"/>
          <w:sz w:val="24"/>
          <w:lang w:val="en-US" w:eastAsia="zh-CN"/>
        </w:rPr>
        <w:t>发电厂集散控制系统的事件顺序记录</w:t>
      </w:r>
      <w:r>
        <w:rPr>
          <w:rFonts w:hint="default" w:ascii="Times New Roman" w:hAnsi="Times New Roman" w:cs="Times New Roman"/>
          <w:sz w:val="24"/>
        </w:rPr>
        <w:t>（SOE）系统是电厂中重要的运行状态监测、记录、事故分析用</w:t>
      </w:r>
      <w:r>
        <w:rPr>
          <w:rFonts w:hint="default" w:ascii="Times New Roman" w:hAnsi="Times New Roman" w:cs="Times New Roman"/>
          <w:sz w:val="24"/>
          <w:lang w:val="en-US" w:eastAsia="zh-CN"/>
        </w:rPr>
        <w:t>的</w:t>
      </w:r>
      <w:r>
        <w:rPr>
          <w:rFonts w:hint="default" w:ascii="Times New Roman" w:hAnsi="Times New Roman" w:cs="Times New Roman"/>
          <w:sz w:val="24"/>
        </w:rPr>
        <w:t>设备。</w:t>
      </w:r>
      <w:r>
        <w:rPr>
          <w:rFonts w:hint="default" w:ascii="Times New Roman" w:hAnsi="Times New Roman" w:cs="Times New Roman"/>
          <w:sz w:val="24"/>
          <w:lang w:eastAsia="zh-CN"/>
        </w:rPr>
        <w:t>事件顺序记录</w:t>
      </w:r>
      <w:r>
        <w:rPr>
          <w:rFonts w:hint="default" w:ascii="Times New Roman" w:hAnsi="Times New Roman" w:cs="Times New Roman"/>
          <w:sz w:val="24"/>
        </w:rPr>
        <w:t>SOE设备必须以毫秒的</w:t>
      </w:r>
      <w:r>
        <w:rPr>
          <w:rFonts w:hint="eastAsia" w:cs="Times New Roman"/>
          <w:sz w:val="24"/>
          <w:lang w:val="en-US" w:eastAsia="zh-CN"/>
        </w:rPr>
        <w:t>分辨</w:t>
      </w:r>
      <w:r>
        <w:rPr>
          <w:rFonts w:hint="default" w:ascii="Times New Roman" w:hAnsi="Times New Roman" w:cs="Times New Roman"/>
          <w:sz w:val="24"/>
        </w:rPr>
        <w:t>率记录事件的信息，为事故</w:t>
      </w:r>
      <w:r>
        <w:rPr>
          <w:rFonts w:hint="default" w:ascii="Times New Roman" w:hAnsi="Times New Roman" w:cs="Times New Roman"/>
          <w:sz w:val="24"/>
          <w:lang w:val="en-US" w:eastAsia="zh-CN"/>
        </w:rPr>
        <w:t>顺序记录</w:t>
      </w:r>
      <w:r>
        <w:rPr>
          <w:rFonts w:hint="default" w:ascii="Times New Roman" w:hAnsi="Times New Roman" w:cs="Times New Roman"/>
          <w:sz w:val="24"/>
        </w:rPr>
        <w:t>SOE的测试精度及准确性</w:t>
      </w:r>
      <w:r>
        <w:rPr>
          <w:rFonts w:hint="default" w:ascii="Times New Roman" w:hAnsi="Times New Roman" w:cs="Times New Roman"/>
          <w:sz w:val="24"/>
          <w:lang w:val="en-US" w:eastAsia="zh-CN"/>
        </w:rPr>
        <w:t>提供</w:t>
      </w:r>
      <w:r>
        <w:rPr>
          <w:rFonts w:hint="default" w:ascii="Times New Roman" w:hAnsi="Times New Roman" w:cs="Times New Roman"/>
          <w:sz w:val="24"/>
        </w:rPr>
        <w:t>保证。</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23" w:name="_Toc17303"/>
      <w:r>
        <w:rPr>
          <w:rFonts w:hint="eastAsia" w:ascii="黑体" w:hAnsi="黑体" w:eastAsia="黑体" w:cs="Times New Roman"/>
          <w:color w:val="000000"/>
          <w:kern w:val="2"/>
          <w:sz w:val="24"/>
          <w:szCs w:val="24"/>
          <w:lang w:val="en-US" w:eastAsia="zh-CN"/>
        </w:rPr>
        <w:t>5 检测技术指标</w:t>
      </w:r>
      <w:bookmarkEnd w:id="23"/>
      <w:bookmarkStart w:id="24" w:name="_Toc364673249"/>
      <w:bookmarkStart w:id="25" w:name="_Toc497833330"/>
      <w:bookmarkStart w:id="26" w:name="_Toc364786289"/>
      <w:bookmarkStart w:id="27" w:name="_Toc364785668"/>
      <w:bookmarkStart w:id="28" w:name="_Toc524432663"/>
      <w:r>
        <w:rPr>
          <w:rFonts w:hint="eastAsia" w:ascii="黑体" w:hAnsi="黑体" w:eastAsia="黑体" w:cs="Times New Roman"/>
          <w:color w:val="000000"/>
          <w:kern w:val="2"/>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sz w:val="24"/>
          <w:lang w:val="en-US" w:eastAsia="zh-CN"/>
        </w:rPr>
      </w:pPr>
      <w:r>
        <w:rPr>
          <w:rFonts w:hint="default" w:ascii="Times New Roman" w:hAnsi="Times New Roman" w:cs="Times New Roman"/>
          <w:sz w:val="24"/>
        </w:rPr>
        <w:t>5.1 针对事件顺序记录同一输入模件的不同通道、同一控制器的不同输入模件及不同控制器的不同输入模件输入端，分别测试。检查</w:t>
      </w:r>
      <w:r>
        <w:rPr>
          <w:rFonts w:hint="default" w:ascii="Times New Roman" w:hAnsi="Times New Roman" w:cs="Times New Roman"/>
          <w:sz w:val="24"/>
          <w:lang w:val="en-US" w:eastAsia="zh-CN"/>
        </w:rPr>
        <w:t>事件顺序记录</w:t>
      </w:r>
      <w:r>
        <w:rPr>
          <w:rFonts w:hint="default" w:ascii="Times New Roman" w:hAnsi="Times New Roman" w:cs="Times New Roman"/>
          <w:sz w:val="24"/>
        </w:rPr>
        <w:t>SOE输出内容</w:t>
      </w:r>
      <w:r>
        <w:rPr>
          <w:rFonts w:hint="default" w:ascii="Times New Roman" w:hAnsi="Times New Roman" w:cs="Times New Roman"/>
          <w:sz w:val="24"/>
          <w:lang w:eastAsia="zh-CN"/>
        </w:rPr>
        <w:t>、</w:t>
      </w:r>
      <w:r>
        <w:rPr>
          <w:rFonts w:hint="default" w:ascii="Times New Roman" w:hAnsi="Times New Roman" w:cs="Times New Roman"/>
          <w:sz w:val="24"/>
        </w:rPr>
        <w:t>描述、时间显示顺序应与信号输入一致，事件时间分辨能力不大于1ms</w:t>
      </w:r>
      <w:r>
        <w:rPr>
          <w:rFonts w:hint="default" w:ascii="Times New Roman" w:hAnsi="Times New Roman"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w:hAnsi="Times New Roman" w:cs="Times New Roman"/>
          <w:b/>
          <w:bCs/>
          <w:sz w:val="24"/>
        </w:rPr>
      </w:pPr>
      <w:r>
        <w:rPr>
          <w:rFonts w:hint="default" w:ascii="Times New Roman" w:hAnsi="Times New Roman" w:cs="Times New Roman"/>
          <w:sz w:val="24"/>
        </w:rPr>
        <w:t>5.2 人为触发一主保护信号动作，检查事故追忆功能，其表征机组主设备特征的变量记录应完整；重要变量在跳闸前10min和跳闸后5min，应以不超过1</w:t>
      </w:r>
      <w:r>
        <w:rPr>
          <w:rFonts w:hint="default" w:ascii="Times New Roman" w:hAnsi="Times New Roman" w:cs="Times New Roman"/>
          <w:sz w:val="24"/>
          <w:lang w:val="en-US" w:eastAsia="zh-CN"/>
        </w:rPr>
        <w:t>m</w:t>
      </w:r>
      <w:r>
        <w:rPr>
          <w:rFonts w:hint="default" w:ascii="Times New Roman" w:hAnsi="Times New Roman" w:cs="Times New Roman"/>
          <w:sz w:val="24"/>
        </w:rPr>
        <w:t>s时间间隔快速记录。</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29" w:name="_Toc19891"/>
      <w:r>
        <w:rPr>
          <w:rFonts w:hint="eastAsia" w:ascii="黑体" w:hAnsi="黑体" w:eastAsia="黑体" w:cs="Times New Roman"/>
          <w:color w:val="000000"/>
          <w:kern w:val="2"/>
          <w:sz w:val="24"/>
          <w:szCs w:val="24"/>
          <w:lang w:val="en-US" w:eastAsia="zh-CN"/>
        </w:rPr>
        <w:t>6 检测环境与条件</w:t>
      </w:r>
      <w:bookmarkEnd w:id="29"/>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b/>
          <w:bCs/>
          <w:sz w:val="24"/>
        </w:rPr>
      </w:pPr>
      <w:bookmarkStart w:id="30" w:name="_Toc16807"/>
      <w:r>
        <w:rPr>
          <w:rFonts w:hint="default" w:ascii="Times New Roman" w:hAnsi="Times New Roman" w:cs="Times New Roman"/>
          <w:b w:val="0"/>
          <w:bCs w:val="0"/>
          <w:sz w:val="24"/>
        </w:rPr>
        <w:t>6.1检测设备</w:t>
      </w:r>
      <w:bookmarkEnd w:id="3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rPr>
      </w:pPr>
      <w:r>
        <w:rPr>
          <w:rFonts w:hint="eastAsia" w:cs="Times New Roman"/>
          <w:color w:val="000000"/>
          <w:sz w:val="24"/>
          <w:lang w:val="en-US" w:eastAsia="zh-CN"/>
        </w:rPr>
        <w:t xml:space="preserve">6.1.1 </w:t>
      </w:r>
      <w:r>
        <w:rPr>
          <w:rFonts w:hint="default" w:ascii="Times New Roman" w:hAnsi="Times New Roman" w:cs="Times New Roman"/>
          <w:color w:val="000000"/>
          <w:sz w:val="24"/>
        </w:rPr>
        <w:t>检测设备（开关量信号发生器）应能送出间隔时间在0.1ms～3ms之间调节的不少于16个开关量信号。信号间隔时间为1ms时，其绝对误差应不大于0.01ms。检测设备所配信号输出线长度偏差大于4m时，还应检测其线路传输迟延，迟延</w:t>
      </w:r>
      <w:r>
        <w:rPr>
          <w:rFonts w:hint="default" w:ascii="Times New Roman" w:hAnsi="Times New Roman" w:cs="Times New Roman"/>
          <w:b w:val="0"/>
          <w:bCs w:val="0"/>
          <w:sz w:val="24"/>
        </w:rPr>
        <w:t>时间不大于0.05ms。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b w:val="0"/>
          <w:bCs w:val="0"/>
          <w:sz w:val="24"/>
          <w:lang w:val="en-US" w:eastAsia="zh-CN"/>
        </w:rPr>
      </w:pPr>
      <w:r>
        <w:rPr>
          <w:rFonts w:hint="eastAsia" w:cs="Times New Roman"/>
          <w:b w:val="0"/>
          <w:bCs w:val="0"/>
          <w:sz w:val="24"/>
          <w:lang w:val="en-US" w:eastAsia="zh-CN"/>
        </w:rPr>
        <w:t xml:space="preserve">6.1.2 </w:t>
      </w:r>
      <w:r>
        <w:rPr>
          <w:rFonts w:hint="default" w:ascii="Times New Roman" w:hAnsi="Times New Roman" w:cs="Times New Roman"/>
          <w:sz w:val="24"/>
        </w:rPr>
        <w:t>测试所需的计量仪器应具备有效的计量检定证书。计量仪器的允许误差应满足计量的技术要求</w:t>
      </w:r>
      <w:r>
        <w:rPr>
          <w:rFonts w:hint="eastAsia" w:cs="Times New Roman"/>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b w:val="0"/>
          <w:bCs w:val="0"/>
          <w:sz w:val="24"/>
        </w:rPr>
      </w:pPr>
      <w:bookmarkStart w:id="31" w:name="_Toc17568"/>
      <w:r>
        <w:rPr>
          <w:rFonts w:hint="default" w:ascii="Times New Roman" w:hAnsi="Times New Roman" w:cs="Times New Roman"/>
          <w:b w:val="0"/>
          <w:bCs w:val="0"/>
          <w:sz w:val="24"/>
        </w:rPr>
        <w:t>6.2 检测具备条件</w:t>
      </w:r>
      <w:bookmarkEnd w:id="31"/>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 xml:space="preserve">6.2.1 </w:t>
      </w:r>
      <w:r>
        <w:rPr>
          <w:rFonts w:hint="eastAsia" w:ascii="Times New Roman" w:hAnsi="Times New Roman" w:cs="Times New Roman"/>
          <w:b w:val="0"/>
          <w:bCs w:val="0"/>
          <w:sz w:val="24"/>
        </w:rPr>
        <w:t>检测时机组热工分散控制系统所有硬件、软件均保持正常运行状态。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sz w:val="24"/>
          <w:lang w:eastAsia="zh-CN"/>
        </w:rPr>
      </w:pPr>
      <w:r>
        <w:rPr>
          <w:rFonts w:hint="default" w:ascii="Times New Roman" w:hAnsi="Times New Roman" w:cs="Times New Roman"/>
          <w:b w:val="0"/>
          <w:bCs w:val="0"/>
          <w:sz w:val="24"/>
        </w:rPr>
        <w:t xml:space="preserve">6.2.3 </w:t>
      </w:r>
      <w:r>
        <w:rPr>
          <w:rFonts w:hint="eastAsia" w:ascii="Times New Roman" w:hAnsi="Times New Roman" w:cs="Times New Roman"/>
          <w:b w:val="0"/>
          <w:bCs w:val="0"/>
          <w:sz w:val="24"/>
        </w:rPr>
        <w:t>检测前机组热工分散控制系统的SOE记录系统和历史数据系统工作正常</w:t>
      </w:r>
      <w:r>
        <w:rPr>
          <w:rFonts w:hint="eastAsia" w:cs="Times New Roman"/>
          <w:b w:val="0"/>
          <w:bCs w:val="0"/>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rPr>
      </w:pPr>
      <w:r>
        <w:rPr>
          <w:rFonts w:hint="default" w:ascii="Times New Roman" w:hAnsi="Times New Roman" w:cs="Times New Roman"/>
          <w:b w:val="0"/>
          <w:bCs w:val="0"/>
          <w:sz w:val="24"/>
        </w:rPr>
        <w:t>6.2.4 检测需在机组停运状态下进行，确保不</w:t>
      </w:r>
      <w:r>
        <w:rPr>
          <w:rFonts w:hint="eastAsia" w:cs="Times New Roman"/>
          <w:b w:val="0"/>
          <w:bCs w:val="0"/>
          <w:sz w:val="24"/>
          <w:lang w:val="en-US" w:eastAsia="zh-CN"/>
        </w:rPr>
        <w:t>应</w:t>
      </w:r>
      <w:r>
        <w:rPr>
          <w:rFonts w:hint="default" w:ascii="Times New Roman" w:hAnsi="Times New Roman" w:cs="Times New Roman"/>
          <w:b w:val="0"/>
          <w:bCs w:val="0"/>
          <w:sz w:val="24"/>
        </w:rPr>
        <w:t>信号测试造成控制逻辑联锁保护动作。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6.2.5 依据</w:t>
      </w:r>
      <w:r>
        <w:rPr>
          <w:rFonts w:hint="default" w:ascii="Times New Roman" w:hAnsi="Times New Roman" w:cs="Times New Roman"/>
          <w:b w:val="0"/>
          <w:bCs w:val="0"/>
          <w:sz w:val="24"/>
        </w:rPr>
        <w:t>DL</w:t>
      </w:r>
      <w:r>
        <w:rPr>
          <w:rFonts w:hint="default" w:ascii="Times New Roman" w:hAnsi="Times New Roman" w:cs="Times New Roman"/>
          <w:b w:val="0"/>
          <w:bCs w:val="0"/>
          <w:sz w:val="24"/>
          <w:lang w:val="en-US" w:eastAsia="zh-CN"/>
        </w:rPr>
        <w:t>/</w:t>
      </w:r>
      <w:r>
        <w:rPr>
          <w:rFonts w:hint="default" w:ascii="Times New Roman" w:hAnsi="Times New Roman" w:cs="Times New Roman"/>
          <w:b w:val="0"/>
          <w:bCs w:val="0"/>
          <w:sz w:val="24"/>
        </w:rPr>
        <w:t>T 659-2016《火力发电厂分散控制系统验收</w:t>
      </w:r>
      <w:r>
        <w:rPr>
          <w:rFonts w:hint="eastAsia" w:ascii="Times New Roman" w:hAnsi="Times New Roman" w:cs="Times New Roman"/>
          <w:b w:val="0"/>
          <w:bCs w:val="0"/>
          <w:sz w:val="24"/>
          <w:lang w:val="en-US" w:eastAsia="zh-CN"/>
        </w:rPr>
        <w:t>测试规程</w:t>
      </w:r>
      <w:r>
        <w:rPr>
          <w:rFonts w:hint="default" w:ascii="Times New Roman" w:hAnsi="Times New Roman" w:cs="Times New Roman"/>
          <w:b w:val="0"/>
          <w:bCs w:val="0"/>
          <w:sz w:val="24"/>
        </w:rPr>
        <w:t>》</w:t>
      </w:r>
      <w:r>
        <w:rPr>
          <w:rFonts w:hint="eastAsia" w:ascii="Times New Roman" w:hAnsi="Times New Roman" w:cs="Times New Roman"/>
          <w:b w:val="0"/>
          <w:bCs w:val="0"/>
          <w:sz w:val="24"/>
          <w:lang w:val="en-US" w:eastAsia="zh-CN"/>
        </w:rPr>
        <w:t>中6.9条系统各部件负荷测试的数据总线通信负荷率不应超过30%。</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32" w:name="_Toc7723"/>
      <w:r>
        <w:rPr>
          <w:rFonts w:hint="eastAsia" w:ascii="黑体" w:hAnsi="黑体" w:eastAsia="黑体" w:cs="Times New Roman"/>
          <w:color w:val="000000"/>
          <w:kern w:val="2"/>
          <w:sz w:val="24"/>
          <w:szCs w:val="24"/>
          <w:lang w:val="en-US" w:eastAsia="zh-CN"/>
        </w:rPr>
        <w:t>7 检测方法</w:t>
      </w:r>
      <w:bookmarkEnd w:id="32"/>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7.1 检查并确认热工分散控制系统</w:t>
      </w:r>
      <w:r>
        <w:rPr>
          <w:rFonts w:hint="default" w:ascii="Times New Roman" w:hAnsi="Times New Roman" w:cs="Times New Roman"/>
          <w:sz w:val="24"/>
          <w:lang w:val="en-US" w:eastAsia="zh-CN"/>
        </w:rPr>
        <w:t>事件顺序记录</w:t>
      </w:r>
      <w:r>
        <w:rPr>
          <w:rFonts w:hint="default" w:ascii="Times New Roman" w:hAnsi="Times New Roman" w:cs="Times New Roman"/>
          <w:sz w:val="24"/>
        </w:rPr>
        <w:t>SOE模块硬件及网络环路配置、事件触发条件设置及事件内容描述、时钟同步显示、SOE数据报表设置及打印输出装置正常。</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7.2 检查涉及控制逻辑引用被测试信号进行工艺热工联锁保护的设备，确保不会因信号测试造成工艺联锁保护动作。</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7.3 将机组热工分散控制系统SOE模块的现场开关量信号输入线依次断开。</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sz w:val="24"/>
          <w:lang w:val="en-US" w:eastAsia="zh-CN"/>
        </w:rPr>
      </w:pPr>
      <w:r>
        <w:rPr>
          <w:rFonts w:hint="default" w:ascii="Times New Roman" w:hAnsi="Times New Roman" w:cs="Times New Roman"/>
          <w:sz w:val="24"/>
        </w:rPr>
        <w:t>7.4 将来自SOE检测信号发生器的触发输出线，按照标示的顺序依次接入机组热工分散控制系统SOE模块的输入接线端子上,按照同一模件不同通道顺序排列、同一模件不同通道逆序排列、同一模件不同通道随机排列、同一控制器不同模件随机排列、不同控制器不同模件随机排列，分别进行测试。</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7.5 单次测试输入信号选取原则上为同一模件不同通道选取测点不少于6点、同一控制器不同模件测点选取原则上单一模件测点数目不少于4点、不同控制器不同模件测点选取原则上单一模件测点数目不少于3点。</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7.6 将</w:t>
      </w:r>
      <w:r>
        <w:rPr>
          <w:rFonts w:hint="default" w:ascii="Times New Roman" w:hAnsi="Times New Roman" w:cs="Times New Roman"/>
          <w:sz w:val="24"/>
          <w:lang w:val="en-US" w:eastAsia="zh-CN"/>
        </w:rPr>
        <w:t>事件顺序记录</w:t>
      </w:r>
      <w:r>
        <w:rPr>
          <w:rFonts w:hint="default" w:ascii="Times New Roman" w:hAnsi="Times New Roman" w:cs="Times New Roman"/>
          <w:sz w:val="24"/>
        </w:rPr>
        <w:t>SOE检测发生器信号线的公共端接至机组热工分散控制系统SOE模块的公共端。</w:t>
      </w:r>
    </w:p>
    <w:p>
      <w:pPr>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4"/>
        </w:rPr>
      </w:pPr>
      <w:r>
        <w:rPr>
          <w:rFonts w:hint="default" w:ascii="Times New Roman" w:hAnsi="Times New Roman" w:cs="Times New Roman"/>
          <w:sz w:val="24"/>
        </w:rPr>
        <w:t>7.7 开启SOE检测信号发生器的电源，分别设置触发时基2ms、1ms、0.9ms、0.8ms直至模件输出显示排序混乱为止，则本模件检测分辨率为出现输出排序混乱前一次步续测试的时间。</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both"/>
        <w:textAlignment w:val="auto"/>
        <w:rPr>
          <w:rFonts w:hint="default" w:ascii="Times New Roman" w:hAnsi="Times New Roman" w:cs="Times New Roman"/>
          <w:sz w:val="24"/>
        </w:rPr>
      </w:pPr>
      <w:r>
        <w:rPr>
          <w:rFonts w:hint="default" w:ascii="Times New Roman" w:hAnsi="Times New Roman" w:cs="Times New Roman"/>
          <w:sz w:val="24"/>
        </w:rPr>
        <w:t>7.8 触发完成后将SOE检测信号发生器接入其它未测试模件，重复以上步骤，直至完成所有SOE模件的检测。</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both"/>
        <w:textAlignment w:val="auto"/>
        <w:rPr>
          <w:rFonts w:hint="default" w:ascii="Times New Roman" w:hAnsi="Times New Roman" w:cs="Times New Roman"/>
          <w:sz w:val="24"/>
        </w:rPr>
      </w:pPr>
      <w:r>
        <w:rPr>
          <w:rFonts w:hint="default" w:ascii="Times New Roman" w:hAnsi="Times New Roman" w:cs="Times New Roman"/>
          <w:sz w:val="24"/>
        </w:rPr>
        <w:t>7.9 调用和打印机组热工分散控制系统SOE的历史数据，比对该历史数据和实际SOE检测信号发生器的触发</w:t>
      </w:r>
      <w:r>
        <w:rPr>
          <w:rFonts w:hint="eastAsia" w:cs="Times New Roman"/>
          <w:sz w:val="24"/>
          <w:lang w:val="en-US" w:eastAsia="zh-CN"/>
        </w:rPr>
        <w:t>时间基准</w:t>
      </w:r>
      <w:r>
        <w:rPr>
          <w:rFonts w:hint="default" w:ascii="Times New Roman" w:hAnsi="Times New Roman" w:cs="Times New Roman"/>
          <w:sz w:val="24"/>
        </w:rPr>
        <w:t>，分析并确定机组热工分散控制系统事件顺序记录（SOE）的分辨</w:t>
      </w:r>
      <w:r>
        <w:rPr>
          <w:rFonts w:hint="eastAsia" w:cs="Times New Roman"/>
          <w:sz w:val="24"/>
          <w:lang w:val="en-US" w:eastAsia="zh-CN"/>
        </w:rPr>
        <w:t>率</w:t>
      </w:r>
      <w:r>
        <w:rPr>
          <w:rFonts w:hint="default" w:ascii="Times New Roman" w:hAnsi="Times New Roman" w:cs="Times New Roman"/>
          <w:sz w:val="24"/>
        </w:rPr>
        <w:t>指标。</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both"/>
        <w:textAlignment w:val="auto"/>
        <w:rPr>
          <w:rFonts w:hint="default" w:ascii="Times New Roman" w:hAnsi="Times New Roman" w:cs="Times New Roman"/>
          <w:b/>
          <w:bCs/>
          <w:sz w:val="24"/>
        </w:rPr>
      </w:pPr>
      <w:r>
        <w:rPr>
          <w:rFonts w:hint="default" w:ascii="Times New Roman" w:hAnsi="Times New Roman" w:cs="Times New Roman"/>
          <w:sz w:val="24"/>
        </w:rPr>
        <w:t>7.10 恢复试验前拆除的接线和组态逻辑内断开的联锁保护条件，</w:t>
      </w:r>
      <w:r>
        <w:rPr>
          <w:rFonts w:hint="eastAsia" w:cs="Times New Roman"/>
          <w:sz w:val="24"/>
          <w:lang w:val="en-US" w:eastAsia="zh-CN"/>
        </w:rPr>
        <w:t>确认</w:t>
      </w:r>
      <w:r>
        <w:rPr>
          <w:rFonts w:hint="default" w:ascii="Times New Roman" w:hAnsi="Times New Roman" w:cs="Times New Roman"/>
          <w:sz w:val="24"/>
        </w:rPr>
        <w:t>本次现场测试试验完成。</w:t>
      </w:r>
    </w:p>
    <w:p>
      <w:pPr>
        <w:pStyle w:val="2"/>
        <w:keepNext/>
        <w:keepLines/>
        <w:pageBreakBefore w:val="0"/>
        <w:widowControl w:val="0"/>
        <w:kinsoku/>
        <w:wordWrap/>
        <w:overflowPunct/>
        <w:topLinePunct w:val="0"/>
        <w:autoSpaceDE/>
        <w:autoSpaceDN/>
        <w:bidi w:val="0"/>
        <w:adjustRightInd/>
        <w:snapToGrid/>
        <w:spacing w:before="24" w:after="24" w:line="480" w:lineRule="auto"/>
        <w:textAlignment w:val="auto"/>
        <w:rPr>
          <w:rFonts w:hint="eastAsia" w:ascii="黑体" w:hAnsi="黑体" w:eastAsia="黑体" w:cs="Times New Roman"/>
          <w:color w:val="000000"/>
          <w:kern w:val="2"/>
          <w:sz w:val="24"/>
          <w:szCs w:val="24"/>
          <w:lang w:val="en-US" w:eastAsia="zh-CN"/>
        </w:rPr>
      </w:pPr>
      <w:bookmarkStart w:id="33" w:name="_Toc11604"/>
      <w:r>
        <w:rPr>
          <w:rFonts w:hint="eastAsia" w:ascii="黑体" w:hAnsi="黑体" w:eastAsia="黑体" w:cs="Times New Roman"/>
          <w:color w:val="000000"/>
          <w:kern w:val="2"/>
          <w:sz w:val="24"/>
          <w:szCs w:val="24"/>
          <w:lang w:val="en-US" w:eastAsia="zh-CN"/>
        </w:rPr>
        <w:t>8 检测结果</w:t>
      </w:r>
      <w:bookmarkEnd w:id="33"/>
      <w:r>
        <w:rPr>
          <w:rFonts w:hint="eastAsia" w:ascii="黑体" w:hAnsi="黑体" w:eastAsia="黑体" w:cs="Times New Roman"/>
          <w:color w:val="000000"/>
          <w:kern w:val="2"/>
          <w:sz w:val="24"/>
          <w:szCs w:val="24"/>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both"/>
        <w:textAlignment w:val="auto"/>
        <w:outlineLvl w:val="1"/>
        <w:rPr>
          <w:rFonts w:hint="default" w:ascii="Times New Roman" w:hAnsi="Times New Roman" w:cs="Times New Roman"/>
          <w:sz w:val="24"/>
        </w:rPr>
      </w:pPr>
      <w:bookmarkStart w:id="34" w:name="_Toc8937"/>
      <w:r>
        <w:rPr>
          <w:rFonts w:hint="default" w:ascii="Times New Roman" w:hAnsi="Times New Roman" w:cs="Times New Roman"/>
          <w:sz w:val="24"/>
        </w:rPr>
        <w:t>8.1 检测记录</w:t>
      </w:r>
      <w:bookmarkEnd w:id="34"/>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b/>
          <w:bCs/>
          <w:sz w:val="24"/>
          <w:lang w:val="en-US" w:eastAsia="zh-CN"/>
        </w:rPr>
      </w:pPr>
      <w:r>
        <w:rPr>
          <w:rFonts w:hint="default" w:ascii="Times New Roman" w:hAnsi="Times New Roman" w:cs="Times New Roman"/>
          <w:sz w:val="24"/>
        </w:rPr>
        <w:t xml:space="preserve">记录格式见附录 A </w:t>
      </w:r>
      <w:r>
        <w:rPr>
          <w:rFonts w:hint="default" w:ascii="Times New Roman" w:hAnsi="Times New Roman" w:cs="Times New Roman"/>
          <w:sz w:val="24"/>
          <w:lang w:val="en-US" w:eastAsia="zh-CN"/>
        </w:rPr>
        <w:t>事件顺序记录分辨率</w:t>
      </w:r>
      <w:r>
        <w:rPr>
          <w:rFonts w:hint="default" w:ascii="Times New Roman" w:hAnsi="Times New Roman" w:cs="Times New Roman"/>
          <w:sz w:val="24"/>
        </w:rPr>
        <w:t>检测记录</w:t>
      </w:r>
      <w:r>
        <w:rPr>
          <w:rFonts w:hint="eastAsia" w:cs="Times New Roman"/>
          <w:sz w:val="24"/>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both"/>
        <w:textAlignment w:val="auto"/>
        <w:outlineLvl w:val="1"/>
        <w:rPr>
          <w:rFonts w:hint="default" w:ascii="Times New Roman" w:hAnsi="Times New Roman" w:cs="Times New Roman"/>
          <w:sz w:val="24"/>
        </w:rPr>
      </w:pPr>
      <w:bookmarkStart w:id="35" w:name="_Toc13740"/>
      <w:r>
        <w:rPr>
          <w:rFonts w:hint="default" w:ascii="Times New Roman" w:hAnsi="Times New Roman" w:cs="Times New Roman"/>
          <w:sz w:val="24"/>
        </w:rPr>
        <w:t>8.2 检测报告</w:t>
      </w:r>
      <w:bookmarkEnd w:id="35"/>
      <w:r>
        <w:rPr>
          <w:rFonts w:hint="default" w:ascii="Times New Roman" w:hAnsi="Times New Roman" w:cs="Times New Roman"/>
          <w:sz w:val="24"/>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cs="Times New Roman"/>
          <w:sz w:val="24"/>
        </w:rPr>
      </w:pPr>
      <w:r>
        <w:rPr>
          <w:rFonts w:hint="default" w:ascii="Times New Roman" w:hAnsi="Times New Roman" w:cs="Times New Roman"/>
          <w:sz w:val="24"/>
        </w:rPr>
        <w:t>检测报告由封面和检测数据组成，经检测的系统应出具检测报告，检测报告应包括的信息及推荐的检测报告内页格式见附录</w:t>
      </w:r>
      <w:r>
        <w:rPr>
          <w:rFonts w:hint="default" w:ascii="Times New Roman" w:hAnsi="Times New Roman" w:cs="Times New Roman"/>
          <w:sz w:val="24"/>
          <w:lang w:val="en-US" w:eastAsia="zh-CN"/>
        </w:rPr>
        <w:t>B</w:t>
      </w:r>
      <w:r>
        <w:rPr>
          <w:rFonts w:hint="default" w:ascii="Times New Roman" w:hAnsi="Times New Roman" w:cs="Times New Roman"/>
          <w:sz w:val="24"/>
        </w:rPr>
        <w:t>。检测项目可根据被测仪器的预期用途选择使用，对检测方法的偏离，应在检测报告中注明。</w:t>
      </w:r>
    </w:p>
    <w:p>
      <w:pPr>
        <w:rPr>
          <w:rFonts w:hint="eastAsia"/>
          <w:b/>
          <w:kern w:val="0"/>
          <w:sz w:val="24"/>
          <w:szCs w:val="28"/>
        </w:rPr>
      </w:pP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both"/>
        <w:textAlignment w:val="auto"/>
        <w:outlineLvl w:val="9"/>
        <w:rPr>
          <w:rFonts w:hint="eastAsia"/>
          <w:b/>
          <w:kern w:val="0"/>
          <w:sz w:val="24"/>
          <w:szCs w:val="28"/>
        </w:rPr>
      </w:pPr>
    </w:p>
    <w:p>
      <w:pPr>
        <w:keepNext/>
        <w:keepLines w:val="0"/>
        <w:pageBreakBefore w:val="0"/>
        <w:widowControl w:val="0"/>
        <w:numPr>
          <w:ilvl w:val="0"/>
          <w:numId w:val="0"/>
        </w:numPr>
        <w:tabs>
          <w:tab w:val="left" w:pos="425"/>
        </w:tabs>
        <w:kinsoku/>
        <w:wordWrap/>
        <w:overflowPunct/>
        <w:topLinePunct w:val="0"/>
        <w:autoSpaceDE/>
        <w:autoSpaceDN/>
        <w:bidi w:val="0"/>
        <w:adjustRightInd/>
        <w:snapToGrid w:val="0"/>
        <w:spacing w:beforeLines="50" w:afterLines="50" w:line="360" w:lineRule="auto"/>
        <w:ind w:leftChars="0"/>
        <w:jc w:val="both"/>
        <w:textAlignment w:val="auto"/>
        <w:outlineLvl w:val="9"/>
        <w:rPr>
          <w:rFonts w:hint="eastAsia"/>
          <w:b/>
          <w:kern w:val="0"/>
          <w:sz w:val="24"/>
          <w:szCs w:val="28"/>
        </w:rPr>
      </w:pPr>
    </w:p>
    <w:p>
      <w:pPr>
        <w:jc w:val="both"/>
        <w:rPr>
          <w:b/>
          <w:kern w:val="0"/>
          <w:sz w:val="28"/>
          <w:szCs w:val="28"/>
        </w:rPr>
      </w:pPr>
    </w:p>
    <w:p>
      <w:pPr>
        <w:jc w:val="center"/>
        <w:rPr>
          <w:b/>
          <w:kern w:val="0"/>
          <w:sz w:val="28"/>
          <w:szCs w:val="28"/>
        </w:rPr>
      </w:pPr>
    </w:p>
    <w:p>
      <w:pPr>
        <w:jc w:val="center"/>
        <w:rPr>
          <w:b/>
          <w:kern w:val="0"/>
          <w:sz w:val="28"/>
          <w:szCs w:val="28"/>
        </w:rPr>
      </w:pPr>
    </w:p>
    <w:p>
      <w:pPr>
        <w:jc w:val="center"/>
        <w:rPr>
          <w:b/>
          <w:kern w:val="0"/>
          <w:sz w:val="28"/>
          <w:szCs w:val="28"/>
        </w:rPr>
      </w:pPr>
    </w:p>
    <w:p>
      <w:pPr>
        <w:jc w:val="center"/>
        <w:rPr>
          <w:b/>
          <w:kern w:val="0"/>
          <w:sz w:val="28"/>
          <w:szCs w:val="28"/>
        </w:rPr>
      </w:pPr>
    </w:p>
    <w:p>
      <w:pPr>
        <w:jc w:val="both"/>
        <w:rPr>
          <w:b/>
          <w:kern w:val="0"/>
          <w:sz w:val="28"/>
          <w:szCs w:val="28"/>
        </w:rPr>
      </w:pPr>
    </w:p>
    <w:p>
      <w:pPr>
        <w:jc w:val="both"/>
        <w:rPr>
          <w:b/>
          <w:kern w:val="0"/>
          <w:sz w:val="28"/>
          <w:szCs w:val="28"/>
        </w:rPr>
      </w:pPr>
    </w:p>
    <w:p>
      <w:pPr>
        <w:rPr>
          <w:b/>
          <w:kern w:val="0"/>
          <w:sz w:val="28"/>
          <w:szCs w:val="28"/>
        </w:rPr>
      </w:pPr>
      <w:r>
        <w:rPr>
          <w:b/>
          <w:kern w:val="0"/>
          <w:sz w:val="28"/>
          <w:szCs w:val="28"/>
        </w:rPr>
        <w:br w:type="page"/>
      </w:r>
    </w:p>
    <w:bookmarkEnd w:id="24"/>
    <w:bookmarkEnd w:id="25"/>
    <w:bookmarkEnd w:id="26"/>
    <w:bookmarkEnd w:id="27"/>
    <w:bookmarkEnd w:id="28"/>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eastAsia="黑体" w:cs="Times New Roman"/>
          <w:b/>
          <w:sz w:val="28"/>
          <w:szCs w:val="28"/>
          <w:lang w:val="en-US" w:eastAsia="zh-CN"/>
        </w:rPr>
      </w:pPr>
      <w:bookmarkStart w:id="36" w:name="_Toc19663"/>
      <w:r>
        <w:rPr>
          <w:rFonts w:hint="eastAsia" w:ascii="Times New Roman" w:hAnsi="Times New Roman" w:eastAsia="黑体" w:cs="Times New Roman"/>
          <w:b/>
          <w:sz w:val="28"/>
          <w:szCs w:val="28"/>
        </w:rPr>
        <w:t xml:space="preserve">附录 </w:t>
      </w:r>
      <w:r>
        <w:rPr>
          <w:rFonts w:hint="eastAsia" w:ascii="Times New Roman" w:hAnsi="Times New Roman" w:eastAsia="黑体" w:cs="Times New Roman"/>
          <w:b/>
          <w:sz w:val="28"/>
          <w:szCs w:val="28"/>
          <w:lang w:val="en-US" w:eastAsia="zh-CN"/>
        </w:rPr>
        <w:t>A</w:t>
      </w:r>
      <w:r>
        <w:rPr>
          <w:rFonts w:hint="eastAsia" w:eastAsia="黑体" w:cs="Times New Roman"/>
          <w:b/>
          <w:sz w:val="28"/>
          <w:szCs w:val="28"/>
          <w:lang w:val="en-US" w:eastAsia="zh-CN"/>
        </w:rPr>
        <w:t xml:space="preserve">  </w:t>
      </w:r>
      <w:r>
        <w:rPr>
          <w:rFonts w:hint="eastAsia" w:ascii="Times New Roman" w:hAnsi="Times New Roman" w:eastAsia="黑体" w:cs="Times New Roman"/>
          <w:b/>
          <w:sz w:val="28"/>
          <w:szCs w:val="28"/>
          <w:lang w:val="en-US" w:eastAsia="zh-CN"/>
        </w:rPr>
        <w:t>事件顺序记录分辨率检测记录</w:t>
      </w:r>
    </w:p>
    <w:p>
      <w:pPr>
        <w:spacing w:line="360" w:lineRule="auto"/>
        <w:ind w:right="-525" w:rightChars="-250"/>
        <w:rPr>
          <w:rFonts w:hint="eastAsia" w:ascii="宋体" w:hAnsi="宋体"/>
          <w:sz w:val="24"/>
        </w:rPr>
      </w:pPr>
      <w:r>
        <w:rPr>
          <w:rFonts w:hint="eastAsia" w:ascii="宋体" w:hAnsi="宋体"/>
          <w:sz w:val="24"/>
        </w:rPr>
        <w:t>委托单位</w:t>
      </w:r>
      <w:r>
        <w:rPr>
          <w:rFonts w:hint="eastAsia" w:ascii="宋体" w:hAnsi="宋体"/>
          <w:sz w:val="24"/>
          <w:u w:val="single"/>
        </w:rPr>
        <w:t xml:space="preserve">                                             </w:t>
      </w:r>
      <w:r>
        <w:rPr>
          <w:rFonts w:hint="eastAsia" w:ascii="宋体" w:hAnsi="宋体"/>
          <w:sz w:val="24"/>
        </w:rPr>
        <w:t>报告编号</w:t>
      </w:r>
      <w:r>
        <w:rPr>
          <w:rFonts w:hint="eastAsia" w:ascii="宋体" w:hAnsi="宋体"/>
          <w:sz w:val="24"/>
          <w:u w:val="single"/>
        </w:rPr>
        <w:t xml:space="preserve">                 </w:t>
      </w:r>
    </w:p>
    <w:p>
      <w:pPr>
        <w:spacing w:line="360" w:lineRule="auto"/>
        <w:ind w:right="-525" w:rightChars="-250"/>
        <w:rPr>
          <w:rFonts w:hint="eastAsia" w:ascii="宋体" w:hAnsi="宋体"/>
          <w:sz w:val="24"/>
        </w:rPr>
      </w:pPr>
      <w:r>
        <w:rPr>
          <w:rFonts w:hint="eastAsia" w:ascii="宋体" w:hAnsi="宋体"/>
          <w:sz w:val="24"/>
        </w:rPr>
        <w:t xml:space="preserve">型号 </w:t>
      </w:r>
      <w:r>
        <w:rPr>
          <w:rFonts w:hint="eastAsia" w:ascii="宋体" w:hAnsi="宋体"/>
          <w:sz w:val="24"/>
          <w:u w:val="single"/>
        </w:rPr>
        <w:t xml:space="preserve">              </w:t>
      </w:r>
      <w:r>
        <w:rPr>
          <w:rFonts w:hint="eastAsia" w:ascii="宋体" w:hAnsi="宋体"/>
          <w:sz w:val="24"/>
        </w:rPr>
        <w:t xml:space="preserve"> 出厂编号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p>
    <w:p>
      <w:pPr>
        <w:spacing w:line="360" w:lineRule="auto"/>
        <w:ind w:right="-525" w:rightChars="-250"/>
        <w:rPr>
          <w:rFonts w:hint="eastAsia" w:ascii="宋体" w:hAnsi="宋体"/>
          <w:sz w:val="24"/>
          <w:u w:val="single"/>
        </w:rPr>
      </w:pPr>
      <w:r>
        <w:rPr>
          <w:rFonts w:hint="eastAsia" w:ascii="宋体" w:hAnsi="宋体"/>
          <w:sz w:val="24"/>
        </w:rPr>
        <w:t>检测依据：</w:t>
      </w:r>
      <w:r>
        <w:rPr>
          <w:rFonts w:hint="eastAsia" w:ascii="宋体" w:hAnsi="宋体"/>
          <w:color w:val="000000"/>
          <w:kern w:val="0"/>
          <w:sz w:val="24"/>
          <w:u w:val="single"/>
        </w:rPr>
        <w:t xml:space="preserve">                                                                       </w:t>
      </w:r>
    </w:p>
    <w:tbl>
      <w:tblPr>
        <w:tblStyle w:val="30"/>
        <w:tblW w:w="972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0"/>
        <w:gridCol w:w="720"/>
        <w:gridCol w:w="1980"/>
        <w:gridCol w:w="1800"/>
        <w:gridCol w:w="720"/>
        <w:gridCol w:w="144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标准仪器</w:t>
            </w: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型号</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测量范围</w:t>
            </w:r>
          </w:p>
        </w:tc>
        <w:tc>
          <w:tcPr>
            <w:tcW w:w="1800" w:type="dxa"/>
            <w:noWrap w:val="0"/>
            <w:vAlign w:val="center"/>
          </w:tcPr>
          <w:p>
            <w:pPr>
              <w:tabs>
                <w:tab w:val="left" w:pos="360"/>
                <w:tab w:val="left" w:pos="720"/>
                <w:tab w:val="left" w:pos="108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准确度等级</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编号</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证书编号</w:t>
            </w:r>
          </w:p>
        </w:tc>
        <w:tc>
          <w:tcPr>
            <w:tcW w:w="1080" w:type="dxa"/>
            <w:noWrap w:val="0"/>
            <w:vAlign w:val="center"/>
          </w:tcPr>
          <w:p>
            <w:pPr>
              <w:tabs>
                <w:tab w:val="left" w:pos="360"/>
                <w:tab w:val="left" w:pos="720"/>
                <w:tab w:val="left" w:pos="1080"/>
                <w:tab w:val="left" w:pos="1440"/>
              </w:tabs>
              <w:autoSpaceDE w:val="0"/>
              <w:autoSpaceDN w:val="0"/>
              <w:adjustRightInd w:val="0"/>
              <w:spacing w:line="360" w:lineRule="auto"/>
              <w:jc w:val="center"/>
              <w:rPr>
                <w:rFonts w:hint="eastAsia" w:ascii="宋体" w:hAnsi="宋体"/>
                <w:sz w:val="24"/>
              </w:rPr>
            </w:pPr>
            <w:r>
              <w:rPr>
                <w:rFonts w:hint="eastAsia" w:ascii="宋体" w:hAnsi="宋体"/>
                <w:sz w:val="24"/>
              </w:rPr>
              <w:t>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noWrap w:val="0"/>
            <w:vAlign w:val="center"/>
          </w:tcPr>
          <w:p>
            <w:pPr>
              <w:tabs>
                <w:tab w:val="left" w:pos="360"/>
                <w:tab w:val="left" w:pos="720"/>
                <w:tab w:val="left" w:pos="1080"/>
                <w:tab w:val="left" w:pos="1512"/>
              </w:tabs>
              <w:autoSpaceDE w:val="0"/>
              <w:autoSpaceDN w:val="0"/>
              <w:adjustRightInd w:val="0"/>
              <w:spacing w:line="360" w:lineRule="auto"/>
              <w:jc w:val="center"/>
              <w:rPr>
                <w:rFonts w:hint="eastAsia" w:ascii="宋体" w:hAnsi="宋体"/>
                <w:szCs w:val="21"/>
              </w:rPr>
            </w:pPr>
          </w:p>
        </w:tc>
        <w:tc>
          <w:tcPr>
            <w:tcW w:w="720" w:type="dxa"/>
            <w:noWrap w:val="0"/>
            <w:vAlign w:val="center"/>
          </w:tcPr>
          <w:p>
            <w:pPr>
              <w:tabs>
                <w:tab w:val="left" w:pos="720"/>
                <w:tab w:val="left" w:pos="1080"/>
                <w:tab w:val="left" w:pos="1440"/>
              </w:tabs>
              <w:autoSpaceDE w:val="0"/>
              <w:autoSpaceDN w:val="0"/>
              <w:adjustRightInd w:val="0"/>
              <w:spacing w:line="360" w:lineRule="auto"/>
              <w:ind w:left="-128" w:leftChars="-61" w:right="-107" w:rightChars="-51"/>
              <w:jc w:val="center"/>
              <w:rPr>
                <w:rFonts w:hint="eastAsia" w:ascii="宋体" w:hAnsi="宋体"/>
                <w:sz w:val="24"/>
              </w:rPr>
            </w:pPr>
            <w:r>
              <w:rPr>
                <w:rFonts w:hint="eastAsia" w:ascii="宋体" w:hAnsi="宋体"/>
                <w:sz w:val="24"/>
              </w:rPr>
              <w:t xml:space="preserve"> </w:t>
            </w:r>
          </w:p>
        </w:tc>
        <w:tc>
          <w:tcPr>
            <w:tcW w:w="1980" w:type="dxa"/>
            <w:noWrap w:val="0"/>
            <w:vAlign w:val="center"/>
          </w:tcPr>
          <w:p>
            <w:pPr>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800" w:type="dxa"/>
            <w:noWrap w:val="0"/>
            <w:vAlign w:val="center"/>
          </w:tcPr>
          <w:p>
            <w:pPr>
              <w:tabs>
                <w:tab w:val="left" w:pos="360"/>
                <w:tab w:val="left" w:pos="720"/>
                <w:tab w:val="left" w:pos="1080"/>
                <w:tab w:val="left" w:pos="1512"/>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720" w:type="dxa"/>
            <w:noWrap w:val="0"/>
            <w:vAlign w:val="center"/>
          </w:tcPr>
          <w:p>
            <w:pPr>
              <w:tabs>
                <w:tab w:val="left" w:pos="720"/>
                <w:tab w:val="left" w:pos="1080"/>
                <w:tab w:val="left" w:pos="1440"/>
              </w:tabs>
              <w:autoSpaceDE w:val="0"/>
              <w:autoSpaceDN w:val="0"/>
              <w:adjustRightInd w:val="0"/>
              <w:spacing w:line="360" w:lineRule="auto"/>
              <w:ind w:left="-172" w:leftChars="-82" w:right="-130" w:rightChars="-62"/>
              <w:jc w:val="center"/>
              <w:rPr>
                <w:rFonts w:hint="eastAsia" w:ascii="宋体" w:hAnsi="宋体"/>
                <w:sz w:val="24"/>
              </w:rPr>
            </w:pPr>
            <w:r>
              <w:rPr>
                <w:rFonts w:hint="eastAsia" w:ascii="宋体" w:hAnsi="宋体"/>
                <w:sz w:val="24"/>
              </w:rPr>
              <w:t xml:space="preserve"> </w:t>
            </w:r>
          </w:p>
        </w:tc>
        <w:tc>
          <w:tcPr>
            <w:tcW w:w="1440" w:type="dxa"/>
            <w:noWrap w:val="0"/>
            <w:vAlign w:val="center"/>
          </w:tcPr>
          <w:p>
            <w:pPr>
              <w:tabs>
                <w:tab w:val="left" w:pos="360"/>
                <w:tab w:val="left" w:pos="720"/>
                <w:tab w:val="left" w:pos="144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c>
          <w:tcPr>
            <w:tcW w:w="1080" w:type="dxa"/>
            <w:noWrap w:val="0"/>
            <w:vAlign w:val="center"/>
          </w:tcPr>
          <w:p>
            <w:pPr>
              <w:tabs>
                <w:tab w:val="left" w:pos="360"/>
                <w:tab w:val="left" w:pos="720"/>
                <w:tab w:val="left" w:pos="1080"/>
              </w:tabs>
              <w:autoSpaceDE w:val="0"/>
              <w:autoSpaceDN w:val="0"/>
              <w:adjustRightInd w:val="0"/>
              <w:spacing w:line="360" w:lineRule="auto"/>
              <w:ind w:left="-107" w:leftChars="-51" w:right="-107" w:rightChars="-51"/>
              <w:jc w:val="center"/>
              <w:rPr>
                <w:rFonts w:hint="eastAsia" w:ascii="宋体" w:hAnsi="宋体"/>
                <w:sz w:val="24"/>
              </w:rPr>
            </w:pPr>
            <w:r>
              <w:rPr>
                <w:rFonts w:hint="eastAsia" w:ascii="宋体" w:hAnsi="宋体"/>
                <w:sz w:val="24"/>
              </w:rPr>
              <w:t xml:space="preserve"> </w:t>
            </w:r>
          </w:p>
        </w:tc>
      </w:tr>
    </w:tbl>
    <w:p>
      <w:pPr>
        <w:tabs>
          <w:tab w:val="left" w:pos="360"/>
          <w:tab w:val="left" w:pos="720"/>
          <w:tab w:val="left" w:pos="1080"/>
          <w:tab w:val="left" w:pos="1440"/>
        </w:tabs>
        <w:autoSpaceDE w:val="0"/>
        <w:autoSpaceDN w:val="0"/>
        <w:adjustRightInd w:val="0"/>
        <w:spacing w:line="360" w:lineRule="auto"/>
        <w:ind w:right="-735" w:rightChars="-350"/>
        <w:jc w:val="left"/>
        <w:rPr>
          <w:rFonts w:hint="eastAsia" w:ascii="宋体" w:hAnsi="宋体"/>
          <w:sz w:val="24"/>
        </w:rPr>
      </w:pPr>
      <w:r>
        <w:rPr>
          <w:rFonts w:hint="eastAsia" w:ascii="宋体" w:hAnsi="宋体"/>
          <w:sz w:val="24"/>
        </w:rPr>
        <w:t xml:space="preserve">温度 </w:t>
      </w:r>
      <w:r>
        <w:rPr>
          <w:rFonts w:hint="eastAsia" w:ascii="宋体" w:hAnsi="宋体"/>
          <w:sz w:val="24"/>
          <w:u w:val="single"/>
        </w:rPr>
        <w:t xml:space="preserve">     </w:t>
      </w:r>
      <w:r>
        <w:rPr>
          <w:rFonts w:hint="eastAsia" w:ascii="宋体" w:hAnsi="宋体"/>
          <w:sz w:val="24"/>
        </w:rPr>
        <w:t xml:space="preserve"> ℃  湿度</w:t>
      </w:r>
      <w:r>
        <w:rPr>
          <w:rFonts w:hint="eastAsia" w:ascii="宋体" w:hAnsi="宋体"/>
          <w:sz w:val="24"/>
          <w:u w:val="single"/>
        </w:rPr>
        <w:t xml:space="preserve">     </w:t>
      </w:r>
      <w:r>
        <w:rPr>
          <w:rFonts w:hint="eastAsia" w:ascii="宋体" w:hAnsi="宋体"/>
          <w:sz w:val="24"/>
        </w:rPr>
        <w:t xml:space="preserve"> %RH   地点</w:t>
      </w:r>
      <w:r>
        <w:rPr>
          <w:rFonts w:hint="eastAsia" w:ascii="宋体" w:hAnsi="宋体"/>
          <w:sz w:val="24"/>
          <w:u w:val="single"/>
        </w:rPr>
        <w:t xml:space="preserve">        </w:t>
      </w:r>
      <w:r>
        <w:rPr>
          <w:rFonts w:hint="eastAsia" w:ascii="宋体" w:hAnsi="宋体"/>
          <w:sz w:val="24"/>
        </w:rPr>
        <w:t xml:space="preserve"> 检测日期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right="-735" w:rightChars="-350"/>
        <w:rPr>
          <w:rFonts w:hint="eastAsia" w:ascii="Times New Roman" w:hAnsi="Times New Roman" w:eastAsia="黑体" w:cs="Times New Roman"/>
          <w:b/>
          <w:sz w:val="28"/>
          <w:szCs w:val="28"/>
          <w:lang w:val="en-US" w:eastAsia="zh-CN"/>
        </w:rPr>
      </w:pPr>
      <w:r>
        <w:rPr>
          <w:rFonts w:hint="eastAsia" w:ascii="宋体" w:hAnsi="宋体"/>
          <w:sz w:val="24"/>
        </w:rPr>
        <w:t>检测</w:t>
      </w:r>
      <w:r>
        <w:rPr>
          <w:rFonts w:hint="eastAsia" w:ascii="宋体" w:hAnsi="宋体"/>
          <w:sz w:val="24"/>
          <w:u w:val="single"/>
        </w:rPr>
        <w:t xml:space="preserve">                             </w:t>
      </w:r>
      <w:r>
        <w:rPr>
          <w:rFonts w:hint="eastAsia" w:ascii="宋体" w:hAnsi="宋体"/>
          <w:sz w:val="24"/>
        </w:rPr>
        <w:t xml:space="preserve">          核验</w:t>
      </w:r>
      <w:r>
        <w:rPr>
          <w:rFonts w:hint="eastAsia" w:ascii="宋体" w:hAnsi="宋体"/>
          <w:sz w:val="24"/>
          <w:u w:val="single"/>
        </w:rPr>
        <w:t xml:space="preserve">                                 </w:t>
      </w:r>
    </w:p>
    <w:bookmarkEnd w:id="36"/>
    <w:tbl>
      <w:tblPr>
        <w:tblStyle w:val="30"/>
        <w:tblW w:w="92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80"/>
        <w:gridCol w:w="1902"/>
        <w:gridCol w:w="2443"/>
        <w:gridCol w:w="2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spacing w:line="480" w:lineRule="exact"/>
              <w:jc w:val="center"/>
              <w:rPr>
                <w:rFonts w:hint="eastAsia" w:ascii="宋体" w:hAnsi="宋体" w:cs="宋体"/>
                <w:sz w:val="24"/>
              </w:rPr>
            </w:pPr>
            <w:r>
              <w:rPr>
                <w:rFonts w:hint="eastAsia" w:ascii="宋体" w:hAnsi="宋体" w:cs="宋体"/>
                <w:sz w:val="24"/>
              </w:rPr>
              <w:t>序</w:t>
            </w:r>
          </w:p>
        </w:tc>
        <w:tc>
          <w:tcPr>
            <w:tcW w:w="1580" w:type="dxa"/>
            <w:vAlign w:val="center"/>
          </w:tcPr>
          <w:p>
            <w:pPr>
              <w:snapToGrid w:val="0"/>
              <w:spacing w:line="480" w:lineRule="exact"/>
              <w:jc w:val="center"/>
              <w:rPr>
                <w:rFonts w:hint="eastAsia" w:ascii="宋体" w:hAnsi="宋体" w:cs="宋体"/>
                <w:sz w:val="24"/>
              </w:rPr>
            </w:pPr>
            <w:r>
              <w:rPr>
                <w:rFonts w:hint="eastAsia" w:ascii="宋体" w:hAnsi="宋体" w:cs="宋体"/>
                <w:sz w:val="24"/>
              </w:rPr>
              <w:t>模件</w:t>
            </w:r>
            <w:bookmarkStart w:id="38" w:name="_GoBack"/>
            <w:bookmarkEnd w:id="38"/>
          </w:p>
        </w:tc>
        <w:tc>
          <w:tcPr>
            <w:tcW w:w="1902" w:type="dxa"/>
            <w:vAlign w:val="center"/>
          </w:tcPr>
          <w:p>
            <w:pPr>
              <w:snapToGrid w:val="0"/>
              <w:spacing w:line="480" w:lineRule="exact"/>
              <w:jc w:val="center"/>
              <w:rPr>
                <w:rFonts w:hint="eastAsia" w:ascii="宋体" w:hAnsi="宋体" w:cs="宋体"/>
                <w:sz w:val="24"/>
              </w:rPr>
            </w:pPr>
            <w:r>
              <w:rPr>
                <w:rFonts w:hint="eastAsia" w:ascii="宋体" w:hAnsi="宋体" w:cs="宋体"/>
                <w:sz w:val="24"/>
              </w:rPr>
              <w:t>点名</w:t>
            </w:r>
          </w:p>
        </w:tc>
        <w:tc>
          <w:tcPr>
            <w:tcW w:w="2443" w:type="dxa"/>
            <w:vAlign w:val="center"/>
          </w:tcPr>
          <w:p>
            <w:pPr>
              <w:snapToGrid w:val="0"/>
              <w:spacing w:line="480" w:lineRule="exact"/>
              <w:jc w:val="center"/>
              <w:rPr>
                <w:rFonts w:hint="eastAsia" w:ascii="宋体" w:hAnsi="宋体" w:cs="宋体"/>
                <w:sz w:val="24"/>
              </w:rPr>
            </w:pPr>
            <w:r>
              <w:rPr>
                <w:rFonts w:hint="eastAsia" w:ascii="宋体" w:hAnsi="宋体" w:cs="宋体"/>
                <w:sz w:val="24"/>
              </w:rPr>
              <w:t>点 描 述</w:t>
            </w:r>
          </w:p>
        </w:tc>
        <w:tc>
          <w:tcPr>
            <w:tcW w:w="2592" w:type="dxa"/>
            <w:vAlign w:val="center"/>
          </w:tcPr>
          <w:p>
            <w:pPr>
              <w:snapToGrid w:val="0"/>
              <w:spacing w:line="480" w:lineRule="exact"/>
              <w:jc w:val="center"/>
              <w:rPr>
                <w:rFonts w:hint="eastAsia" w:ascii="宋体" w:hAnsi="宋体" w:cs="宋体"/>
                <w:sz w:val="24"/>
              </w:rPr>
            </w:pPr>
            <w:r>
              <w:rPr>
                <w:rFonts w:hint="eastAsia" w:ascii="宋体" w:hAnsi="宋体" w:cs="宋体"/>
                <w:sz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1</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2</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3</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4</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5</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6</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7</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8</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napToGrid w:val="0"/>
              <w:jc w:val="center"/>
              <w:rPr>
                <w:rFonts w:hint="eastAsia" w:ascii="宋体" w:hAnsi="宋体" w:cs="宋体"/>
                <w:sz w:val="24"/>
              </w:rPr>
            </w:pPr>
            <w:r>
              <w:rPr>
                <w:rFonts w:hint="eastAsia" w:ascii="宋体" w:hAnsi="宋体" w:cs="宋体"/>
                <w:sz w:val="24"/>
              </w:rPr>
              <w:t>9</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09" w:type="dxa"/>
            <w:vAlign w:val="center"/>
          </w:tcPr>
          <w:p>
            <w:pPr>
              <w:snapToGrid w:val="0"/>
              <w:jc w:val="center"/>
              <w:rPr>
                <w:rFonts w:hint="eastAsia" w:ascii="宋体" w:hAnsi="宋体" w:cs="宋体"/>
                <w:sz w:val="24"/>
              </w:rPr>
            </w:pPr>
            <w:r>
              <w:rPr>
                <w:rFonts w:hint="eastAsia" w:ascii="宋体" w:hAnsi="宋体" w:cs="宋体"/>
                <w:sz w:val="24"/>
              </w:rPr>
              <w:t>10</w:t>
            </w:r>
          </w:p>
        </w:tc>
        <w:tc>
          <w:tcPr>
            <w:tcW w:w="1580" w:type="dxa"/>
          </w:tcPr>
          <w:p>
            <w:pPr>
              <w:snapToGrid w:val="0"/>
              <w:rPr>
                <w:rFonts w:hint="eastAsia" w:ascii="宋体" w:hAnsi="宋体" w:cs="宋体"/>
                <w:sz w:val="24"/>
              </w:rPr>
            </w:pPr>
          </w:p>
        </w:tc>
        <w:tc>
          <w:tcPr>
            <w:tcW w:w="1902" w:type="dxa"/>
          </w:tcPr>
          <w:p>
            <w:pPr>
              <w:snapToGrid w:val="0"/>
              <w:rPr>
                <w:rFonts w:hint="eastAsia" w:ascii="宋体" w:hAnsi="宋体" w:cs="宋体"/>
                <w:sz w:val="24"/>
              </w:rPr>
            </w:pPr>
          </w:p>
        </w:tc>
        <w:tc>
          <w:tcPr>
            <w:tcW w:w="2443" w:type="dxa"/>
          </w:tcPr>
          <w:p>
            <w:pPr>
              <w:snapToGrid w:val="0"/>
              <w:rPr>
                <w:rFonts w:hint="eastAsia" w:ascii="宋体" w:hAnsi="宋体" w:cs="宋体"/>
                <w:sz w:val="24"/>
              </w:rPr>
            </w:pPr>
          </w:p>
        </w:tc>
        <w:tc>
          <w:tcPr>
            <w:tcW w:w="2592" w:type="dxa"/>
          </w:tcPr>
          <w:p>
            <w:pPr>
              <w:snapToGrid w:val="0"/>
              <w:rPr>
                <w:rFonts w:hint="eastAsia" w:ascii="宋体" w:hAnsi="宋体" w:cs="宋体"/>
                <w:sz w:val="24"/>
              </w:rPr>
            </w:pPr>
          </w:p>
        </w:tc>
      </w:tr>
    </w:tbl>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ascii="宋体" w:hAnsi="宋体"/>
          <w:b/>
          <w:bCs/>
          <w:sz w:val="24"/>
        </w:rPr>
      </w:pPr>
    </w:p>
    <w:p>
      <w:pPr>
        <w:rPr>
          <w:rFonts w:hint="eastAsia" w:eastAsia="黑体" w:cs="Times New Roman"/>
          <w:b/>
          <w:sz w:val="28"/>
          <w:szCs w:val="28"/>
          <w:lang w:val="en-US" w:eastAsia="zh-CN"/>
        </w:rPr>
      </w:pPr>
      <w:bookmarkStart w:id="37" w:name="_Toc23380"/>
      <w:r>
        <w:rPr>
          <w:rFonts w:hint="eastAsia" w:ascii="Times New Roman" w:hAnsi="Times New Roman" w:eastAsia="黑体" w:cs="Times New Roman"/>
          <w:b/>
          <w:sz w:val="28"/>
          <w:szCs w:val="28"/>
        </w:rPr>
        <w:t xml:space="preserve">附录 </w:t>
      </w:r>
      <w:r>
        <w:rPr>
          <w:rFonts w:hint="eastAsia" w:eastAsia="黑体" w:cs="Times New Roman"/>
          <w:b/>
          <w:sz w:val="28"/>
          <w:szCs w:val="28"/>
          <w:lang w:val="en-US" w:eastAsia="zh-CN"/>
        </w:rPr>
        <w:t xml:space="preserve">B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eastAsia="黑体"/>
          <w:sz w:val="28"/>
          <w:szCs w:val="28"/>
        </w:rPr>
      </w:pPr>
      <w:r>
        <w:rPr>
          <w:rFonts w:hint="eastAsia" w:ascii="Times New Roman" w:hAnsi="Times New Roman" w:eastAsia="黑体" w:cs="Times New Roman"/>
          <w:b/>
          <w:sz w:val="28"/>
          <w:szCs w:val="28"/>
          <w:lang w:val="en-US" w:eastAsia="zh-CN"/>
        </w:rPr>
        <w:t>发电厂集散控制系统的事件顺序记录分辨率检测报告</w:t>
      </w:r>
      <w:bookmarkEnd w:id="37"/>
    </w:p>
    <w:p>
      <w:pPr>
        <w:widowControl/>
        <w:spacing w:line="360" w:lineRule="auto"/>
        <w:jc w:val="left"/>
      </w:pPr>
      <w:r>
        <w:rPr>
          <w:rFonts w:hint="eastAsia" w:ascii="宋体" w:hAnsi="宋体" w:cs="宋体"/>
          <w:color w:val="000000"/>
          <w:kern w:val="0"/>
          <w:sz w:val="24"/>
          <w:lang w:val="en-US" w:eastAsia="zh-CN"/>
        </w:rPr>
        <w:t>C</w:t>
      </w:r>
      <w:r>
        <w:rPr>
          <w:rFonts w:hint="eastAsia" w:ascii="宋体" w:hAnsi="宋体" w:cs="宋体"/>
          <w:color w:val="000000"/>
          <w:kern w:val="0"/>
          <w:sz w:val="24"/>
        </w:rPr>
        <w:t xml:space="preserve">.1 检测报告至少包括以下信息： </w:t>
      </w:r>
    </w:p>
    <w:p>
      <w:pPr>
        <w:widowControl/>
        <w:spacing w:line="360" w:lineRule="auto"/>
        <w:jc w:val="left"/>
      </w:pPr>
      <w:r>
        <w:rPr>
          <w:rFonts w:hint="eastAsia" w:ascii="宋体" w:hAnsi="宋体" w:cs="宋体"/>
          <w:color w:val="000000"/>
          <w:kern w:val="0"/>
          <w:sz w:val="24"/>
        </w:rPr>
        <w:t xml:space="preserve">a） 标题：“检测报告”； </w:t>
      </w:r>
    </w:p>
    <w:p>
      <w:pPr>
        <w:widowControl/>
        <w:spacing w:line="360" w:lineRule="auto"/>
        <w:jc w:val="left"/>
      </w:pPr>
      <w:r>
        <w:rPr>
          <w:rFonts w:hint="eastAsia" w:ascii="宋体" w:hAnsi="宋体" w:cs="宋体"/>
          <w:color w:val="000000"/>
          <w:kern w:val="0"/>
          <w:sz w:val="24"/>
        </w:rPr>
        <w:t xml:space="preserve">b） 进行检测的地点（如果不在实验室内进行检测）； </w:t>
      </w:r>
    </w:p>
    <w:p>
      <w:pPr>
        <w:widowControl/>
        <w:spacing w:line="360" w:lineRule="auto"/>
        <w:jc w:val="left"/>
      </w:pPr>
      <w:r>
        <w:rPr>
          <w:rFonts w:hint="eastAsia" w:ascii="宋体" w:hAnsi="宋体" w:cs="宋体"/>
          <w:color w:val="000000"/>
          <w:kern w:val="0"/>
          <w:sz w:val="24"/>
        </w:rPr>
        <w:t xml:space="preserve">c） 检测报告编号，页码及总页数的标识； </w:t>
      </w:r>
    </w:p>
    <w:p>
      <w:pPr>
        <w:widowControl/>
        <w:spacing w:line="360" w:lineRule="auto"/>
        <w:jc w:val="left"/>
      </w:pPr>
      <w:r>
        <w:rPr>
          <w:rFonts w:hint="eastAsia" w:ascii="宋体" w:hAnsi="宋体" w:cs="宋体"/>
          <w:color w:val="000000"/>
          <w:kern w:val="0"/>
          <w:sz w:val="24"/>
        </w:rPr>
        <w:t xml:space="preserve">d） 检测单位检测专用章； </w:t>
      </w:r>
    </w:p>
    <w:p>
      <w:pPr>
        <w:widowControl/>
        <w:spacing w:line="360" w:lineRule="auto"/>
        <w:jc w:val="left"/>
      </w:pPr>
      <w:r>
        <w:rPr>
          <w:rFonts w:hint="eastAsia" w:ascii="宋体" w:hAnsi="宋体" w:cs="宋体"/>
          <w:color w:val="000000"/>
          <w:kern w:val="0"/>
          <w:sz w:val="24"/>
        </w:rPr>
        <w:t xml:space="preserve">e） 被检测单位的名称和地址； </w:t>
      </w:r>
    </w:p>
    <w:p>
      <w:pPr>
        <w:widowControl/>
        <w:spacing w:line="360" w:lineRule="auto"/>
        <w:jc w:val="left"/>
      </w:pPr>
      <w:r>
        <w:rPr>
          <w:rFonts w:hint="eastAsia" w:ascii="宋体" w:hAnsi="宋体" w:cs="宋体"/>
          <w:color w:val="000000"/>
          <w:kern w:val="0"/>
          <w:sz w:val="24"/>
        </w:rPr>
        <w:t>f） 被测系统的描述和明确标识：系统的制造单位、名称、型号及出厂编号；</w:t>
      </w:r>
    </w:p>
    <w:p>
      <w:pPr>
        <w:widowControl/>
        <w:spacing w:line="360" w:lineRule="auto"/>
        <w:jc w:val="left"/>
      </w:pPr>
      <w:r>
        <w:rPr>
          <w:rFonts w:hint="eastAsia" w:ascii="宋体" w:hAnsi="宋体" w:cs="宋体"/>
          <w:color w:val="000000"/>
          <w:kern w:val="0"/>
          <w:sz w:val="24"/>
        </w:rPr>
        <w:t xml:space="preserve">g） 检测日期； </w:t>
      </w:r>
    </w:p>
    <w:p>
      <w:pPr>
        <w:widowControl/>
        <w:spacing w:line="360" w:lineRule="auto"/>
        <w:jc w:val="left"/>
      </w:pPr>
      <w:r>
        <w:rPr>
          <w:rFonts w:hint="eastAsia" w:ascii="宋体" w:hAnsi="宋体" w:cs="宋体"/>
          <w:color w:val="000000"/>
          <w:kern w:val="0"/>
          <w:sz w:val="24"/>
        </w:rPr>
        <w:t xml:space="preserve">h） 检测所依据的技术规范的名称及代号； </w:t>
      </w:r>
    </w:p>
    <w:p>
      <w:pPr>
        <w:widowControl/>
        <w:spacing w:line="360" w:lineRule="auto"/>
        <w:jc w:val="left"/>
        <w:rPr>
          <w:rFonts w:hint="eastAsia" w:ascii="宋体" w:hAnsi="宋体" w:eastAsia="宋体" w:cs="宋体"/>
          <w:color w:val="000000"/>
          <w:kern w:val="0"/>
          <w:sz w:val="24"/>
          <w:lang w:val="en-US" w:eastAsia="zh-CN"/>
        </w:rPr>
      </w:pPr>
      <w:r>
        <w:rPr>
          <w:rFonts w:hint="eastAsia" w:ascii="宋体" w:hAnsi="宋体" w:cs="宋体"/>
          <w:color w:val="000000"/>
          <w:kern w:val="0"/>
          <w:sz w:val="24"/>
        </w:rPr>
        <w:t>i） 本次检测所用的主要设备（包括标准物质）的名称、测量范围、不确定度或准；</w:t>
      </w:r>
    </w:p>
    <w:p>
      <w:pPr>
        <w:widowControl/>
        <w:spacing w:line="360" w:lineRule="auto"/>
        <w:jc w:val="left"/>
        <w:rPr>
          <w:rFonts w:hint="eastAsia" w:ascii="宋体" w:hAnsi="宋体" w:cs="宋体"/>
          <w:color w:val="000000"/>
          <w:kern w:val="0"/>
          <w:sz w:val="24"/>
        </w:rPr>
      </w:pPr>
      <w:r>
        <w:rPr>
          <w:rFonts w:hint="eastAsia" w:ascii="宋体" w:hAnsi="宋体" w:cs="宋体"/>
          <w:color w:val="000000"/>
          <w:kern w:val="0"/>
          <w:sz w:val="24"/>
        </w:rPr>
        <w:t xml:space="preserve">确度等级或最大允许误差、证书编号及有效期； </w:t>
      </w:r>
    </w:p>
    <w:p>
      <w:pPr>
        <w:widowControl/>
        <w:spacing w:line="360" w:lineRule="auto"/>
        <w:jc w:val="left"/>
      </w:pPr>
      <w:r>
        <w:rPr>
          <w:rFonts w:hint="eastAsia" w:ascii="宋体" w:hAnsi="宋体" w:cs="宋体"/>
          <w:color w:val="000000"/>
          <w:kern w:val="0"/>
          <w:sz w:val="24"/>
        </w:rPr>
        <w:t xml:space="preserve">j） 检测时的环境温度、相对湿度； </w:t>
      </w:r>
    </w:p>
    <w:p>
      <w:pPr>
        <w:widowControl/>
        <w:spacing w:line="360" w:lineRule="auto"/>
        <w:jc w:val="left"/>
      </w:pPr>
      <w:r>
        <w:rPr>
          <w:rFonts w:hint="eastAsia" w:ascii="宋体" w:hAnsi="宋体" w:cs="宋体"/>
          <w:color w:val="000000"/>
          <w:kern w:val="0"/>
          <w:sz w:val="24"/>
        </w:rPr>
        <w:t xml:space="preserve">k） 检测人与核验人的签名；  </w:t>
      </w:r>
    </w:p>
    <w:p>
      <w:pPr>
        <w:widowControl/>
        <w:spacing w:line="360" w:lineRule="auto"/>
        <w:jc w:val="left"/>
      </w:pPr>
      <w:r>
        <w:rPr>
          <w:rFonts w:hint="eastAsia" w:ascii="宋体" w:hAnsi="宋体" w:cs="宋体"/>
          <w:color w:val="000000"/>
          <w:kern w:val="0"/>
          <w:sz w:val="24"/>
        </w:rPr>
        <w:t xml:space="preserve">l） 检测报告批准人的签名与职务；   </w:t>
      </w:r>
    </w:p>
    <w:p>
      <w:pPr>
        <w:widowControl/>
        <w:spacing w:line="360" w:lineRule="auto"/>
        <w:jc w:val="left"/>
      </w:pPr>
      <w:r>
        <w:rPr>
          <w:rFonts w:hint="eastAsia" w:ascii="宋体" w:hAnsi="宋体" w:cs="宋体"/>
          <w:color w:val="000000"/>
          <w:kern w:val="0"/>
          <w:sz w:val="24"/>
        </w:rPr>
        <w:t xml:space="preserve">m） 检测结果仅对被校对象有效的声明； </w:t>
      </w:r>
    </w:p>
    <w:p>
      <w:pPr>
        <w:widowControl/>
        <w:spacing w:line="360" w:lineRule="auto"/>
        <w:jc w:val="left"/>
        <w:rPr>
          <w:rFonts w:hint="eastAsia" w:ascii="宋体" w:hAnsi="宋体" w:cs="宋体"/>
          <w:color w:val="000000"/>
          <w:kern w:val="0"/>
          <w:sz w:val="24"/>
        </w:rPr>
      </w:pPr>
      <w:r>
        <w:rPr>
          <w:rFonts w:hint="eastAsia" w:ascii="宋体" w:hAnsi="宋体" w:cs="宋体"/>
          <w:color w:val="000000"/>
          <w:kern w:val="0"/>
          <w:sz w:val="24"/>
        </w:rPr>
        <w:t xml:space="preserve">n）未经实验室书面批准，不得部分复制证书的声明。 </w:t>
      </w:r>
    </w:p>
    <w:p>
      <w:pPr>
        <w:widowControl/>
        <w:spacing w:line="360" w:lineRule="auto"/>
        <w:jc w:val="left"/>
        <w:rPr>
          <w:rFonts w:hint="eastAsia" w:ascii="宋体" w:hAnsi="宋体" w:cs="宋体"/>
          <w:color w:val="000000"/>
          <w:kern w:val="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spacing w:line="300" w:lineRule="auto"/>
        <w:rPr>
          <w:rFonts w:ascii="宋体"/>
          <w:b/>
          <w:bCs/>
          <w:color w:val="000000"/>
          <w:sz w:val="24"/>
        </w:rPr>
      </w:pPr>
    </w:p>
    <w:p>
      <w:pPr>
        <w:jc w:val="both"/>
      </w:pPr>
    </w:p>
    <w:p>
      <w:pPr>
        <w:jc w:val="center"/>
      </w:pPr>
    </w:p>
    <w:p>
      <w:pPr>
        <w:jc w:val="center"/>
      </w:pPr>
    </w:p>
    <w:p>
      <w:pPr>
        <w:jc w:val="center"/>
        <w:sectPr>
          <w:footerReference r:id="rId13" w:type="default"/>
          <w:pgSz w:w="11906" w:h="16838"/>
          <w:pgMar w:top="1457" w:right="1797" w:bottom="1440" w:left="1797" w:header="851" w:footer="992" w:gutter="0"/>
          <w:pgNumType w:fmt="decimal" w:start="1"/>
          <w:cols w:space="720" w:num="1"/>
          <w:docGrid w:type="lines" w:linePitch="312" w:charSpace="0"/>
        </w:sectPr>
      </w:pPr>
    </w:p>
    <w:p>
      <w:pPr>
        <w:jc w:val="both"/>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spacing w:line="360" w:lineRule="exact"/>
        <w:jc w:val="center"/>
        <w:rPr>
          <w:rFonts w:hint="eastAsia" w:ascii="华文中宋" w:hAnsi="华文中宋" w:eastAsia="华文中宋"/>
          <w:b/>
          <w:sz w:val="28"/>
          <w:szCs w:val="28"/>
        </w:rPr>
      </w:pPr>
    </w:p>
    <w:p>
      <w:pPr>
        <w:spacing w:line="360" w:lineRule="exact"/>
        <w:jc w:val="center"/>
        <w:rPr>
          <w:rFonts w:hint="eastAsia" w:ascii="华文中宋" w:hAnsi="华文中宋" w:eastAsia="华文中宋"/>
          <w:b/>
          <w:sz w:val="28"/>
          <w:szCs w:val="28"/>
        </w:rPr>
      </w:pPr>
    </w:p>
    <w:p>
      <w:pPr>
        <w:spacing w:line="360" w:lineRule="exact"/>
        <w:jc w:val="center"/>
        <w:rPr>
          <w:rFonts w:hint="eastAsia" w:ascii="华文中宋" w:hAnsi="华文中宋" w:eastAsia="华文中宋"/>
          <w:b/>
          <w:sz w:val="28"/>
          <w:szCs w:val="28"/>
        </w:rPr>
      </w:pPr>
    </w:p>
    <w:p>
      <w:pPr>
        <w:spacing w:line="360" w:lineRule="exact"/>
        <w:jc w:val="center"/>
        <w:rPr>
          <w:rFonts w:hint="eastAsia" w:ascii="华文中宋" w:hAnsi="华文中宋" w:eastAsia="华文中宋"/>
          <w:b/>
          <w:sz w:val="28"/>
          <w:szCs w:val="28"/>
        </w:rPr>
      </w:pPr>
    </w:p>
    <w:p>
      <w:pPr>
        <w:spacing w:line="360" w:lineRule="exact"/>
        <w:jc w:val="center"/>
        <w:rPr>
          <w:rFonts w:hint="eastAsia" w:ascii="华文中宋" w:hAnsi="华文中宋" w:eastAsia="华文中宋"/>
          <w:b/>
          <w:sz w:val="28"/>
          <w:szCs w:val="28"/>
        </w:rPr>
      </w:pPr>
    </w:p>
    <w:p>
      <w:pPr>
        <w:spacing w:line="360" w:lineRule="exact"/>
        <w:jc w:val="center"/>
        <w:rPr>
          <w:rFonts w:hint="eastAsia" w:ascii="华文中宋" w:hAnsi="华文中宋" w:eastAsia="华文中宋"/>
          <w:b/>
          <w:sz w:val="28"/>
          <w:szCs w:val="28"/>
        </w:rPr>
      </w:pPr>
    </w:p>
    <w:p>
      <w:pPr>
        <w:spacing w:line="360" w:lineRule="exact"/>
        <w:jc w:val="center"/>
        <w:rPr>
          <w:rFonts w:ascii="华文中宋" w:hAnsi="华文中宋" w:eastAsia="华文中宋"/>
          <w:b/>
          <w:sz w:val="28"/>
          <w:szCs w:val="28"/>
        </w:rPr>
      </w:pPr>
      <w:r>
        <w:rPr>
          <w:rFonts w:hint="eastAsia" w:ascii="华文中宋" w:hAnsi="华文中宋" w:eastAsia="华文中宋"/>
          <w:b/>
          <w:sz w:val="28"/>
          <w:szCs w:val="28"/>
        </w:rPr>
        <w:t>新疆维吾尔自治区</w:t>
      </w:r>
    </w:p>
    <w:p>
      <w:pPr>
        <w:spacing w:line="360" w:lineRule="exact"/>
        <w:jc w:val="center"/>
        <w:rPr>
          <w:rFonts w:hint="eastAsia" w:ascii="华文中宋" w:hAnsi="华文中宋" w:eastAsia="华文中宋"/>
          <w:sz w:val="28"/>
          <w:szCs w:val="28"/>
        </w:rPr>
      </w:pPr>
      <w:r>
        <w:rPr>
          <w:rFonts w:hint="eastAsia" w:ascii="华文中宋" w:hAnsi="华文中宋" w:eastAsia="华文中宋"/>
          <w:b/>
          <w:sz w:val="28"/>
          <w:szCs w:val="28"/>
        </w:rPr>
        <w:t>地方计量</w:t>
      </w:r>
      <w:r>
        <w:rPr>
          <w:rFonts w:hint="eastAsia" w:ascii="华文中宋" w:hAnsi="华文中宋" w:eastAsia="华文中宋"/>
          <w:b/>
          <w:sz w:val="28"/>
          <w:szCs w:val="28"/>
          <w:lang w:val="en-US" w:eastAsia="zh-CN"/>
        </w:rPr>
        <w:t>技术</w:t>
      </w:r>
      <w:r>
        <w:rPr>
          <w:rFonts w:hint="eastAsia" w:ascii="华文中宋" w:hAnsi="华文中宋" w:eastAsia="华文中宋"/>
          <w:b/>
          <w:sz w:val="28"/>
          <w:szCs w:val="28"/>
        </w:rPr>
        <w:t>规范</w:t>
      </w:r>
    </w:p>
    <w:p>
      <w:pPr>
        <w:spacing w:line="360" w:lineRule="exact"/>
        <w:jc w:val="center"/>
        <w:rPr>
          <w:rFonts w:ascii="黑体" w:eastAsia="黑体"/>
          <w:sz w:val="24"/>
        </w:rPr>
      </w:pPr>
    </w:p>
    <w:p>
      <w:pPr>
        <w:spacing w:line="360" w:lineRule="exact"/>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检测</w:t>
      </w:r>
      <w:r>
        <w:rPr>
          <w:rFonts w:hint="eastAsia" w:ascii="黑体" w:eastAsia="黑体"/>
          <w:sz w:val="24"/>
        </w:rPr>
        <w:t>规范</w:t>
      </w:r>
    </w:p>
    <w:p>
      <w:pPr>
        <w:spacing w:line="360" w:lineRule="exact"/>
        <w:jc w:val="center"/>
        <w:rPr>
          <w:rFonts w:hint="eastAsia" w:eastAsia="黑体"/>
          <w:b/>
          <w:sz w:val="24"/>
          <w:lang w:eastAsia="zh-CN"/>
        </w:rPr>
      </w:pPr>
      <w:r>
        <w:rPr>
          <w:rFonts w:eastAsia="黑体"/>
          <w:b/>
          <w:sz w:val="24"/>
        </w:rPr>
        <w:t>JJ</w:t>
      </w:r>
      <w:r>
        <w:rPr>
          <w:rFonts w:hint="eastAsia" w:eastAsia="黑体"/>
          <w:b/>
          <w:sz w:val="24"/>
          <w:lang w:val="en-US" w:eastAsia="zh-CN"/>
        </w:rPr>
        <w:t>F</w:t>
      </w:r>
      <w:r>
        <w:rPr>
          <w:rFonts w:eastAsia="黑体"/>
          <w:b/>
          <w:sz w:val="24"/>
        </w:rPr>
        <w:t>(</w:t>
      </w:r>
      <w:r>
        <w:rPr>
          <w:rFonts w:hint="eastAsia" w:eastAsia="黑体"/>
          <w:b/>
          <w:sz w:val="24"/>
        </w:rPr>
        <w:t>新</w:t>
      </w:r>
      <w:r>
        <w:rPr>
          <w:rFonts w:eastAsia="黑体"/>
          <w:b/>
          <w:sz w:val="24"/>
        </w:rPr>
        <w:t>)</w:t>
      </w:r>
      <w:r>
        <w:rPr>
          <w:rFonts w:hint="eastAsia" w:eastAsia="黑体"/>
          <w:b/>
          <w:sz w:val="24"/>
          <w:lang w:val="en-US" w:eastAsia="zh-CN"/>
        </w:rPr>
        <w:t>XX</w:t>
      </w:r>
      <w:r>
        <w:rPr>
          <w:rFonts w:hint="eastAsia" w:eastAsia="黑体"/>
          <w:b/>
          <w:sz w:val="24"/>
        </w:rPr>
        <w:t>－</w:t>
      </w:r>
      <w:r>
        <w:rPr>
          <w:rFonts w:eastAsia="黑体"/>
          <w:b/>
          <w:sz w:val="24"/>
        </w:rPr>
        <w:t>20</w:t>
      </w:r>
      <w:r>
        <w:rPr>
          <w:rFonts w:hint="eastAsia" w:eastAsia="黑体"/>
          <w:b/>
          <w:sz w:val="24"/>
        </w:rPr>
        <w:t>2</w:t>
      </w:r>
      <w:r>
        <w:rPr>
          <w:rFonts w:hint="eastAsia" w:eastAsia="黑体"/>
          <w:b/>
          <w:sz w:val="24"/>
          <w:lang w:val="en-US" w:eastAsia="zh-CN"/>
        </w:rPr>
        <w:t>1</w:t>
      </w:r>
    </w:p>
    <w:p>
      <w:pPr>
        <w:spacing w:line="360" w:lineRule="exact"/>
        <w:jc w:val="center"/>
        <w:rPr>
          <w:rFonts w:hint="eastAsia"/>
          <w:b/>
          <w:sz w:val="24"/>
        </w:rPr>
      </w:pPr>
      <w:r>
        <w:rPr>
          <w:b/>
          <w:sz w:val="24"/>
        </w:rPr>
        <w:t>新疆维吾尔自治区</w:t>
      </w:r>
      <w:r>
        <w:rPr>
          <w:rFonts w:hint="eastAsia"/>
          <w:b/>
          <w:sz w:val="24"/>
        </w:rPr>
        <w:t>市场监督管理</w:t>
      </w:r>
      <w:r>
        <w:rPr>
          <w:b/>
          <w:sz w:val="24"/>
        </w:rPr>
        <w:t>局</w:t>
      </w:r>
      <w:r>
        <w:rPr>
          <w:rFonts w:hint="eastAsia"/>
          <w:b/>
          <w:sz w:val="24"/>
        </w:rPr>
        <w:t>发布</w:t>
      </w:r>
    </w:p>
    <w:p>
      <w:pPr>
        <w:jc w:val="center"/>
        <w:rPr>
          <w:rFonts w:ascii="黑体" w:eastAsia="黑体"/>
          <w:sz w:val="18"/>
          <w:szCs w:val="18"/>
        </w:rPr>
      </w:pPr>
      <w:r>
        <w:rPr>
          <w:rFonts w:ascii="黑体" w:eastAsia="黑体"/>
          <w:sz w:val="18"/>
          <w:szCs w:val="18"/>
        </w:rPr>
        <w:t>*</w:t>
      </w:r>
    </w:p>
    <w:p>
      <w:pPr>
        <w:jc w:val="center"/>
        <w:rPr>
          <w:rFonts w:ascii="黑体" w:eastAsia="黑体"/>
          <w:b/>
          <w:sz w:val="18"/>
          <w:szCs w:val="18"/>
        </w:rPr>
      </w:pPr>
      <w:r>
        <w:rPr>
          <w:rFonts w:hint="eastAsia" w:ascii="黑体" w:eastAsia="黑体"/>
          <w:b/>
          <w:sz w:val="18"/>
          <w:szCs w:val="18"/>
        </w:rPr>
        <w:t>版权所有</w:t>
      </w:r>
      <w:r>
        <w:rPr>
          <w:rFonts w:ascii="黑体" w:eastAsia="黑体"/>
          <w:b/>
          <w:sz w:val="18"/>
          <w:szCs w:val="18"/>
        </w:rPr>
        <w:t xml:space="preserve"> </w:t>
      </w:r>
      <w:r>
        <w:rPr>
          <w:rFonts w:hint="eastAsia" w:ascii="黑体" w:eastAsia="黑体"/>
          <w:b/>
          <w:sz w:val="18"/>
          <w:szCs w:val="18"/>
        </w:rPr>
        <w:t>不得翻印</w:t>
      </w:r>
    </w:p>
    <w:p>
      <w:pPr>
        <w:jc w:val="center"/>
        <w:rPr>
          <w:rFonts w:ascii="黑体" w:eastAsia="黑体"/>
          <w:sz w:val="18"/>
          <w:szCs w:val="18"/>
        </w:rPr>
      </w:pPr>
      <w:r>
        <w:rPr>
          <w:rFonts w:ascii="黑体" w:eastAsia="黑体"/>
          <w:sz w:val="18"/>
          <w:szCs w:val="18"/>
        </w:rPr>
        <w:t>*</w:t>
      </w:r>
    </w:p>
    <w:p>
      <w:pPr>
        <w:jc w:val="center"/>
        <w:rPr>
          <w:b/>
          <w:sz w:val="18"/>
        </w:rPr>
      </w:pPr>
      <w:r>
        <w:rPr>
          <w:b/>
          <w:sz w:val="18"/>
          <w:szCs w:val="21"/>
        </w:rPr>
        <w:t>880</w:t>
      </w:r>
      <w:r>
        <w:rPr>
          <w:b/>
          <w:sz w:val="18"/>
        </w:rPr>
        <w:t>mm×1230mm 1</w:t>
      </w:r>
      <w:r>
        <w:rPr>
          <w:rFonts w:hint="eastAsia"/>
          <w:b/>
          <w:sz w:val="18"/>
          <w:lang w:val="en-US" w:eastAsia="zh-CN"/>
        </w:rPr>
        <w:t>2</w:t>
      </w:r>
      <w:r>
        <w:rPr>
          <w:rFonts w:hint="eastAsia" w:hAnsi="宋体"/>
          <w:b/>
          <w:sz w:val="18"/>
        </w:rPr>
        <w:t>开本</w:t>
      </w:r>
    </w:p>
    <w:p>
      <w:pPr>
        <w:jc w:val="center"/>
        <w:rPr>
          <w:b/>
          <w:sz w:val="18"/>
        </w:rPr>
      </w:pPr>
      <w:r>
        <w:rPr>
          <w:b/>
          <w:sz w:val="18"/>
        </w:rPr>
        <w:t>20</w:t>
      </w:r>
      <w:r>
        <w:rPr>
          <w:rFonts w:hint="eastAsia"/>
          <w:b/>
          <w:sz w:val="18"/>
        </w:rPr>
        <w:t>2</w:t>
      </w:r>
      <w:r>
        <w:rPr>
          <w:rFonts w:hint="eastAsia"/>
          <w:b/>
          <w:sz w:val="18"/>
          <w:lang w:val="en-US" w:eastAsia="zh-CN"/>
        </w:rPr>
        <w:t>0</w:t>
      </w:r>
      <w:r>
        <w:rPr>
          <w:rFonts w:hint="eastAsia" w:hAnsi="宋体"/>
          <w:b/>
          <w:sz w:val="18"/>
        </w:rPr>
        <w:t>年×月第</w:t>
      </w:r>
      <w:r>
        <w:rPr>
          <w:b/>
          <w:sz w:val="18"/>
        </w:rPr>
        <w:t>1</w:t>
      </w:r>
      <w:r>
        <w:rPr>
          <w:rFonts w:hint="eastAsia" w:hAnsi="宋体"/>
          <w:b/>
          <w:sz w:val="18"/>
        </w:rPr>
        <w:t>版</w:t>
      </w:r>
      <w:r>
        <w:rPr>
          <w:b/>
          <w:sz w:val="18"/>
        </w:rPr>
        <w:t xml:space="preserve">  20</w:t>
      </w:r>
      <w:r>
        <w:rPr>
          <w:rFonts w:hint="eastAsia"/>
          <w:b/>
          <w:sz w:val="18"/>
          <w:lang w:val="en-US" w:eastAsia="zh-CN"/>
        </w:rPr>
        <w:t>2</w:t>
      </w:r>
      <w:r>
        <w:rPr>
          <w:rFonts w:hint="eastAsia"/>
          <w:b/>
          <w:sz w:val="18"/>
        </w:rPr>
        <w:t>×</w:t>
      </w:r>
      <w:r>
        <w:rPr>
          <w:rFonts w:hint="eastAsia" w:hAnsi="宋体"/>
          <w:b/>
          <w:sz w:val="18"/>
        </w:rPr>
        <w:t>年×月第</w:t>
      </w:r>
      <w:r>
        <w:rPr>
          <w:rFonts w:hint="eastAsia"/>
          <w:b/>
          <w:sz w:val="18"/>
        </w:rPr>
        <w:t>×</w:t>
      </w:r>
      <w:r>
        <w:rPr>
          <w:rFonts w:hint="eastAsia" w:hAnsi="宋体"/>
          <w:b/>
          <w:sz w:val="18"/>
        </w:rPr>
        <w:t>次印刷</w:t>
      </w:r>
    </w:p>
    <w:p>
      <w:pPr>
        <w:jc w:val="center"/>
      </w:pPr>
      <w:r>
        <w:rPr>
          <w:rFonts w:hint="eastAsia" w:hAnsi="宋体"/>
          <w:b/>
          <w:sz w:val="18"/>
        </w:rPr>
        <w:t>印数</w:t>
      </w:r>
      <w:r>
        <w:rPr>
          <w:b/>
          <w:sz w:val="18"/>
        </w:rPr>
        <w:t xml:space="preserve">  1-100</w:t>
      </w:r>
    </w:p>
    <w:p>
      <w:pPr>
        <w:jc w:val="center"/>
      </w:pPr>
    </w:p>
    <w:sectPr>
      <w:footerReference r:id="rId14" w:type="default"/>
      <w:pgSz w:w="11906" w:h="16838"/>
      <w:pgMar w:top="1457" w:right="1797"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方正小标宋简体">
    <w:panose1 w:val="03000509000000000000"/>
    <w:charset w:val="86"/>
    <w:family w:val="script"/>
    <w:pitch w:val="default"/>
    <w:sig w:usb0="00000001" w:usb1="080E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pPr>
    <w:r>
      <w:rPr>
        <w:rStyle w:val="3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pPr>
    <w:r>
      <w:rPr>
        <w:rStyle w:val="3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upright="1">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4pftcwBAACcAwAADgAAAGRycy9lMm9Eb2MueG1srVPNjtMwEL4j7TtY&#10;vm+ddCWooqYrULUrJARIyz6A6ziNJf/J4zbpC8AbcOLCnefqczB2ki4slz1wccYz42++b2ayvh2M&#10;JkcZQDlb03JRUCKtcI2y+5o+frm7XlECkduGa2dlTU8S6O3m6tW695Vcus7pRgaCIBaq3te0i9FX&#10;jIHopOGwcF5aDLYuGB7xGvasCbxHdKPZsihes96FxgcnJAB6t2OQTojhJYCubZWQWycORto4ogap&#10;eURJ0CkPdJPZtq0U8VPbgoxE1xSVxnxiEbR36WSbNa/2gftOiYkCfwmFZ5oMVxaLXqC2PHJyCOof&#10;KKNEcODauBDOsFFI7giqKItnvXnouJdZC7Ya/KXp8P9gxcfj50BUU9M3lFhucODn79/OP36df34l&#10;ZXFTpg71HipMfPCYGod3bsC9mf2AziR8aINJX5REMI79PV36K4dIRHq0Wq5WBYYExuYL4rOn5z5A&#10;vJfOkGTUNOAAc1/58QPEMXVOSdWsu1Na5yFq+5cDMZOHJe4jx2TFYTdMgnauOaGeHmdfU4urTol+&#10;b7G1aU1mI8zGbjYOPqh9h9TKzAv820NEEplbqjDCToVxaFndtGBpK/6856ynn2rz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bil+1zAEAAJwDAAAOAAAAAAAAAAEAIAAAAB4BAABkcnMvZTJv&#10;RG9jLnhtbFBLBQYAAAAABgAGAFkBAABcBQAAAAA=&#10;">
              <v:fill on="f" focussize="0,0"/>
              <v:stroke on="f"/>
              <v:imagedata o:title=""/>
              <o:lock v:ext="edit" aspectratio="f"/>
              <v:textbox inset="0mm,0mm,0mm,0mm" style="mso-fit-shape-to-text:t;">
                <w:txbxContent>
                  <w:p>
                    <w:pPr>
                      <w:pStyle w:val="18"/>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156"/>
        <w:tab w:val="clear" w:pos="4153"/>
      </w:tabs>
    </w:pPr>
    <w:r>
      <w:rPr>
        <w:rFonts w:hint="eastAsia"/>
        <w:lang w:eastAsia="zh-CN"/>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156"/>
        <w:tab w:val="clear" w:pos="4153"/>
      </w:tabs>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cViscgBAACa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4bimN33OLAL9+/XX78uvz8SpZv&#10;sj59gBrTHgImpuHOD7g1sx/QmWkPKtr8RUIE46ju+aquHBIR+dF6tV5XGBIYmy+Izx6fhwjprfSW&#10;ZKOhEcdXVOWn95DG1DklV3P+XhtTRmjcXw7EzB6Wex97zFYa9sNEaO/bM/LpcfINdbjolJh3DoXN&#10;SzIbcTb2s3EMUR+6skW5HoTbY8ImSm+5wgg7FcaRFXbTeuWd+PNesh5/qe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EnFYrHIAQAAmgMAAA4AAAAAAAAAAQAgAAAAHgEAAGRycy9lMm9Eb2Mu&#10;eG1sUEsFBgAAAAAGAAYAWQEAAFgFAAAAAA==&#10;">
              <v:fill on="f" focussize="0,0"/>
              <v:stroke on="f"/>
              <v:imagedata o:title=""/>
              <o:lock v:ext="edit" aspectratio="f"/>
              <v:textbox inset="0mm,0mm,0mm,0mm" style="mso-fit-shape-to-text:t;">
                <w:txbxContent>
                  <w:p>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r>
      <w:rPr>
        <w:rFonts w:hint="eastAsia"/>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156"/>
        <w:tab w:val="clear" w:pos="4153"/>
      </w:tabs>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wps:txbx>
                    <wps:bodyPr wrap="none" lIns="0" tIns="0" rIns="0" bIns="0" upright="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lWF+skBAACaAwAADgAAAGRycy9lMm9Eb2MueG1srVPNjtMwEL4j8Q6W&#10;79RpD6gbNV2BqkVICJAWHsB17MaS/+Rxm/QF4A04ceHOc/U5GDtJd1kue+DijGfG38z3zWRzO1hD&#10;TjKC9q6hy0VFiXTCt9odGvr1y92rNSWQuGu58U429CyB3m5fvtj0oZYr33nTykgQxEHdh4Z2KYWa&#10;MRCdtBwWPkiHQeWj5Qmv8cDayHtEt4atquo1631sQ/RCAqB3NwbphBifA+iV0kLuvDha6dKIGqXh&#10;CSlBpwPQbelWKSnSJ6VAJmIaikxTObEI2vt8su2G14fIQ6fF1AJ/TgtPOFmuHRa9Qu144uQY9T9Q&#10;Vovowau0EN6ykUhRBFksqyfa3Hc8yMIFpYZwFR3+H6z4ePociW4bekOJ4xYHfvnx/fLz9+XXN7K8&#10;yfr0AWpMuw+YmIa3fsCtmf2Azkx7UNHmLxIiGEd1z1d15ZCIyI/Wq/W6wpDA2HxBfPbwPERI76S3&#10;JBsNjTi+oio/fYA0ps4puZrzd9qYMkLj/nIgZvaw3PvYY7bSsB8mQnvfnpFPj5NvqMNFp8S8dyhs&#10;XpLZiLOxn41jiPrQlS3K9SC8OSZsovSWK4ywU2EcWWE3rVfeicf3kvXwS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VYX6yQEAAJoDAAAOAAAAAAAAAAEAIAAAAB4BAABkcnMvZTJvRG9j&#10;LnhtbFBLBQYAAAAABgAGAFkBAABZBQAAAAA=&#10;">
              <v:fill on="f" focussize="0,0"/>
              <v:stroke on="f"/>
              <v:imagedata o:title=""/>
              <o:lock v:ext="edit" aspectratio="f"/>
              <v:textbox inset="0mm,0mm,0mm,0mm" style="mso-fit-shape-to-text:t;">
                <w:txbxContent>
                  <w:p>
                    <w:pPr>
                      <w:pStyle w:val="1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p>
                </w:txbxContent>
              </v:textbox>
            </v:shape>
          </w:pict>
        </mc:Fallback>
      </mc:AlternateContent>
    </w:r>
    <w:r>
      <w:rPr>
        <w:rFonts w:hint="eastAsia"/>
        <w:lang w:eastAsia="zh-CN"/>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156"/>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rPr>
      <w:t>JJ</w:t>
    </w:r>
    <w:r>
      <w:rPr>
        <w:rFonts w:hint="default" w:ascii="Times New Roman" w:hAnsi="Times New Roman" w:eastAsia="宋体" w:cs="Times New Roman"/>
        <w:b/>
        <w:sz w:val="21"/>
        <w:szCs w:val="21"/>
        <w:lang w:val="en-US" w:eastAsia="zh-CN"/>
      </w:rPr>
      <w:t>F</w:t>
    </w:r>
    <w:r>
      <w:rPr>
        <w:rFonts w:hint="default" w:ascii="Times New Roman" w:hAnsi="Times New Roman" w:eastAsia="宋体" w:cs="Times New Roman"/>
        <w:b/>
        <w:sz w:val="21"/>
        <w:szCs w:val="21"/>
      </w:rPr>
      <w:t>(新)</w:t>
    </w:r>
    <w:r>
      <w:rPr>
        <w:rFonts w:hint="eastAsia" w:cs="Times New Roman"/>
        <w:b/>
        <w:sz w:val="21"/>
        <w:szCs w:val="21"/>
        <w:lang w:val="en-US" w:eastAsia="zh-CN"/>
      </w:rPr>
      <w:t>XX</w:t>
    </w:r>
    <w:r>
      <w:rPr>
        <w:rFonts w:hint="default" w:ascii="Times New Roman" w:hAnsi="Times New Roman" w:eastAsia="宋体" w:cs="Times New Roman"/>
        <w:b/>
        <w:sz w:val="21"/>
        <w:szCs w:val="21"/>
      </w:rPr>
      <w:t>－20</w:t>
    </w:r>
    <w:r>
      <w:rPr>
        <w:rFonts w:hint="default" w:ascii="Times New Roman" w:hAnsi="Times New Roman" w:eastAsia="宋体" w:cs="Times New Roman"/>
        <w:b/>
        <w:sz w:val="21"/>
        <w:szCs w:val="21"/>
        <w:lang w:val="en-US" w:eastAsia="zh-CN"/>
      </w:rPr>
      <w:t>2</w:t>
    </w:r>
    <w:r>
      <w:rPr>
        <w:rFonts w:hint="eastAsia" w:cs="Times New Roman"/>
        <w:b/>
        <w:sz w:val="21"/>
        <w:szCs w:val="21"/>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ascii="Times New Roman" w:hAnsi="Times New Roman" w:eastAsia="宋体" w:cs="Times New Roman"/>
        <w:b/>
        <w:sz w:val="21"/>
        <w:szCs w:val="21"/>
        <w:lang w:val="en-US" w:eastAsia="zh-CN"/>
      </w:rPr>
    </w:pPr>
    <w:r>
      <w:rPr>
        <w:rFonts w:hint="eastAsia" w:ascii="Times New Roman" w:hAnsi="Times New Roman" w:eastAsia="宋体" w:cs="Times New Roman"/>
        <w:b/>
        <w:sz w:val="21"/>
        <w:szCs w:val="21"/>
      </w:rPr>
      <w:t>JJ</w:t>
    </w:r>
    <w:r>
      <w:rPr>
        <w:rFonts w:hint="eastAsia" w:ascii="Times New Roman" w:hAnsi="Times New Roman" w:eastAsia="宋体" w:cs="Times New Roman"/>
        <w:b/>
        <w:sz w:val="21"/>
        <w:szCs w:val="21"/>
        <w:lang w:val="en-US" w:eastAsia="zh-CN"/>
      </w:rPr>
      <w:t>F</w:t>
    </w:r>
    <w:r>
      <w:rPr>
        <w:rFonts w:hint="eastAsia" w:ascii="Times New Roman" w:hAnsi="Times New Roman" w:eastAsia="宋体" w:cs="Times New Roman"/>
        <w:b/>
        <w:sz w:val="21"/>
        <w:szCs w:val="21"/>
      </w:rPr>
      <w:t>(新)</w:t>
    </w:r>
    <w:r>
      <w:rPr>
        <w:rFonts w:hint="eastAsia" w:ascii="Times New Roman" w:hAnsi="Times New Roman" w:eastAsia="宋体" w:cs="Times New Roman"/>
        <w:b/>
        <w:sz w:val="21"/>
        <w:szCs w:val="21"/>
        <w:lang w:val="en-US" w:eastAsia="zh-CN"/>
      </w:rPr>
      <w:t>XX</w:t>
    </w:r>
    <w:r>
      <w:rPr>
        <w:rFonts w:hint="eastAsia" w:ascii="Times New Roman" w:hAnsi="Times New Roman" w:eastAsia="宋体" w:cs="Times New Roman"/>
        <w:b/>
        <w:sz w:val="21"/>
        <w:szCs w:val="21"/>
      </w:rPr>
      <w:t>－20</w:t>
    </w:r>
    <w:r>
      <w:rPr>
        <w:rFonts w:hint="eastAsia" w:ascii="Times New Roman" w:hAnsi="Times New Roman" w:eastAsia="宋体" w:cs="Times New Roman"/>
        <w:b/>
        <w:sz w:val="21"/>
        <w:szCs w:val="21"/>
        <w:lang w:val="en-US" w:eastAsia="zh-CN"/>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rPr>
      <w:t>JJ</w:t>
    </w:r>
    <w:r>
      <w:rPr>
        <w:rFonts w:hint="default" w:ascii="Times New Roman" w:hAnsi="Times New Roman" w:eastAsia="宋体" w:cs="Times New Roman"/>
        <w:b/>
        <w:sz w:val="21"/>
        <w:szCs w:val="21"/>
        <w:lang w:val="en-US" w:eastAsia="zh-CN"/>
      </w:rPr>
      <w:t>F</w:t>
    </w:r>
    <w:r>
      <w:rPr>
        <w:rFonts w:hint="default" w:ascii="Times New Roman" w:hAnsi="Times New Roman" w:eastAsia="宋体" w:cs="Times New Roman"/>
        <w:b/>
        <w:sz w:val="21"/>
        <w:szCs w:val="21"/>
      </w:rPr>
      <w:t>(新)</w:t>
    </w:r>
    <w:r>
      <w:rPr>
        <w:rFonts w:hint="eastAsia" w:cs="Times New Roman"/>
        <w:b/>
        <w:sz w:val="21"/>
        <w:szCs w:val="21"/>
        <w:lang w:val="en-US" w:eastAsia="zh-CN"/>
      </w:rPr>
      <w:t>XX</w:t>
    </w:r>
    <w:r>
      <w:rPr>
        <w:rFonts w:hint="default" w:ascii="Times New Roman" w:hAnsi="Times New Roman" w:eastAsia="宋体" w:cs="Times New Roman"/>
        <w:b/>
        <w:sz w:val="21"/>
        <w:szCs w:val="21"/>
      </w:rPr>
      <w:t>－20</w:t>
    </w:r>
    <w:r>
      <w:rPr>
        <w:rFonts w:hint="default" w:ascii="Times New Roman" w:hAnsi="Times New Roman" w:eastAsia="宋体" w:cs="Times New Roman"/>
        <w:b/>
        <w:sz w:val="21"/>
        <w:szCs w:val="21"/>
        <w:lang w:val="en-US" w:eastAsia="zh-CN"/>
      </w:rPr>
      <w:t>2</w:t>
    </w:r>
    <w:r>
      <w:rPr>
        <w:rFonts w:hint="eastAsia" w:cs="Times New Roman"/>
        <w:b/>
        <w:sz w:val="21"/>
        <w:szCs w:val="21"/>
        <w:lang w:val="en-US" w:eastAsia="zh-CN"/>
      </w:rPr>
      <w:t>1</w:t>
    </w:r>
  </w:p>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69"/>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33557C4B"/>
    <w:multiLevelType w:val="multilevel"/>
    <w:tmpl w:val="33557C4B"/>
    <w:lvl w:ilvl="0" w:tentative="0">
      <w:start w:val="1"/>
      <w:numFmt w:val="decimal"/>
      <w:lvlText w:val="%1"/>
      <w:lvlJc w:val="left"/>
      <w:pPr>
        <w:tabs>
          <w:tab w:val="left" w:pos="432"/>
        </w:tabs>
        <w:ind w:left="432" w:hanging="432"/>
      </w:pPr>
      <w:rPr>
        <w:rFonts w:hint="eastAsia"/>
      </w:rPr>
    </w:lvl>
    <w:lvl w:ilvl="1" w:tentative="0">
      <w:start w:val="1"/>
      <w:numFmt w:val="decimal"/>
      <w:suff w:val="space"/>
      <w:lvlText w:val="%1.%2 "/>
      <w:lvlJc w:val="left"/>
      <w:pPr>
        <w:ind w:left="576" w:hanging="576"/>
      </w:pPr>
      <w:rPr>
        <w:rFonts w:hint="eastAsia"/>
      </w:rPr>
    </w:lvl>
    <w:lvl w:ilvl="2" w:tentative="0">
      <w:start w:val="1"/>
      <w:numFmt w:val="decimal"/>
      <w:suff w:val="space"/>
      <w:lvlText w:val="%1.%2.%3 "/>
      <w:lvlJc w:val="left"/>
      <w:pPr>
        <w:ind w:left="0" w:firstLine="0"/>
      </w:pPr>
      <w:rPr>
        <w:rFonts w:hint="eastAsia"/>
      </w:rPr>
    </w:lvl>
    <w:lvl w:ilvl="3" w:tentative="0">
      <w:start w:val="1"/>
      <w:numFmt w:val="decimal"/>
      <w:suff w:val="space"/>
      <w:lvlText w:val="%1.%2.%3.%4 "/>
      <w:lvlJc w:val="left"/>
      <w:pPr>
        <w:ind w:left="0" w:firstLine="0"/>
      </w:pPr>
      <w:rPr>
        <w:rFonts w:hint="eastAsia"/>
      </w:rPr>
    </w:lvl>
    <w:lvl w:ilvl="4" w:tentative="0">
      <w:start w:val="1"/>
      <w:numFmt w:val="decimal"/>
      <w:pStyle w:val="5"/>
      <w:suff w:val="space"/>
      <w:lvlText w:val="    %5）"/>
      <w:lvlJc w:val="left"/>
      <w:pPr>
        <w:ind w:left="0" w:firstLine="0"/>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BB4"/>
    <w:rsid w:val="00020663"/>
    <w:rsid w:val="00023FE3"/>
    <w:rsid w:val="00024812"/>
    <w:rsid w:val="00031E3F"/>
    <w:rsid w:val="00033F08"/>
    <w:rsid w:val="00037645"/>
    <w:rsid w:val="00050747"/>
    <w:rsid w:val="000563FE"/>
    <w:rsid w:val="0006089B"/>
    <w:rsid w:val="00080D88"/>
    <w:rsid w:val="00082328"/>
    <w:rsid w:val="0008472A"/>
    <w:rsid w:val="00084AAC"/>
    <w:rsid w:val="000876F6"/>
    <w:rsid w:val="000A1675"/>
    <w:rsid w:val="000A4279"/>
    <w:rsid w:val="000A43BC"/>
    <w:rsid w:val="000C1F18"/>
    <w:rsid w:val="000C25C6"/>
    <w:rsid w:val="000C2B2A"/>
    <w:rsid w:val="000C78EE"/>
    <w:rsid w:val="000D1BBF"/>
    <w:rsid w:val="000D2758"/>
    <w:rsid w:val="000D4A2C"/>
    <w:rsid w:val="000D6FE8"/>
    <w:rsid w:val="000E3EC8"/>
    <w:rsid w:val="000E417A"/>
    <w:rsid w:val="000E4B73"/>
    <w:rsid w:val="000F0E0C"/>
    <w:rsid w:val="000F5C83"/>
    <w:rsid w:val="0010102D"/>
    <w:rsid w:val="00106990"/>
    <w:rsid w:val="00106CEB"/>
    <w:rsid w:val="001261D6"/>
    <w:rsid w:val="001337EB"/>
    <w:rsid w:val="00154D5A"/>
    <w:rsid w:val="00155A71"/>
    <w:rsid w:val="00155E4D"/>
    <w:rsid w:val="0016274E"/>
    <w:rsid w:val="00166B4C"/>
    <w:rsid w:val="00167CF7"/>
    <w:rsid w:val="00170BFA"/>
    <w:rsid w:val="00172A27"/>
    <w:rsid w:val="00172DA1"/>
    <w:rsid w:val="00180BCF"/>
    <w:rsid w:val="001810A4"/>
    <w:rsid w:val="00186A2B"/>
    <w:rsid w:val="00187377"/>
    <w:rsid w:val="00191328"/>
    <w:rsid w:val="00194540"/>
    <w:rsid w:val="00194D96"/>
    <w:rsid w:val="001A1B65"/>
    <w:rsid w:val="001A4B86"/>
    <w:rsid w:val="001A6822"/>
    <w:rsid w:val="001A7AC2"/>
    <w:rsid w:val="001B0551"/>
    <w:rsid w:val="001C2D05"/>
    <w:rsid w:val="001C4A65"/>
    <w:rsid w:val="001C5A7C"/>
    <w:rsid w:val="001D379D"/>
    <w:rsid w:val="001D5781"/>
    <w:rsid w:val="001D5B79"/>
    <w:rsid w:val="001D7BA6"/>
    <w:rsid w:val="001E1194"/>
    <w:rsid w:val="001F5F3E"/>
    <w:rsid w:val="0020546F"/>
    <w:rsid w:val="00205F62"/>
    <w:rsid w:val="0020640B"/>
    <w:rsid w:val="002076E2"/>
    <w:rsid w:val="0021230B"/>
    <w:rsid w:val="0021596D"/>
    <w:rsid w:val="002227CF"/>
    <w:rsid w:val="002232BA"/>
    <w:rsid w:val="002261A3"/>
    <w:rsid w:val="002263BD"/>
    <w:rsid w:val="00230D92"/>
    <w:rsid w:val="0025222C"/>
    <w:rsid w:val="00257309"/>
    <w:rsid w:val="00273997"/>
    <w:rsid w:val="002757EA"/>
    <w:rsid w:val="002773C6"/>
    <w:rsid w:val="00281D97"/>
    <w:rsid w:val="002837CE"/>
    <w:rsid w:val="002861B4"/>
    <w:rsid w:val="0029385C"/>
    <w:rsid w:val="002A31C9"/>
    <w:rsid w:val="002B033A"/>
    <w:rsid w:val="002C24A2"/>
    <w:rsid w:val="002D0197"/>
    <w:rsid w:val="002D14FF"/>
    <w:rsid w:val="002D4530"/>
    <w:rsid w:val="002D7BCE"/>
    <w:rsid w:val="002F401F"/>
    <w:rsid w:val="003059ED"/>
    <w:rsid w:val="003116BB"/>
    <w:rsid w:val="003122E8"/>
    <w:rsid w:val="00315442"/>
    <w:rsid w:val="003177E3"/>
    <w:rsid w:val="00342E64"/>
    <w:rsid w:val="00351C16"/>
    <w:rsid w:val="00353BD9"/>
    <w:rsid w:val="00362273"/>
    <w:rsid w:val="0037159A"/>
    <w:rsid w:val="00372C6E"/>
    <w:rsid w:val="00372EF3"/>
    <w:rsid w:val="003829C8"/>
    <w:rsid w:val="00382D97"/>
    <w:rsid w:val="00382DFF"/>
    <w:rsid w:val="00386464"/>
    <w:rsid w:val="00397A55"/>
    <w:rsid w:val="003A1F60"/>
    <w:rsid w:val="003A26B9"/>
    <w:rsid w:val="003A4CC6"/>
    <w:rsid w:val="003B5C2A"/>
    <w:rsid w:val="003B622E"/>
    <w:rsid w:val="003B7CBC"/>
    <w:rsid w:val="003C0B41"/>
    <w:rsid w:val="003C1DCE"/>
    <w:rsid w:val="003C24C1"/>
    <w:rsid w:val="003C4C4D"/>
    <w:rsid w:val="003E1982"/>
    <w:rsid w:val="003E35CE"/>
    <w:rsid w:val="003E45E2"/>
    <w:rsid w:val="00402E96"/>
    <w:rsid w:val="00412719"/>
    <w:rsid w:val="00412A68"/>
    <w:rsid w:val="00415A3E"/>
    <w:rsid w:val="00415BC2"/>
    <w:rsid w:val="00416C16"/>
    <w:rsid w:val="00421E32"/>
    <w:rsid w:val="004256B9"/>
    <w:rsid w:val="00427931"/>
    <w:rsid w:val="00433086"/>
    <w:rsid w:val="00434487"/>
    <w:rsid w:val="004345B7"/>
    <w:rsid w:val="00434AB0"/>
    <w:rsid w:val="0043623A"/>
    <w:rsid w:val="004407AE"/>
    <w:rsid w:val="004421AF"/>
    <w:rsid w:val="00442FF9"/>
    <w:rsid w:val="00443BC4"/>
    <w:rsid w:val="00443CFD"/>
    <w:rsid w:val="00444511"/>
    <w:rsid w:val="00446585"/>
    <w:rsid w:val="00454381"/>
    <w:rsid w:val="00461764"/>
    <w:rsid w:val="00463220"/>
    <w:rsid w:val="00466F31"/>
    <w:rsid w:val="00471B81"/>
    <w:rsid w:val="00477F8A"/>
    <w:rsid w:val="00480F6C"/>
    <w:rsid w:val="00486FA7"/>
    <w:rsid w:val="0048755E"/>
    <w:rsid w:val="004A5ADA"/>
    <w:rsid w:val="004B7F95"/>
    <w:rsid w:val="004C0287"/>
    <w:rsid w:val="004E0534"/>
    <w:rsid w:val="004E107D"/>
    <w:rsid w:val="004F0FC7"/>
    <w:rsid w:val="00501E63"/>
    <w:rsid w:val="0050418A"/>
    <w:rsid w:val="00514CD5"/>
    <w:rsid w:val="00524096"/>
    <w:rsid w:val="0052682B"/>
    <w:rsid w:val="00531FA4"/>
    <w:rsid w:val="00541883"/>
    <w:rsid w:val="00544861"/>
    <w:rsid w:val="0055044C"/>
    <w:rsid w:val="0055478F"/>
    <w:rsid w:val="00557690"/>
    <w:rsid w:val="00584EA7"/>
    <w:rsid w:val="00587A0E"/>
    <w:rsid w:val="00590B8C"/>
    <w:rsid w:val="00592B67"/>
    <w:rsid w:val="005957F8"/>
    <w:rsid w:val="0059716B"/>
    <w:rsid w:val="005A4597"/>
    <w:rsid w:val="005B1C5D"/>
    <w:rsid w:val="005B70A3"/>
    <w:rsid w:val="005B7BC5"/>
    <w:rsid w:val="005C5E10"/>
    <w:rsid w:val="005C621D"/>
    <w:rsid w:val="005C7F57"/>
    <w:rsid w:val="005D58DC"/>
    <w:rsid w:val="005D700A"/>
    <w:rsid w:val="005E1DD4"/>
    <w:rsid w:val="005E4DE0"/>
    <w:rsid w:val="005F1D78"/>
    <w:rsid w:val="005F52E0"/>
    <w:rsid w:val="0060182F"/>
    <w:rsid w:val="00615A83"/>
    <w:rsid w:val="006236DC"/>
    <w:rsid w:val="00624118"/>
    <w:rsid w:val="006243B4"/>
    <w:rsid w:val="00625280"/>
    <w:rsid w:val="006257D5"/>
    <w:rsid w:val="006320BB"/>
    <w:rsid w:val="00644263"/>
    <w:rsid w:val="00646AFF"/>
    <w:rsid w:val="00656067"/>
    <w:rsid w:val="0066174A"/>
    <w:rsid w:val="00676477"/>
    <w:rsid w:val="00680777"/>
    <w:rsid w:val="006835F4"/>
    <w:rsid w:val="0069289C"/>
    <w:rsid w:val="006942CB"/>
    <w:rsid w:val="00696C4D"/>
    <w:rsid w:val="006B1BD1"/>
    <w:rsid w:val="006B2DED"/>
    <w:rsid w:val="006B600F"/>
    <w:rsid w:val="006C061A"/>
    <w:rsid w:val="006C22AC"/>
    <w:rsid w:val="006C2C96"/>
    <w:rsid w:val="006C67FF"/>
    <w:rsid w:val="006C77AA"/>
    <w:rsid w:val="006E06B7"/>
    <w:rsid w:val="006E2E13"/>
    <w:rsid w:val="00710603"/>
    <w:rsid w:val="00710A80"/>
    <w:rsid w:val="00711132"/>
    <w:rsid w:val="007133B8"/>
    <w:rsid w:val="00733ED7"/>
    <w:rsid w:val="00742CA6"/>
    <w:rsid w:val="00745B17"/>
    <w:rsid w:val="00746123"/>
    <w:rsid w:val="00747445"/>
    <w:rsid w:val="00747C65"/>
    <w:rsid w:val="0076092F"/>
    <w:rsid w:val="007613BF"/>
    <w:rsid w:val="007648F8"/>
    <w:rsid w:val="00764BFC"/>
    <w:rsid w:val="007711B3"/>
    <w:rsid w:val="00776CDD"/>
    <w:rsid w:val="0079166E"/>
    <w:rsid w:val="0079370C"/>
    <w:rsid w:val="007956B9"/>
    <w:rsid w:val="007A064A"/>
    <w:rsid w:val="007A5900"/>
    <w:rsid w:val="007C13B9"/>
    <w:rsid w:val="007C2B4B"/>
    <w:rsid w:val="007C7AF2"/>
    <w:rsid w:val="007E23EB"/>
    <w:rsid w:val="007E3CA2"/>
    <w:rsid w:val="007E4032"/>
    <w:rsid w:val="007E59C2"/>
    <w:rsid w:val="007E74A5"/>
    <w:rsid w:val="007E7AE1"/>
    <w:rsid w:val="007F0CDE"/>
    <w:rsid w:val="007F3C91"/>
    <w:rsid w:val="00806ABF"/>
    <w:rsid w:val="00810AFE"/>
    <w:rsid w:val="008125F0"/>
    <w:rsid w:val="008222DB"/>
    <w:rsid w:val="00836B9A"/>
    <w:rsid w:val="008453B6"/>
    <w:rsid w:val="00850F14"/>
    <w:rsid w:val="00852EE1"/>
    <w:rsid w:val="00854A22"/>
    <w:rsid w:val="00857E16"/>
    <w:rsid w:val="00863DE7"/>
    <w:rsid w:val="00866A7C"/>
    <w:rsid w:val="008772F4"/>
    <w:rsid w:val="0088161F"/>
    <w:rsid w:val="00882FF6"/>
    <w:rsid w:val="008838F1"/>
    <w:rsid w:val="00883966"/>
    <w:rsid w:val="008850ED"/>
    <w:rsid w:val="00885C5A"/>
    <w:rsid w:val="00885F79"/>
    <w:rsid w:val="0089093C"/>
    <w:rsid w:val="00892FD9"/>
    <w:rsid w:val="0089516D"/>
    <w:rsid w:val="008B0A8A"/>
    <w:rsid w:val="008B0D9C"/>
    <w:rsid w:val="008B3B6D"/>
    <w:rsid w:val="008B59E6"/>
    <w:rsid w:val="008C3006"/>
    <w:rsid w:val="008C4990"/>
    <w:rsid w:val="008C7948"/>
    <w:rsid w:val="008D0750"/>
    <w:rsid w:val="008D19AA"/>
    <w:rsid w:val="008D321F"/>
    <w:rsid w:val="008D5353"/>
    <w:rsid w:val="00900CCB"/>
    <w:rsid w:val="00902CE9"/>
    <w:rsid w:val="00913CFE"/>
    <w:rsid w:val="00924689"/>
    <w:rsid w:val="00926419"/>
    <w:rsid w:val="00926B77"/>
    <w:rsid w:val="009272AF"/>
    <w:rsid w:val="00930222"/>
    <w:rsid w:val="009317F5"/>
    <w:rsid w:val="00931C24"/>
    <w:rsid w:val="00934F20"/>
    <w:rsid w:val="0095515B"/>
    <w:rsid w:val="009711E9"/>
    <w:rsid w:val="0098040D"/>
    <w:rsid w:val="009840BC"/>
    <w:rsid w:val="00991295"/>
    <w:rsid w:val="009A0ED8"/>
    <w:rsid w:val="009A1ED8"/>
    <w:rsid w:val="009D138A"/>
    <w:rsid w:val="009D7896"/>
    <w:rsid w:val="009E55AF"/>
    <w:rsid w:val="009E6CDC"/>
    <w:rsid w:val="009F312A"/>
    <w:rsid w:val="009F3DCF"/>
    <w:rsid w:val="00A12F09"/>
    <w:rsid w:val="00A151E6"/>
    <w:rsid w:val="00A21E7B"/>
    <w:rsid w:val="00A23174"/>
    <w:rsid w:val="00A33C09"/>
    <w:rsid w:val="00A652F1"/>
    <w:rsid w:val="00A661D8"/>
    <w:rsid w:val="00A66F3D"/>
    <w:rsid w:val="00A71029"/>
    <w:rsid w:val="00A8270B"/>
    <w:rsid w:val="00A87ECA"/>
    <w:rsid w:val="00AA0E4D"/>
    <w:rsid w:val="00AD095D"/>
    <w:rsid w:val="00AD3283"/>
    <w:rsid w:val="00AE1EF5"/>
    <w:rsid w:val="00AE27F5"/>
    <w:rsid w:val="00AE2D4A"/>
    <w:rsid w:val="00AE79AA"/>
    <w:rsid w:val="00AF1742"/>
    <w:rsid w:val="00AF3DF9"/>
    <w:rsid w:val="00AF4F65"/>
    <w:rsid w:val="00B10442"/>
    <w:rsid w:val="00B117EC"/>
    <w:rsid w:val="00B12B66"/>
    <w:rsid w:val="00B15AED"/>
    <w:rsid w:val="00B20ABE"/>
    <w:rsid w:val="00B23285"/>
    <w:rsid w:val="00B25027"/>
    <w:rsid w:val="00B34761"/>
    <w:rsid w:val="00B37432"/>
    <w:rsid w:val="00B4035B"/>
    <w:rsid w:val="00B45661"/>
    <w:rsid w:val="00B469EA"/>
    <w:rsid w:val="00B540E6"/>
    <w:rsid w:val="00B579AD"/>
    <w:rsid w:val="00B67E04"/>
    <w:rsid w:val="00B67F84"/>
    <w:rsid w:val="00B72223"/>
    <w:rsid w:val="00B94368"/>
    <w:rsid w:val="00BB1137"/>
    <w:rsid w:val="00BB20F7"/>
    <w:rsid w:val="00BB2381"/>
    <w:rsid w:val="00BB40C0"/>
    <w:rsid w:val="00BB4A87"/>
    <w:rsid w:val="00BB5270"/>
    <w:rsid w:val="00BC3901"/>
    <w:rsid w:val="00BC7DA5"/>
    <w:rsid w:val="00BD37B8"/>
    <w:rsid w:val="00BE14A8"/>
    <w:rsid w:val="00BE5265"/>
    <w:rsid w:val="00BF152B"/>
    <w:rsid w:val="00BF35BD"/>
    <w:rsid w:val="00BF5277"/>
    <w:rsid w:val="00C01040"/>
    <w:rsid w:val="00C02AE4"/>
    <w:rsid w:val="00C22354"/>
    <w:rsid w:val="00C30BE0"/>
    <w:rsid w:val="00C35FAE"/>
    <w:rsid w:val="00C372B8"/>
    <w:rsid w:val="00C4121E"/>
    <w:rsid w:val="00C42685"/>
    <w:rsid w:val="00C47261"/>
    <w:rsid w:val="00C50A1A"/>
    <w:rsid w:val="00C54743"/>
    <w:rsid w:val="00C660B9"/>
    <w:rsid w:val="00C71B6D"/>
    <w:rsid w:val="00C76C86"/>
    <w:rsid w:val="00C81372"/>
    <w:rsid w:val="00C81F08"/>
    <w:rsid w:val="00C82476"/>
    <w:rsid w:val="00C8301C"/>
    <w:rsid w:val="00C87F08"/>
    <w:rsid w:val="00C91836"/>
    <w:rsid w:val="00CA1DDA"/>
    <w:rsid w:val="00CB37CB"/>
    <w:rsid w:val="00CB55D7"/>
    <w:rsid w:val="00CB643B"/>
    <w:rsid w:val="00CC0475"/>
    <w:rsid w:val="00CD331D"/>
    <w:rsid w:val="00CD7BDA"/>
    <w:rsid w:val="00CE2B66"/>
    <w:rsid w:val="00CF03CF"/>
    <w:rsid w:val="00CF5CE6"/>
    <w:rsid w:val="00CF64CD"/>
    <w:rsid w:val="00D00B47"/>
    <w:rsid w:val="00D00BEC"/>
    <w:rsid w:val="00D02EF2"/>
    <w:rsid w:val="00D13F02"/>
    <w:rsid w:val="00D22643"/>
    <w:rsid w:val="00D26F60"/>
    <w:rsid w:val="00D422D6"/>
    <w:rsid w:val="00D44035"/>
    <w:rsid w:val="00D46D0D"/>
    <w:rsid w:val="00D51E47"/>
    <w:rsid w:val="00D52080"/>
    <w:rsid w:val="00D52A33"/>
    <w:rsid w:val="00D54681"/>
    <w:rsid w:val="00D553D5"/>
    <w:rsid w:val="00D569BC"/>
    <w:rsid w:val="00D56C08"/>
    <w:rsid w:val="00D56D1F"/>
    <w:rsid w:val="00D706B3"/>
    <w:rsid w:val="00D768A7"/>
    <w:rsid w:val="00D845CE"/>
    <w:rsid w:val="00D84CFC"/>
    <w:rsid w:val="00D86F83"/>
    <w:rsid w:val="00DA377E"/>
    <w:rsid w:val="00DA5969"/>
    <w:rsid w:val="00DC30FA"/>
    <w:rsid w:val="00DE009E"/>
    <w:rsid w:val="00DE24D8"/>
    <w:rsid w:val="00DE3829"/>
    <w:rsid w:val="00DE5E8C"/>
    <w:rsid w:val="00DF1A19"/>
    <w:rsid w:val="00DF791E"/>
    <w:rsid w:val="00E00448"/>
    <w:rsid w:val="00E055F8"/>
    <w:rsid w:val="00E0709B"/>
    <w:rsid w:val="00E10447"/>
    <w:rsid w:val="00E11BE4"/>
    <w:rsid w:val="00E1221B"/>
    <w:rsid w:val="00E13FC6"/>
    <w:rsid w:val="00E2595C"/>
    <w:rsid w:val="00E434D3"/>
    <w:rsid w:val="00E46854"/>
    <w:rsid w:val="00E57885"/>
    <w:rsid w:val="00E6324E"/>
    <w:rsid w:val="00E7271D"/>
    <w:rsid w:val="00E92F30"/>
    <w:rsid w:val="00E97AB8"/>
    <w:rsid w:val="00EA1B65"/>
    <w:rsid w:val="00EA71DD"/>
    <w:rsid w:val="00EA7AD7"/>
    <w:rsid w:val="00EB4045"/>
    <w:rsid w:val="00EC767E"/>
    <w:rsid w:val="00ED364A"/>
    <w:rsid w:val="00EE2DF2"/>
    <w:rsid w:val="00EE4F3B"/>
    <w:rsid w:val="00EF2093"/>
    <w:rsid w:val="00EF34DC"/>
    <w:rsid w:val="00EF4C68"/>
    <w:rsid w:val="00EF64B0"/>
    <w:rsid w:val="00F04D4E"/>
    <w:rsid w:val="00F05625"/>
    <w:rsid w:val="00F12C5B"/>
    <w:rsid w:val="00F145C5"/>
    <w:rsid w:val="00F15C77"/>
    <w:rsid w:val="00F16F31"/>
    <w:rsid w:val="00F22012"/>
    <w:rsid w:val="00F248E8"/>
    <w:rsid w:val="00F258A4"/>
    <w:rsid w:val="00F30446"/>
    <w:rsid w:val="00F3272F"/>
    <w:rsid w:val="00F370A3"/>
    <w:rsid w:val="00F37A44"/>
    <w:rsid w:val="00F47FF0"/>
    <w:rsid w:val="00F60DCC"/>
    <w:rsid w:val="00F61A47"/>
    <w:rsid w:val="00F960B1"/>
    <w:rsid w:val="00F97A2F"/>
    <w:rsid w:val="00FA76D4"/>
    <w:rsid w:val="00FD0832"/>
    <w:rsid w:val="00FE0274"/>
    <w:rsid w:val="00FE6D7F"/>
    <w:rsid w:val="00FF3818"/>
    <w:rsid w:val="01270B06"/>
    <w:rsid w:val="017954F6"/>
    <w:rsid w:val="02187EAE"/>
    <w:rsid w:val="024C70A9"/>
    <w:rsid w:val="0256267F"/>
    <w:rsid w:val="02626184"/>
    <w:rsid w:val="02636C4E"/>
    <w:rsid w:val="02A16ED2"/>
    <w:rsid w:val="02E47E09"/>
    <w:rsid w:val="032B6A2D"/>
    <w:rsid w:val="03AA7AD8"/>
    <w:rsid w:val="03AE08FE"/>
    <w:rsid w:val="03B96A26"/>
    <w:rsid w:val="03CC29B6"/>
    <w:rsid w:val="03FB05C3"/>
    <w:rsid w:val="049B1C4E"/>
    <w:rsid w:val="05421C50"/>
    <w:rsid w:val="0599722A"/>
    <w:rsid w:val="05A53C31"/>
    <w:rsid w:val="06016515"/>
    <w:rsid w:val="06532D42"/>
    <w:rsid w:val="066E03F5"/>
    <w:rsid w:val="06AF4F0C"/>
    <w:rsid w:val="06D50362"/>
    <w:rsid w:val="075D0C8B"/>
    <w:rsid w:val="075F0A7E"/>
    <w:rsid w:val="07C75822"/>
    <w:rsid w:val="08284BDE"/>
    <w:rsid w:val="082A2F70"/>
    <w:rsid w:val="083C0273"/>
    <w:rsid w:val="08512EFB"/>
    <w:rsid w:val="08595623"/>
    <w:rsid w:val="0869168E"/>
    <w:rsid w:val="092C3FF3"/>
    <w:rsid w:val="096541F1"/>
    <w:rsid w:val="0A2154D9"/>
    <w:rsid w:val="0A7972CB"/>
    <w:rsid w:val="0AB4432C"/>
    <w:rsid w:val="0B036076"/>
    <w:rsid w:val="0B414C51"/>
    <w:rsid w:val="0B8337CA"/>
    <w:rsid w:val="0BA460EA"/>
    <w:rsid w:val="0C966339"/>
    <w:rsid w:val="0CFF0BEF"/>
    <w:rsid w:val="0D0C507A"/>
    <w:rsid w:val="0D457024"/>
    <w:rsid w:val="0D667BCD"/>
    <w:rsid w:val="0D675BE8"/>
    <w:rsid w:val="0D801265"/>
    <w:rsid w:val="0DEE6EFE"/>
    <w:rsid w:val="0E094F14"/>
    <w:rsid w:val="0E2A62B5"/>
    <w:rsid w:val="0E475B49"/>
    <w:rsid w:val="0E626138"/>
    <w:rsid w:val="0E643968"/>
    <w:rsid w:val="0EBD6898"/>
    <w:rsid w:val="0F10693D"/>
    <w:rsid w:val="0F183ADE"/>
    <w:rsid w:val="0F4F43A0"/>
    <w:rsid w:val="0F532BE8"/>
    <w:rsid w:val="0FA57D05"/>
    <w:rsid w:val="11B11571"/>
    <w:rsid w:val="121B7EE2"/>
    <w:rsid w:val="124871F4"/>
    <w:rsid w:val="125737C6"/>
    <w:rsid w:val="125B02B0"/>
    <w:rsid w:val="129942A6"/>
    <w:rsid w:val="13022C4A"/>
    <w:rsid w:val="13885D8F"/>
    <w:rsid w:val="13D71BAD"/>
    <w:rsid w:val="14061287"/>
    <w:rsid w:val="14136BCE"/>
    <w:rsid w:val="14372A25"/>
    <w:rsid w:val="146A2EF6"/>
    <w:rsid w:val="149D19E4"/>
    <w:rsid w:val="14B23778"/>
    <w:rsid w:val="14DE3E8B"/>
    <w:rsid w:val="153F1B1D"/>
    <w:rsid w:val="154E4BA9"/>
    <w:rsid w:val="15831097"/>
    <w:rsid w:val="159F62E7"/>
    <w:rsid w:val="15BA08FE"/>
    <w:rsid w:val="16121B02"/>
    <w:rsid w:val="16307DAA"/>
    <w:rsid w:val="16960BBC"/>
    <w:rsid w:val="16A0150C"/>
    <w:rsid w:val="16C760AA"/>
    <w:rsid w:val="17A17384"/>
    <w:rsid w:val="18383396"/>
    <w:rsid w:val="189454D0"/>
    <w:rsid w:val="18DB0F1A"/>
    <w:rsid w:val="191634D0"/>
    <w:rsid w:val="191E2728"/>
    <w:rsid w:val="196D6A9B"/>
    <w:rsid w:val="1A1E04EB"/>
    <w:rsid w:val="1A30160B"/>
    <w:rsid w:val="1A692F54"/>
    <w:rsid w:val="1ACA6AC0"/>
    <w:rsid w:val="1B2237BC"/>
    <w:rsid w:val="1B3328B8"/>
    <w:rsid w:val="1B625358"/>
    <w:rsid w:val="1BF13D1D"/>
    <w:rsid w:val="1BFD2ED6"/>
    <w:rsid w:val="1C0165E8"/>
    <w:rsid w:val="1C1F5935"/>
    <w:rsid w:val="1CA71D42"/>
    <w:rsid w:val="1CC85207"/>
    <w:rsid w:val="1D3C67FF"/>
    <w:rsid w:val="1D9A2161"/>
    <w:rsid w:val="1DD670E4"/>
    <w:rsid w:val="1E116EFA"/>
    <w:rsid w:val="1E1A7833"/>
    <w:rsid w:val="1E42311A"/>
    <w:rsid w:val="1EAC1967"/>
    <w:rsid w:val="1F787C5E"/>
    <w:rsid w:val="1FB50574"/>
    <w:rsid w:val="1FD37240"/>
    <w:rsid w:val="21293CBB"/>
    <w:rsid w:val="21516326"/>
    <w:rsid w:val="21AE5D2C"/>
    <w:rsid w:val="21E85EF3"/>
    <w:rsid w:val="22447B89"/>
    <w:rsid w:val="22872F7D"/>
    <w:rsid w:val="231248DC"/>
    <w:rsid w:val="23143CFE"/>
    <w:rsid w:val="23795C47"/>
    <w:rsid w:val="237A4098"/>
    <w:rsid w:val="24350589"/>
    <w:rsid w:val="244C66EA"/>
    <w:rsid w:val="24762CF3"/>
    <w:rsid w:val="24F70DC9"/>
    <w:rsid w:val="25160E81"/>
    <w:rsid w:val="25364475"/>
    <w:rsid w:val="253C03D1"/>
    <w:rsid w:val="258B59B7"/>
    <w:rsid w:val="25B124FB"/>
    <w:rsid w:val="25D12930"/>
    <w:rsid w:val="2611150B"/>
    <w:rsid w:val="26504B77"/>
    <w:rsid w:val="267A7782"/>
    <w:rsid w:val="267B1A9D"/>
    <w:rsid w:val="26882E5C"/>
    <w:rsid w:val="26D02866"/>
    <w:rsid w:val="26D63DBE"/>
    <w:rsid w:val="273B047F"/>
    <w:rsid w:val="27B2571C"/>
    <w:rsid w:val="27D77E8F"/>
    <w:rsid w:val="28344892"/>
    <w:rsid w:val="28B97FDE"/>
    <w:rsid w:val="28E83E17"/>
    <w:rsid w:val="290930E8"/>
    <w:rsid w:val="290A2E1B"/>
    <w:rsid w:val="295A7E82"/>
    <w:rsid w:val="29CC6446"/>
    <w:rsid w:val="29E04D63"/>
    <w:rsid w:val="2A2A17EF"/>
    <w:rsid w:val="2A3744DD"/>
    <w:rsid w:val="2A501422"/>
    <w:rsid w:val="2A641D78"/>
    <w:rsid w:val="2AB425C4"/>
    <w:rsid w:val="2B035A2E"/>
    <w:rsid w:val="2C103A6F"/>
    <w:rsid w:val="2C2436A2"/>
    <w:rsid w:val="2C6B4CCF"/>
    <w:rsid w:val="2CE761BF"/>
    <w:rsid w:val="2D147D27"/>
    <w:rsid w:val="2D394CD1"/>
    <w:rsid w:val="2D3C7FCD"/>
    <w:rsid w:val="2D5D20CA"/>
    <w:rsid w:val="2D6B5A98"/>
    <w:rsid w:val="2DBD7C92"/>
    <w:rsid w:val="2DC445DD"/>
    <w:rsid w:val="2DF83AA3"/>
    <w:rsid w:val="2E0C2E47"/>
    <w:rsid w:val="2E726EAB"/>
    <w:rsid w:val="2EE15CC9"/>
    <w:rsid w:val="2F4802C1"/>
    <w:rsid w:val="2F4D1568"/>
    <w:rsid w:val="2F711594"/>
    <w:rsid w:val="2FA314AB"/>
    <w:rsid w:val="31234186"/>
    <w:rsid w:val="314D663A"/>
    <w:rsid w:val="31741353"/>
    <w:rsid w:val="31747B5C"/>
    <w:rsid w:val="31835504"/>
    <w:rsid w:val="318F7F97"/>
    <w:rsid w:val="32291255"/>
    <w:rsid w:val="327C32C7"/>
    <w:rsid w:val="328C4FC6"/>
    <w:rsid w:val="32FB0585"/>
    <w:rsid w:val="34150A7E"/>
    <w:rsid w:val="346F70FB"/>
    <w:rsid w:val="34D2283D"/>
    <w:rsid w:val="34F55CDF"/>
    <w:rsid w:val="353627E1"/>
    <w:rsid w:val="35C300B3"/>
    <w:rsid w:val="35F25427"/>
    <w:rsid w:val="365A2AC0"/>
    <w:rsid w:val="37472016"/>
    <w:rsid w:val="375E2224"/>
    <w:rsid w:val="377366B5"/>
    <w:rsid w:val="37767792"/>
    <w:rsid w:val="37D53513"/>
    <w:rsid w:val="37EA38FA"/>
    <w:rsid w:val="383833EA"/>
    <w:rsid w:val="383B6C0C"/>
    <w:rsid w:val="38A860D5"/>
    <w:rsid w:val="39357462"/>
    <w:rsid w:val="394447CB"/>
    <w:rsid w:val="3958093D"/>
    <w:rsid w:val="395D6A8A"/>
    <w:rsid w:val="39767D79"/>
    <w:rsid w:val="3A2314A6"/>
    <w:rsid w:val="3A4A2FFC"/>
    <w:rsid w:val="3AC30131"/>
    <w:rsid w:val="3AF359C7"/>
    <w:rsid w:val="3B0D0586"/>
    <w:rsid w:val="3B1612F5"/>
    <w:rsid w:val="3B17587C"/>
    <w:rsid w:val="3B3F30F7"/>
    <w:rsid w:val="3B3F34C9"/>
    <w:rsid w:val="3B4158C1"/>
    <w:rsid w:val="3D181681"/>
    <w:rsid w:val="3D1941A5"/>
    <w:rsid w:val="3D662951"/>
    <w:rsid w:val="3D9A102B"/>
    <w:rsid w:val="3DF23726"/>
    <w:rsid w:val="3E062E24"/>
    <w:rsid w:val="3E0D1FA5"/>
    <w:rsid w:val="3E1627C5"/>
    <w:rsid w:val="3E401A87"/>
    <w:rsid w:val="3ED11E87"/>
    <w:rsid w:val="3EF377D8"/>
    <w:rsid w:val="3FE15C04"/>
    <w:rsid w:val="3FFF527D"/>
    <w:rsid w:val="40065998"/>
    <w:rsid w:val="401C2BC8"/>
    <w:rsid w:val="40A518D7"/>
    <w:rsid w:val="40E379C0"/>
    <w:rsid w:val="40E5659C"/>
    <w:rsid w:val="40E943B5"/>
    <w:rsid w:val="41003655"/>
    <w:rsid w:val="41422E3F"/>
    <w:rsid w:val="41640767"/>
    <w:rsid w:val="41E41D9B"/>
    <w:rsid w:val="41E628C2"/>
    <w:rsid w:val="424F5344"/>
    <w:rsid w:val="42B353E8"/>
    <w:rsid w:val="42E74BBF"/>
    <w:rsid w:val="43001D1D"/>
    <w:rsid w:val="435E2F5F"/>
    <w:rsid w:val="435E6F5E"/>
    <w:rsid w:val="439505CB"/>
    <w:rsid w:val="439B0954"/>
    <w:rsid w:val="43A3592D"/>
    <w:rsid w:val="43E8093A"/>
    <w:rsid w:val="440C405D"/>
    <w:rsid w:val="441050D1"/>
    <w:rsid w:val="442F5697"/>
    <w:rsid w:val="447441D4"/>
    <w:rsid w:val="447C1FA2"/>
    <w:rsid w:val="449E2359"/>
    <w:rsid w:val="44F50ED2"/>
    <w:rsid w:val="45147F5E"/>
    <w:rsid w:val="45174B13"/>
    <w:rsid w:val="45472955"/>
    <w:rsid w:val="45835892"/>
    <w:rsid w:val="45835909"/>
    <w:rsid w:val="45965B74"/>
    <w:rsid w:val="45B93567"/>
    <w:rsid w:val="45BB57FF"/>
    <w:rsid w:val="45FC34E8"/>
    <w:rsid w:val="466D4ED2"/>
    <w:rsid w:val="46A740CB"/>
    <w:rsid w:val="47B21012"/>
    <w:rsid w:val="47BC303C"/>
    <w:rsid w:val="47D155C6"/>
    <w:rsid w:val="47D918D1"/>
    <w:rsid w:val="47E83B9F"/>
    <w:rsid w:val="47F577FC"/>
    <w:rsid w:val="481B4892"/>
    <w:rsid w:val="482A56B4"/>
    <w:rsid w:val="48381086"/>
    <w:rsid w:val="484F53AA"/>
    <w:rsid w:val="484F7C95"/>
    <w:rsid w:val="488B1E00"/>
    <w:rsid w:val="48B93857"/>
    <w:rsid w:val="49043B5D"/>
    <w:rsid w:val="490D5EFC"/>
    <w:rsid w:val="492719BA"/>
    <w:rsid w:val="493179D0"/>
    <w:rsid w:val="49C43C2A"/>
    <w:rsid w:val="4A201D54"/>
    <w:rsid w:val="4A2C6609"/>
    <w:rsid w:val="4A767856"/>
    <w:rsid w:val="4ABE24EA"/>
    <w:rsid w:val="4AF22757"/>
    <w:rsid w:val="4BB52CEA"/>
    <w:rsid w:val="4BBF06B5"/>
    <w:rsid w:val="4C0B2905"/>
    <w:rsid w:val="4C450CA5"/>
    <w:rsid w:val="4CAD1C51"/>
    <w:rsid w:val="4D320A35"/>
    <w:rsid w:val="4D5F1CB8"/>
    <w:rsid w:val="4D8508E8"/>
    <w:rsid w:val="4DEB3B20"/>
    <w:rsid w:val="4F4F29D2"/>
    <w:rsid w:val="4F781075"/>
    <w:rsid w:val="4F94412D"/>
    <w:rsid w:val="50235562"/>
    <w:rsid w:val="5037420C"/>
    <w:rsid w:val="503927AC"/>
    <w:rsid w:val="508407E0"/>
    <w:rsid w:val="50FC3859"/>
    <w:rsid w:val="5104745B"/>
    <w:rsid w:val="5119191F"/>
    <w:rsid w:val="518A16CE"/>
    <w:rsid w:val="51E24AFB"/>
    <w:rsid w:val="52336CD9"/>
    <w:rsid w:val="524B7A14"/>
    <w:rsid w:val="529B017B"/>
    <w:rsid w:val="532903FA"/>
    <w:rsid w:val="5340000E"/>
    <w:rsid w:val="5393335D"/>
    <w:rsid w:val="53E75583"/>
    <w:rsid w:val="54300454"/>
    <w:rsid w:val="54711823"/>
    <w:rsid w:val="54E257F2"/>
    <w:rsid w:val="54EA782C"/>
    <w:rsid w:val="551F6CA2"/>
    <w:rsid w:val="55325305"/>
    <w:rsid w:val="55416AE3"/>
    <w:rsid w:val="555F70B3"/>
    <w:rsid w:val="55760929"/>
    <w:rsid w:val="557C19CB"/>
    <w:rsid w:val="559B2713"/>
    <w:rsid w:val="55A33CCF"/>
    <w:rsid w:val="55F05FE1"/>
    <w:rsid w:val="564A386A"/>
    <w:rsid w:val="568F1F83"/>
    <w:rsid w:val="57BD33B0"/>
    <w:rsid w:val="57D42E49"/>
    <w:rsid w:val="58052EE6"/>
    <w:rsid w:val="581F228F"/>
    <w:rsid w:val="58D25E7A"/>
    <w:rsid w:val="58DF2B4E"/>
    <w:rsid w:val="590078CA"/>
    <w:rsid w:val="590F751C"/>
    <w:rsid w:val="596F3108"/>
    <w:rsid w:val="59976065"/>
    <w:rsid w:val="599938CA"/>
    <w:rsid w:val="5A0A1A84"/>
    <w:rsid w:val="5A0C61BF"/>
    <w:rsid w:val="5A1515AA"/>
    <w:rsid w:val="5A470896"/>
    <w:rsid w:val="5ACC1557"/>
    <w:rsid w:val="5B2F1BDC"/>
    <w:rsid w:val="5B4435F6"/>
    <w:rsid w:val="5B5814B0"/>
    <w:rsid w:val="5B6F757B"/>
    <w:rsid w:val="5BA80A2F"/>
    <w:rsid w:val="5C764796"/>
    <w:rsid w:val="5CA42351"/>
    <w:rsid w:val="5D317D0F"/>
    <w:rsid w:val="5D7950C5"/>
    <w:rsid w:val="5D8D7566"/>
    <w:rsid w:val="5DAB5BD9"/>
    <w:rsid w:val="5DB453D2"/>
    <w:rsid w:val="5DD508F5"/>
    <w:rsid w:val="5E197590"/>
    <w:rsid w:val="5E385D67"/>
    <w:rsid w:val="5E770E77"/>
    <w:rsid w:val="5E91079E"/>
    <w:rsid w:val="5E926419"/>
    <w:rsid w:val="5FA64F8C"/>
    <w:rsid w:val="5FD777FA"/>
    <w:rsid w:val="6052323F"/>
    <w:rsid w:val="61BB2A41"/>
    <w:rsid w:val="61FC0642"/>
    <w:rsid w:val="62273F90"/>
    <w:rsid w:val="629D6A68"/>
    <w:rsid w:val="633A06C9"/>
    <w:rsid w:val="63985A24"/>
    <w:rsid w:val="64186F24"/>
    <w:rsid w:val="642D15FD"/>
    <w:rsid w:val="644535E6"/>
    <w:rsid w:val="64757772"/>
    <w:rsid w:val="647B0F71"/>
    <w:rsid w:val="64A239B3"/>
    <w:rsid w:val="64A335AE"/>
    <w:rsid w:val="64AB3568"/>
    <w:rsid w:val="64AB3960"/>
    <w:rsid w:val="64B13239"/>
    <w:rsid w:val="64BE7A31"/>
    <w:rsid w:val="64C13E85"/>
    <w:rsid w:val="64E03E2A"/>
    <w:rsid w:val="656D4A38"/>
    <w:rsid w:val="65821D15"/>
    <w:rsid w:val="65832A98"/>
    <w:rsid w:val="659031FD"/>
    <w:rsid w:val="65A66AC7"/>
    <w:rsid w:val="66145212"/>
    <w:rsid w:val="6638767A"/>
    <w:rsid w:val="66DF3A4F"/>
    <w:rsid w:val="672515DC"/>
    <w:rsid w:val="67A37033"/>
    <w:rsid w:val="67E64096"/>
    <w:rsid w:val="683521D4"/>
    <w:rsid w:val="69204242"/>
    <w:rsid w:val="69A555DB"/>
    <w:rsid w:val="69B67FF1"/>
    <w:rsid w:val="6A345D5D"/>
    <w:rsid w:val="6A514A7D"/>
    <w:rsid w:val="6AF30915"/>
    <w:rsid w:val="6B1309F9"/>
    <w:rsid w:val="6B34618C"/>
    <w:rsid w:val="6B680CE9"/>
    <w:rsid w:val="6B7F108C"/>
    <w:rsid w:val="6B984C40"/>
    <w:rsid w:val="6BE85F80"/>
    <w:rsid w:val="6C407D44"/>
    <w:rsid w:val="6C5355BD"/>
    <w:rsid w:val="6C5C4C4B"/>
    <w:rsid w:val="6C6B731E"/>
    <w:rsid w:val="6C7C6830"/>
    <w:rsid w:val="6C9A3415"/>
    <w:rsid w:val="6C9F2589"/>
    <w:rsid w:val="6CA553CF"/>
    <w:rsid w:val="6CC30864"/>
    <w:rsid w:val="6CC777A5"/>
    <w:rsid w:val="6CC817A6"/>
    <w:rsid w:val="6CEE2AE1"/>
    <w:rsid w:val="6D7829E8"/>
    <w:rsid w:val="6DCD3A5F"/>
    <w:rsid w:val="6DD6004D"/>
    <w:rsid w:val="6DE733A9"/>
    <w:rsid w:val="6E0602CF"/>
    <w:rsid w:val="6EEA7554"/>
    <w:rsid w:val="6F0E5C8E"/>
    <w:rsid w:val="6FA57B89"/>
    <w:rsid w:val="70BF2104"/>
    <w:rsid w:val="70F839AA"/>
    <w:rsid w:val="71671CA0"/>
    <w:rsid w:val="719904E9"/>
    <w:rsid w:val="71CA4578"/>
    <w:rsid w:val="72216BAE"/>
    <w:rsid w:val="72222B0A"/>
    <w:rsid w:val="728A3570"/>
    <w:rsid w:val="728D05D6"/>
    <w:rsid w:val="72A30B2C"/>
    <w:rsid w:val="72CA029A"/>
    <w:rsid w:val="72D162A0"/>
    <w:rsid w:val="73240E4F"/>
    <w:rsid w:val="73316892"/>
    <w:rsid w:val="73794D10"/>
    <w:rsid w:val="73937D0B"/>
    <w:rsid w:val="73AA7FDD"/>
    <w:rsid w:val="73ED166E"/>
    <w:rsid w:val="741758F6"/>
    <w:rsid w:val="74635670"/>
    <w:rsid w:val="75351129"/>
    <w:rsid w:val="75611E37"/>
    <w:rsid w:val="758D7ED8"/>
    <w:rsid w:val="758E7AC5"/>
    <w:rsid w:val="75950846"/>
    <w:rsid w:val="75DC5C87"/>
    <w:rsid w:val="76103C79"/>
    <w:rsid w:val="76196509"/>
    <w:rsid w:val="76273975"/>
    <w:rsid w:val="76D51F4D"/>
    <w:rsid w:val="78912C70"/>
    <w:rsid w:val="789E4F87"/>
    <w:rsid w:val="78CF26DA"/>
    <w:rsid w:val="78E8109F"/>
    <w:rsid w:val="790B609D"/>
    <w:rsid w:val="79C75FAE"/>
    <w:rsid w:val="79F25970"/>
    <w:rsid w:val="79F276BB"/>
    <w:rsid w:val="7A0F625B"/>
    <w:rsid w:val="7A4776D8"/>
    <w:rsid w:val="7A5C3D99"/>
    <w:rsid w:val="7ACC079B"/>
    <w:rsid w:val="7B246DC6"/>
    <w:rsid w:val="7B876CDE"/>
    <w:rsid w:val="7BDB7308"/>
    <w:rsid w:val="7CD1648F"/>
    <w:rsid w:val="7CFC42E8"/>
    <w:rsid w:val="7DFD2201"/>
    <w:rsid w:val="7EF40074"/>
    <w:rsid w:val="7F13472A"/>
    <w:rsid w:val="7F1876BF"/>
    <w:rsid w:val="7F1B04A0"/>
    <w:rsid w:val="7F3D2777"/>
    <w:rsid w:val="7FA32229"/>
    <w:rsid w:val="7FAF6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ocked="1"/>
    <w:lsdException w:qFormat="1" w:unhideWhenUsed="0"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ocked="1"/>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qFormat="1" w:unhideWhenUsed="0" w:uiPriority="0" w:name="Balloon Text"/>
    <w:lsdException w:qFormat="1" w:unhideWhenUsed="0" w:uiPriority="0"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5"/>
    <w:basedOn w:val="1"/>
    <w:next w:val="1"/>
    <w:qFormat/>
    <w:locked/>
    <w:uiPriority w:val="0"/>
    <w:pPr>
      <w:numPr>
        <w:ilvl w:val="4"/>
        <w:numId w:val="1"/>
      </w:numPr>
      <w:adjustRightInd w:val="0"/>
      <w:snapToGrid w:val="0"/>
      <w:spacing w:line="300" w:lineRule="auto"/>
      <w:outlineLvl w:val="4"/>
    </w:pPr>
    <w:rPr>
      <w:bCs/>
      <w:kern w:val="0"/>
      <w:sz w:val="24"/>
      <w:szCs w:val="28"/>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6">
    <w:name w:val="index 8"/>
    <w:basedOn w:val="1"/>
    <w:next w:val="1"/>
    <w:semiHidden/>
    <w:qFormat/>
    <w:uiPriority w:val="0"/>
    <w:pPr>
      <w:ind w:left="1680" w:hanging="210"/>
      <w:jc w:val="left"/>
    </w:pPr>
    <w:rPr>
      <w:sz w:val="20"/>
      <w:szCs w:val="20"/>
    </w:rPr>
  </w:style>
  <w:style w:type="paragraph" w:styleId="7">
    <w:name w:val="Normal Indent"/>
    <w:basedOn w:val="1"/>
    <w:qFormat/>
    <w:uiPriority w:val="0"/>
    <w:pPr>
      <w:autoSpaceDE w:val="0"/>
      <w:autoSpaceDN w:val="0"/>
      <w:adjustRightInd w:val="0"/>
      <w:snapToGrid w:val="0"/>
      <w:spacing w:line="300" w:lineRule="auto"/>
      <w:ind w:left="2" w:firstLine="538" w:firstLineChars="224"/>
    </w:pPr>
    <w:rPr>
      <w:sz w:val="24"/>
    </w:rPr>
  </w:style>
  <w:style w:type="paragraph" w:styleId="8">
    <w:name w:val="index 5"/>
    <w:basedOn w:val="1"/>
    <w:next w:val="1"/>
    <w:semiHidden/>
    <w:qFormat/>
    <w:uiPriority w:val="0"/>
    <w:pPr>
      <w:ind w:left="1050" w:hanging="210"/>
      <w:jc w:val="left"/>
    </w:pPr>
    <w:rPr>
      <w:sz w:val="20"/>
      <w:szCs w:val="20"/>
    </w:rPr>
  </w:style>
  <w:style w:type="paragraph" w:styleId="9">
    <w:name w:val="annotation text"/>
    <w:basedOn w:val="1"/>
    <w:semiHidden/>
    <w:qFormat/>
    <w:uiPriority w:val="0"/>
    <w:pPr>
      <w:jc w:val="left"/>
    </w:pPr>
  </w:style>
  <w:style w:type="paragraph" w:styleId="10">
    <w:name w:val="index 6"/>
    <w:basedOn w:val="1"/>
    <w:next w:val="1"/>
    <w:semiHidden/>
    <w:qFormat/>
    <w:uiPriority w:val="0"/>
    <w:pPr>
      <w:ind w:left="1260" w:hanging="210"/>
      <w:jc w:val="left"/>
    </w:pPr>
    <w:rPr>
      <w:sz w:val="20"/>
      <w:szCs w:val="20"/>
    </w:rPr>
  </w:style>
  <w:style w:type="paragraph" w:styleId="11">
    <w:name w:val="Body Text Indent"/>
    <w:basedOn w:val="1"/>
    <w:link w:val="44"/>
    <w:qFormat/>
    <w:uiPriority w:val="0"/>
    <w:pPr>
      <w:ind w:firstLine="475" w:firstLineChars="198"/>
    </w:pPr>
    <w:rPr>
      <w:sz w:val="24"/>
      <w:szCs w:val="20"/>
    </w:rPr>
  </w:style>
  <w:style w:type="paragraph" w:styleId="12">
    <w:name w:val="index 4"/>
    <w:basedOn w:val="1"/>
    <w:next w:val="1"/>
    <w:semiHidden/>
    <w:qFormat/>
    <w:uiPriority w:val="0"/>
    <w:pPr>
      <w:ind w:left="840" w:hanging="210"/>
      <w:jc w:val="left"/>
    </w:pPr>
    <w:rPr>
      <w:sz w:val="20"/>
      <w:szCs w:val="20"/>
    </w:rPr>
  </w:style>
  <w:style w:type="paragraph" w:styleId="13">
    <w:name w:val="toc 3"/>
    <w:basedOn w:val="1"/>
    <w:next w:val="1"/>
    <w:qFormat/>
    <w:uiPriority w:val="0"/>
    <w:pPr>
      <w:ind w:left="840" w:leftChars="400"/>
    </w:pPr>
    <w:rPr>
      <w:sz w:val="24"/>
    </w:rPr>
  </w:style>
  <w:style w:type="paragraph" w:styleId="14">
    <w:name w:val="Plain Text"/>
    <w:basedOn w:val="1"/>
    <w:link w:val="60"/>
    <w:qFormat/>
    <w:uiPriority w:val="0"/>
    <w:rPr>
      <w:rFonts w:ascii="宋体" w:hAnsi="Courier New" w:cs="Courier New"/>
      <w:szCs w:val="21"/>
    </w:rPr>
  </w:style>
  <w:style w:type="paragraph" w:styleId="15">
    <w:name w:val="index 3"/>
    <w:basedOn w:val="1"/>
    <w:next w:val="1"/>
    <w:semiHidden/>
    <w:qFormat/>
    <w:uiPriority w:val="0"/>
    <w:pPr>
      <w:ind w:left="630" w:hanging="210"/>
      <w:jc w:val="left"/>
    </w:pPr>
    <w:rPr>
      <w:sz w:val="20"/>
      <w:szCs w:val="20"/>
    </w:rPr>
  </w:style>
  <w:style w:type="paragraph" w:styleId="16">
    <w:name w:val="Date"/>
    <w:basedOn w:val="1"/>
    <w:next w:val="1"/>
    <w:link w:val="45"/>
    <w:qFormat/>
    <w:uiPriority w:val="0"/>
    <w:pPr>
      <w:ind w:left="100" w:leftChars="2500"/>
    </w:pPr>
  </w:style>
  <w:style w:type="paragraph" w:styleId="17">
    <w:name w:val="Balloon Text"/>
    <w:basedOn w:val="1"/>
    <w:semiHidden/>
    <w:qFormat/>
    <w:uiPriority w:val="0"/>
    <w:rPr>
      <w:sz w:val="18"/>
      <w:szCs w:val="18"/>
    </w:rPr>
  </w:style>
  <w:style w:type="paragraph" w:styleId="18">
    <w:name w:val="footer"/>
    <w:basedOn w:val="1"/>
    <w:link w:val="63"/>
    <w:qFormat/>
    <w:uiPriority w:val="0"/>
    <w:pPr>
      <w:tabs>
        <w:tab w:val="center" w:pos="4153"/>
        <w:tab w:val="right" w:pos="8306"/>
      </w:tabs>
      <w:snapToGrid w:val="0"/>
      <w:jc w:val="left"/>
    </w:pPr>
    <w:rPr>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rPr>
      <w:sz w:val="24"/>
    </w:rPr>
  </w:style>
  <w:style w:type="paragraph" w:styleId="21">
    <w:name w:val="index heading"/>
    <w:basedOn w:val="1"/>
    <w:next w:val="22"/>
    <w:semiHidden/>
    <w:qFormat/>
    <w:uiPriority w:val="0"/>
    <w:pPr>
      <w:jc w:val="left"/>
    </w:pPr>
    <w:rPr>
      <w:sz w:val="20"/>
      <w:szCs w:val="20"/>
    </w:rPr>
  </w:style>
  <w:style w:type="paragraph" w:styleId="22">
    <w:name w:val="index 1"/>
    <w:basedOn w:val="1"/>
    <w:next w:val="1"/>
    <w:semiHidden/>
    <w:qFormat/>
    <w:uiPriority w:val="0"/>
    <w:pPr>
      <w:ind w:left="210" w:hanging="210"/>
      <w:jc w:val="left"/>
    </w:pPr>
    <w:rPr>
      <w:sz w:val="20"/>
      <w:szCs w:val="20"/>
    </w:rPr>
  </w:style>
  <w:style w:type="paragraph" w:styleId="23">
    <w:name w:val="index 7"/>
    <w:basedOn w:val="1"/>
    <w:next w:val="1"/>
    <w:semiHidden/>
    <w:qFormat/>
    <w:uiPriority w:val="0"/>
    <w:pPr>
      <w:ind w:left="1470" w:hanging="210"/>
      <w:jc w:val="left"/>
    </w:pPr>
    <w:rPr>
      <w:sz w:val="20"/>
      <w:szCs w:val="20"/>
    </w:rPr>
  </w:style>
  <w:style w:type="paragraph" w:styleId="24">
    <w:name w:val="index 9"/>
    <w:basedOn w:val="1"/>
    <w:next w:val="1"/>
    <w:semiHidden/>
    <w:qFormat/>
    <w:uiPriority w:val="0"/>
    <w:pPr>
      <w:ind w:left="1890" w:hanging="210"/>
      <w:jc w:val="left"/>
    </w:pPr>
    <w:rPr>
      <w:sz w:val="20"/>
      <w:szCs w:val="20"/>
    </w:rPr>
  </w:style>
  <w:style w:type="paragraph" w:styleId="25">
    <w:name w:val="table of figures"/>
    <w:basedOn w:val="1"/>
    <w:next w:val="1"/>
    <w:semiHidden/>
    <w:qFormat/>
    <w:uiPriority w:val="0"/>
    <w:pPr>
      <w:ind w:left="200" w:leftChars="200" w:hanging="200" w:hangingChars="200"/>
    </w:pPr>
  </w:style>
  <w:style w:type="paragraph" w:styleId="26">
    <w:name w:val="toc 2"/>
    <w:basedOn w:val="1"/>
    <w:next w:val="1"/>
    <w:qFormat/>
    <w:uiPriority w:val="39"/>
    <w:pPr>
      <w:jc w:val="left"/>
    </w:pPr>
    <w:rPr>
      <w:sz w:val="24"/>
    </w:rPr>
  </w:style>
  <w:style w:type="paragraph" w:styleId="27">
    <w:name w:val="Normal (Web)"/>
    <w:basedOn w:val="1"/>
    <w:qFormat/>
    <w:uiPriority w:val="0"/>
    <w:pPr>
      <w:jc w:val="left"/>
    </w:pPr>
    <w:rPr>
      <w:kern w:val="0"/>
      <w:sz w:val="24"/>
    </w:rPr>
  </w:style>
  <w:style w:type="paragraph" w:styleId="28">
    <w:name w:val="index 2"/>
    <w:basedOn w:val="1"/>
    <w:next w:val="1"/>
    <w:semiHidden/>
    <w:qFormat/>
    <w:uiPriority w:val="0"/>
    <w:pPr>
      <w:ind w:left="420" w:hanging="210"/>
      <w:jc w:val="left"/>
    </w:pPr>
    <w:rPr>
      <w:sz w:val="20"/>
      <w:szCs w:val="20"/>
    </w:rPr>
  </w:style>
  <w:style w:type="paragraph" w:styleId="29">
    <w:name w:val="annotation subject"/>
    <w:basedOn w:val="9"/>
    <w:next w:val="9"/>
    <w:semiHidden/>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Strong"/>
    <w:qFormat/>
    <w:locked/>
    <w:uiPriority w:val="0"/>
    <w:rPr>
      <w:b/>
      <w:sz w:val="24"/>
      <w:szCs w:val="24"/>
    </w:rPr>
  </w:style>
  <w:style w:type="character" w:styleId="34">
    <w:name w:val="page number"/>
    <w:qFormat/>
    <w:uiPriority w:val="0"/>
    <w:rPr>
      <w:rFonts w:cs="Times New Roman"/>
    </w:rPr>
  </w:style>
  <w:style w:type="character" w:styleId="35">
    <w:name w:val="FollowedHyperlink"/>
    <w:qFormat/>
    <w:uiPriority w:val="0"/>
    <w:rPr>
      <w:color w:val="2A2A2A"/>
      <w:u w:val="none"/>
    </w:rPr>
  </w:style>
  <w:style w:type="character" w:styleId="36">
    <w:name w:val="Emphasis"/>
    <w:qFormat/>
    <w:locked/>
    <w:uiPriority w:val="0"/>
    <w:rPr>
      <w:color w:val="CC0000"/>
      <w:sz w:val="24"/>
      <w:szCs w:val="24"/>
    </w:rPr>
  </w:style>
  <w:style w:type="character" w:styleId="37">
    <w:name w:val="HTML Definition"/>
    <w:qFormat/>
    <w:uiPriority w:val="0"/>
  </w:style>
  <w:style w:type="character" w:styleId="38">
    <w:name w:val="HTML Acronym"/>
    <w:basedOn w:val="32"/>
    <w:qFormat/>
    <w:uiPriority w:val="0"/>
  </w:style>
  <w:style w:type="character" w:styleId="39">
    <w:name w:val="HTML Variable"/>
    <w:qFormat/>
    <w:uiPriority w:val="0"/>
  </w:style>
  <w:style w:type="character" w:styleId="40">
    <w:name w:val="Hyperlink"/>
    <w:basedOn w:val="32"/>
    <w:qFormat/>
    <w:uiPriority w:val="99"/>
    <w:rPr>
      <w:rFonts w:cs="Times New Roman"/>
      <w:color w:val="0000FF"/>
      <w:u w:val="single"/>
    </w:rPr>
  </w:style>
  <w:style w:type="character" w:styleId="41">
    <w:name w:val="HTML Code"/>
    <w:basedOn w:val="32"/>
    <w:qFormat/>
    <w:uiPriority w:val="0"/>
    <w:rPr>
      <w:rFonts w:ascii="Courier New" w:hAnsi="Courier New"/>
      <w:sz w:val="20"/>
    </w:rPr>
  </w:style>
  <w:style w:type="character" w:styleId="42">
    <w:name w:val="annotation reference"/>
    <w:semiHidden/>
    <w:qFormat/>
    <w:uiPriority w:val="0"/>
    <w:rPr>
      <w:rFonts w:cs="Times New Roman"/>
      <w:sz w:val="21"/>
      <w:szCs w:val="21"/>
    </w:rPr>
  </w:style>
  <w:style w:type="character" w:styleId="43">
    <w:name w:val="HTML Cite"/>
    <w:qFormat/>
    <w:uiPriority w:val="0"/>
    <w:rPr>
      <w:sz w:val="24"/>
      <w:szCs w:val="24"/>
    </w:rPr>
  </w:style>
  <w:style w:type="character" w:customStyle="1" w:styleId="44">
    <w:name w:val="正文文本缩进 Char"/>
    <w:link w:val="11"/>
    <w:qFormat/>
    <w:locked/>
    <w:uiPriority w:val="0"/>
    <w:rPr>
      <w:rFonts w:cs="Times New Roman"/>
      <w:kern w:val="2"/>
      <w:sz w:val="24"/>
    </w:rPr>
  </w:style>
  <w:style w:type="character" w:customStyle="1" w:styleId="45">
    <w:name w:val="日期 Char"/>
    <w:link w:val="16"/>
    <w:qFormat/>
    <w:uiPriority w:val="0"/>
    <w:rPr>
      <w:kern w:val="2"/>
      <w:sz w:val="21"/>
      <w:szCs w:val="24"/>
    </w:rPr>
  </w:style>
  <w:style w:type="character" w:customStyle="1" w:styleId="46">
    <w:name w:val="段 Char"/>
    <w:link w:val="47"/>
    <w:qFormat/>
    <w:locked/>
    <w:uiPriority w:val="0"/>
    <w:rPr>
      <w:rFonts w:ascii="宋体"/>
      <w:sz w:val="21"/>
      <w:lang w:val="en-US" w:eastAsia="zh-CN" w:bidi="ar-SA"/>
    </w:rPr>
  </w:style>
  <w:style w:type="paragraph" w:customStyle="1" w:styleId="47">
    <w:name w:val="段"/>
    <w:link w:val="4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8">
    <w:name w:val="hover39"/>
    <w:qFormat/>
    <w:uiPriority w:val="0"/>
    <w:rPr>
      <w:color w:val="3EAF0E"/>
    </w:rPr>
  </w:style>
  <w:style w:type="character" w:customStyle="1" w:styleId="49">
    <w:name w:val="youfu"/>
    <w:qFormat/>
    <w:uiPriority w:val="0"/>
    <w:rPr>
      <w:color w:val="FF0000"/>
      <w:u w:val="single"/>
    </w:rPr>
  </w:style>
  <w:style w:type="character" w:customStyle="1" w:styleId="50">
    <w:name w:val="txtleft"/>
    <w:basedOn w:val="32"/>
    <w:qFormat/>
    <w:uiPriority w:val="0"/>
  </w:style>
  <w:style w:type="character" w:customStyle="1" w:styleId="51">
    <w:name w:val="Placeholder Text"/>
    <w:semiHidden/>
    <w:qFormat/>
    <w:uiPriority w:val="0"/>
    <w:rPr>
      <w:rFonts w:cs="Times New Roman"/>
      <w:color w:val="808080"/>
    </w:rPr>
  </w:style>
  <w:style w:type="character" w:customStyle="1" w:styleId="52">
    <w:name w:val="mr-prof"/>
    <w:basedOn w:val="32"/>
    <w:qFormat/>
    <w:uiPriority w:val="0"/>
  </w:style>
  <w:style w:type="character" w:customStyle="1" w:styleId="53">
    <w:name w:val="s16"/>
    <w:qFormat/>
    <w:uiPriority w:val="0"/>
    <w:rPr>
      <w:color w:val="DDDDDD"/>
      <w:sz w:val="18"/>
      <w:szCs w:val="18"/>
    </w:rPr>
  </w:style>
  <w:style w:type="character" w:customStyle="1" w:styleId="54">
    <w:name w:val="datespan"/>
    <w:qFormat/>
    <w:uiPriority w:val="0"/>
    <w:rPr>
      <w:color w:val="CCCCCC"/>
    </w:rPr>
  </w:style>
  <w:style w:type="character" w:customStyle="1" w:styleId="55">
    <w:name w:val="页眉 Char"/>
    <w:link w:val="19"/>
    <w:qFormat/>
    <w:locked/>
    <w:uiPriority w:val="0"/>
    <w:rPr>
      <w:rFonts w:eastAsia="宋体" w:cs="Times New Roman"/>
      <w:kern w:val="2"/>
      <w:sz w:val="18"/>
      <w:szCs w:val="18"/>
      <w:lang w:val="en-US" w:eastAsia="zh-CN" w:bidi="ar-SA"/>
    </w:rPr>
  </w:style>
  <w:style w:type="character" w:customStyle="1" w:styleId="56">
    <w:name w:val="marginbottom10px2"/>
    <w:basedOn w:val="32"/>
    <w:qFormat/>
    <w:uiPriority w:val="0"/>
  </w:style>
  <w:style w:type="character" w:customStyle="1" w:styleId="57">
    <w:name w:val="del_marginbottom2"/>
    <w:basedOn w:val="32"/>
    <w:qFormat/>
    <w:uiPriority w:val="0"/>
  </w:style>
  <w:style w:type="character" w:customStyle="1" w:styleId="58">
    <w:name w:val="txtright2"/>
    <w:basedOn w:val="32"/>
    <w:qFormat/>
    <w:uiPriority w:val="0"/>
  </w:style>
  <w:style w:type="character" w:customStyle="1" w:styleId="59">
    <w:name w:val="mid2"/>
    <w:basedOn w:val="32"/>
    <w:qFormat/>
    <w:uiPriority w:val="0"/>
  </w:style>
  <w:style w:type="character" w:customStyle="1" w:styleId="60">
    <w:name w:val="纯文本 Char"/>
    <w:link w:val="14"/>
    <w:qFormat/>
    <w:locked/>
    <w:uiPriority w:val="0"/>
    <w:rPr>
      <w:rFonts w:ascii="宋体" w:hAnsi="Courier New" w:eastAsia="宋体" w:cs="Courier New"/>
      <w:kern w:val="2"/>
      <w:sz w:val="21"/>
      <w:szCs w:val="21"/>
      <w:lang w:val="en-US" w:eastAsia="zh-CN" w:bidi="ar-SA"/>
    </w:rPr>
  </w:style>
  <w:style w:type="character" w:customStyle="1" w:styleId="61">
    <w:name w:val="zuofu"/>
    <w:basedOn w:val="32"/>
    <w:qFormat/>
    <w:uiPriority w:val="0"/>
  </w:style>
  <w:style w:type="character" w:customStyle="1" w:styleId="62">
    <w:name w:val="btn-task-gray2"/>
    <w:qFormat/>
    <w:uiPriority w:val="0"/>
    <w:rPr>
      <w:color w:val="FFFFFF"/>
      <w:u w:val="none"/>
      <w:shd w:val="clear" w:color="auto" w:fill="CCCCCC"/>
    </w:rPr>
  </w:style>
  <w:style w:type="character" w:customStyle="1" w:styleId="63">
    <w:name w:val="页脚 Char"/>
    <w:link w:val="18"/>
    <w:qFormat/>
    <w:locked/>
    <w:uiPriority w:val="0"/>
    <w:rPr>
      <w:rFonts w:eastAsia="宋体" w:cs="Times New Roman"/>
      <w:kern w:val="2"/>
      <w:sz w:val="18"/>
      <w:szCs w:val="18"/>
      <w:lang w:val="en-US" w:eastAsia="zh-CN" w:bidi="ar-SA"/>
    </w:rPr>
  </w:style>
  <w:style w:type="paragraph" w:customStyle="1" w:styleId="64">
    <w:name w:val="List Paragraph"/>
    <w:basedOn w:val="1"/>
    <w:qFormat/>
    <w:uiPriority w:val="0"/>
    <w:pPr>
      <w:ind w:firstLine="420" w:firstLineChars="200"/>
    </w:pPr>
  </w:style>
  <w:style w:type="paragraph" w:customStyle="1" w:styleId="65">
    <w:name w:val="TOC Heading"/>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66">
    <w:name w:val="Char Char Char Char"/>
    <w:basedOn w:val="1"/>
    <w:next w:val="1"/>
    <w:qFormat/>
    <w:uiPriority w:val="0"/>
    <w:pPr>
      <w:spacing w:line="360" w:lineRule="auto"/>
      <w:jc w:val="left"/>
    </w:pPr>
    <w:rPr>
      <w:sz w:val="28"/>
    </w:rPr>
  </w:style>
  <w:style w:type="paragraph" w:customStyle="1" w:styleId="67">
    <w:name w:val="二级条标题"/>
    <w:basedOn w:val="1"/>
    <w:next w:val="47"/>
    <w:qFormat/>
    <w:uiPriority w:val="0"/>
    <w:pPr>
      <w:widowControl/>
      <w:jc w:val="left"/>
      <w:outlineLvl w:val="3"/>
    </w:pPr>
    <w:rPr>
      <w:rFonts w:eastAsia="黑体"/>
      <w:kern w:val="0"/>
      <w:szCs w:val="20"/>
    </w:rPr>
  </w:style>
  <w:style w:type="paragraph" w:customStyle="1" w:styleId="68">
    <w:name w:val="一级条标题"/>
    <w:next w:val="47"/>
    <w:qFormat/>
    <w:uiPriority w:val="0"/>
    <w:pPr>
      <w:outlineLvl w:val="2"/>
    </w:pPr>
    <w:rPr>
      <w:rFonts w:ascii="Times New Roman" w:hAnsi="Times New Roman" w:eastAsia="黑体" w:cs="Times New Roman"/>
      <w:sz w:val="21"/>
      <w:lang w:val="en-US" w:eastAsia="zh-CN" w:bidi="ar-SA"/>
    </w:rPr>
  </w:style>
  <w:style w:type="paragraph" w:customStyle="1" w:styleId="69">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character" w:customStyle="1" w:styleId="70">
    <w:name w:val="focus"/>
    <w:basedOn w:val="3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966</Words>
  <Characters>5507</Characters>
  <Lines>45</Lines>
  <Paragraphs>12</Paragraphs>
  <TotalTime>1</TotalTime>
  <ScaleCrop>false</ScaleCrop>
  <LinksUpToDate>false</LinksUpToDate>
  <CharactersWithSpaces>6461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2020-04-24T01:07:00Z</dcterms:created>
  <dc:creator>User</dc:creator>
  <cp:lastModifiedBy>滔滔</cp:lastModifiedBy>
  <cp:lastPrinted>2014-07-10T12:13:00Z</cp:lastPrinted>
  <dcterms:modified xsi:type="dcterms:W3CDTF">2021-01-21T09:48:40Z</dcterms:modified>
  <dc:title>_</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