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95"/>
        <w:gridCol w:w="847"/>
        <w:gridCol w:w="573"/>
        <w:gridCol w:w="951"/>
        <w:gridCol w:w="752"/>
        <w:gridCol w:w="874"/>
        <w:gridCol w:w="701"/>
        <w:gridCol w:w="762"/>
        <w:gridCol w:w="690"/>
        <w:gridCol w:w="629"/>
        <w:gridCol w:w="60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44"/>
                <w:szCs w:val="44"/>
              </w:rPr>
              <w:t>20</w:t>
            </w:r>
            <w:r>
              <w:rPr>
                <w:rFonts w:hint="eastAsia"/>
                <w:b/>
                <w:bCs/>
                <w:sz w:val="44"/>
                <w:szCs w:val="44"/>
              </w:rPr>
              <w:t>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44"/>
                <w:szCs w:val="44"/>
              </w:rPr>
              <w:t>年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44"/>
                <w:szCs w:val="44"/>
              </w:rPr>
              <w:t>月各地州专利授权状况表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地州市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年累计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乌鲁木齐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昌吉州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克拉玛依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石河子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博州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塔城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阿勒泰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吐鲁番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哈密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巴州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阿克苏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喀什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和田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克州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年累计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</w:tbl>
    <w:p>
      <w:pPr>
        <w:widowControl/>
        <w:jc w:val="center"/>
      </w:pPr>
      <w:r>
        <w:drawing>
          <wp:inline distT="0" distB="0" distL="114300" distR="114300">
            <wp:extent cx="5144135" cy="2886710"/>
            <wp:effectExtent l="0" t="0" r="18415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截至202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月各地州市有效发明专利状况表</w:t>
      </w:r>
    </w:p>
    <w:p>
      <w:pPr>
        <w:jc w:val="right"/>
        <w:rPr>
          <w:b/>
        </w:rPr>
      </w:pPr>
      <w:r>
        <w:rPr>
          <w:rFonts w:hint="eastAsia"/>
          <w:b/>
        </w:rPr>
        <w:t>单位：件</w:t>
      </w:r>
    </w:p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61"/>
        <w:gridCol w:w="1034"/>
        <w:gridCol w:w="1718"/>
        <w:gridCol w:w="1718"/>
        <w:gridCol w:w="171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乌鲁木齐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5926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昌吉州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克拉玛依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石河子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伊犁州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博州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塔城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阿勒泰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吐鲁番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哈密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巴州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阿克苏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喀什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和田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克州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  计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10766</w:t>
            </w:r>
          </w:p>
        </w:tc>
        <w:tc>
          <w:tcPr>
            <w:tcW w:w="10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6925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7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</w:tr>
    </w:tbl>
    <w:p/>
    <w:p>
      <w:r>
        <w:rPr>
          <w:rFonts w:hint="eastAsia"/>
        </w:rPr>
        <w:t>注：以上数据均含兵团部分</w:t>
      </w: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4572000" cy="274320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ZTM3MWJkYjE2NTBjZTY1ZjczZTVlOTU2OTcyZTcifQ=="/>
  </w:docVars>
  <w:rsids>
    <w:rsidRoot w:val="00172A27"/>
    <w:rsid w:val="001C56E9"/>
    <w:rsid w:val="003019CA"/>
    <w:rsid w:val="003331BA"/>
    <w:rsid w:val="00436DE8"/>
    <w:rsid w:val="00612A72"/>
    <w:rsid w:val="00640D48"/>
    <w:rsid w:val="006B27E8"/>
    <w:rsid w:val="006E009B"/>
    <w:rsid w:val="007E26BA"/>
    <w:rsid w:val="00874262"/>
    <w:rsid w:val="008E3E54"/>
    <w:rsid w:val="00902163"/>
    <w:rsid w:val="00906500"/>
    <w:rsid w:val="00B76730"/>
    <w:rsid w:val="00D51389"/>
    <w:rsid w:val="00D87C6D"/>
    <w:rsid w:val="00DC75D5"/>
    <w:rsid w:val="00F069E3"/>
    <w:rsid w:val="00F43BF2"/>
    <w:rsid w:val="00FB6C5D"/>
    <w:rsid w:val="1FE190A5"/>
    <w:rsid w:val="30A535A7"/>
    <w:rsid w:val="3EFE444B"/>
    <w:rsid w:val="4A29762C"/>
    <w:rsid w:val="4BB061AE"/>
    <w:rsid w:val="4F3FE28E"/>
    <w:rsid w:val="57FB8DB9"/>
    <w:rsid w:val="613F0F36"/>
    <w:rsid w:val="67DF5F84"/>
    <w:rsid w:val="6A2258DD"/>
    <w:rsid w:val="6BC76BDC"/>
    <w:rsid w:val="6D4F0319"/>
    <w:rsid w:val="767BF781"/>
    <w:rsid w:val="77577413"/>
    <w:rsid w:val="77CF9187"/>
    <w:rsid w:val="77FF512A"/>
    <w:rsid w:val="7F6988C4"/>
    <w:rsid w:val="9D73C6AC"/>
    <w:rsid w:val="9FFD8CF4"/>
    <w:rsid w:val="BAEF10DF"/>
    <w:rsid w:val="BBD10C36"/>
    <w:rsid w:val="BEF9EA0E"/>
    <w:rsid w:val="BFC9A857"/>
    <w:rsid w:val="DBF527D6"/>
    <w:rsid w:val="ECFE1D84"/>
    <w:rsid w:val="EFA77E87"/>
    <w:rsid w:val="EFFF3570"/>
    <w:rsid w:val="F3FFDDF2"/>
    <w:rsid w:val="F7D50E8A"/>
    <w:rsid w:val="F7FF48C3"/>
    <w:rsid w:val="FCFF2346"/>
    <w:rsid w:val="FD7A0968"/>
    <w:rsid w:val="FF7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home/ht706/7.&#19987;&#21033;&#25968;&#25454;/1&#26376;/&#25968;&#25454;&#26680;&#31639;/1&#26376;&#25968;&#25454;&#26680;&#31639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data/home/ht706/7.&#19987;&#21033;&#25968;&#25454;/1&#26376;/&#25968;&#25454;&#26680;&#31639;/1&#26376;&#25968;&#25454;&#26680;&#31639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[1月数据核算表.xlsx]授权!$F$3</c:f>
              <c:strCache>
                <c:ptCount val="1"/>
                <c:pt idx="0">
                  <c:v>发明专利</c:v>
                </c:pt>
              </c:strCache>
            </c:strRef>
          </c:tx>
          <c:invertIfNegative val="false"/>
          <c:dLbls>
            <c:delete val="true"/>
          </c:dLbls>
          <c:cat>
            <c:strRef>
              <c:f>[1月数据核算表.xlsx]授权!$B$4:$B$18</c:f>
              <c:strCache>
                <c:ptCount val="15"/>
                <c:pt idx="0">
                  <c:v>乌鲁木齐</c:v>
                </c:pt>
                <c:pt idx="1">
                  <c:v>昌吉州</c:v>
                </c:pt>
                <c:pt idx="2">
                  <c:v>克拉玛依</c:v>
                </c:pt>
                <c:pt idx="3">
                  <c:v>石河子</c:v>
                </c:pt>
                <c:pt idx="4">
                  <c:v>伊犁州</c:v>
                </c:pt>
                <c:pt idx="5">
                  <c:v>博州</c:v>
                </c:pt>
                <c:pt idx="6">
                  <c:v>塔城</c:v>
                </c:pt>
                <c:pt idx="7">
                  <c:v>阿勒泰</c:v>
                </c:pt>
                <c:pt idx="8">
                  <c:v>吐鲁番</c:v>
                </c:pt>
                <c:pt idx="9">
                  <c:v>哈密</c:v>
                </c:pt>
                <c:pt idx="10">
                  <c:v>巴州</c:v>
                </c:pt>
                <c:pt idx="11">
                  <c:v>阿克苏</c:v>
                </c:pt>
                <c:pt idx="12">
                  <c:v>喀什</c:v>
                </c:pt>
                <c:pt idx="13">
                  <c:v>和田</c:v>
                </c:pt>
                <c:pt idx="14">
                  <c:v>克州</c:v>
                </c:pt>
              </c:strCache>
            </c:strRef>
          </c:cat>
          <c:val>
            <c:numRef>
              <c:f>[1月数据核算表.xlsx]授权!$F$4:$F$18</c:f>
              <c:numCache>
                <c:formatCode>General</c:formatCode>
                <c:ptCount val="15"/>
                <c:pt idx="0">
                  <c:v>45</c:v>
                </c:pt>
                <c:pt idx="1">
                  <c:v>9</c:v>
                </c:pt>
                <c:pt idx="2">
                  <c:v>22</c:v>
                </c:pt>
                <c:pt idx="3">
                  <c:v>14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7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[1月数据核算表.xlsx]授权!$G$3</c:f>
              <c:strCache>
                <c:ptCount val="1"/>
                <c:pt idx="0">
                  <c:v>实用新型</c:v>
                </c:pt>
              </c:strCache>
            </c:strRef>
          </c:tx>
          <c:invertIfNegative val="false"/>
          <c:dLbls>
            <c:delete val="true"/>
          </c:dLbls>
          <c:cat>
            <c:strRef>
              <c:f>[1月数据核算表.xlsx]授权!$B$4:$B$18</c:f>
              <c:strCache>
                <c:ptCount val="15"/>
                <c:pt idx="0">
                  <c:v>乌鲁木齐</c:v>
                </c:pt>
                <c:pt idx="1">
                  <c:v>昌吉州</c:v>
                </c:pt>
                <c:pt idx="2">
                  <c:v>克拉玛依</c:v>
                </c:pt>
                <c:pt idx="3">
                  <c:v>石河子</c:v>
                </c:pt>
                <c:pt idx="4">
                  <c:v>伊犁州</c:v>
                </c:pt>
                <c:pt idx="5">
                  <c:v>博州</c:v>
                </c:pt>
                <c:pt idx="6">
                  <c:v>塔城</c:v>
                </c:pt>
                <c:pt idx="7">
                  <c:v>阿勒泰</c:v>
                </c:pt>
                <c:pt idx="8">
                  <c:v>吐鲁番</c:v>
                </c:pt>
                <c:pt idx="9">
                  <c:v>哈密</c:v>
                </c:pt>
                <c:pt idx="10">
                  <c:v>巴州</c:v>
                </c:pt>
                <c:pt idx="11">
                  <c:v>阿克苏</c:v>
                </c:pt>
                <c:pt idx="12">
                  <c:v>喀什</c:v>
                </c:pt>
                <c:pt idx="13">
                  <c:v>和田</c:v>
                </c:pt>
                <c:pt idx="14">
                  <c:v>克州</c:v>
                </c:pt>
              </c:strCache>
            </c:strRef>
          </c:cat>
          <c:val>
            <c:numRef>
              <c:f>[1月数据核算表.xlsx]授权!$G$4:$G$18</c:f>
              <c:numCache>
                <c:formatCode>General</c:formatCode>
                <c:ptCount val="15"/>
                <c:pt idx="0">
                  <c:v>376</c:v>
                </c:pt>
                <c:pt idx="1">
                  <c:v>158</c:v>
                </c:pt>
                <c:pt idx="2">
                  <c:v>71</c:v>
                </c:pt>
                <c:pt idx="3">
                  <c:v>47</c:v>
                </c:pt>
                <c:pt idx="4">
                  <c:v>108</c:v>
                </c:pt>
                <c:pt idx="5">
                  <c:v>19</c:v>
                </c:pt>
                <c:pt idx="6">
                  <c:v>45</c:v>
                </c:pt>
                <c:pt idx="7">
                  <c:v>11</c:v>
                </c:pt>
                <c:pt idx="8">
                  <c:v>27</c:v>
                </c:pt>
                <c:pt idx="9">
                  <c:v>51</c:v>
                </c:pt>
                <c:pt idx="10">
                  <c:v>71</c:v>
                </c:pt>
                <c:pt idx="11">
                  <c:v>97</c:v>
                </c:pt>
                <c:pt idx="12">
                  <c:v>82</c:v>
                </c:pt>
                <c:pt idx="13">
                  <c:v>25</c:v>
                </c:pt>
                <c:pt idx="14">
                  <c:v>8</c:v>
                </c:pt>
              </c:numCache>
            </c:numRef>
          </c:val>
        </c:ser>
        <c:ser>
          <c:idx val="2"/>
          <c:order val="2"/>
          <c:tx>
            <c:strRef>
              <c:f>[1月数据核算表.xlsx]授权!$H$3</c:f>
              <c:strCache>
                <c:ptCount val="1"/>
                <c:pt idx="0">
                  <c:v>外观设计</c:v>
                </c:pt>
              </c:strCache>
            </c:strRef>
          </c:tx>
          <c:invertIfNegative val="false"/>
          <c:dLbls>
            <c:delete val="true"/>
          </c:dLbls>
          <c:cat>
            <c:strRef>
              <c:f>[1月数据核算表.xlsx]授权!$B$4:$B$18</c:f>
              <c:strCache>
                <c:ptCount val="15"/>
                <c:pt idx="0">
                  <c:v>乌鲁木齐</c:v>
                </c:pt>
                <c:pt idx="1">
                  <c:v>昌吉州</c:v>
                </c:pt>
                <c:pt idx="2">
                  <c:v>克拉玛依</c:v>
                </c:pt>
                <c:pt idx="3">
                  <c:v>石河子</c:v>
                </c:pt>
                <c:pt idx="4">
                  <c:v>伊犁州</c:v>
                </c:pt>
                <c:pt idx="5">
                  <c:v>博州</c:v>
                </c:pt>
                <c:pt idx="6">
                  <c:v>塔城</c:v>
                </c:pt>
                <c:pt idx="7">
                  <c:v>阿勒泰</c:v>
                </c:pt>
                <c:pt idx="8">
                  <c:v>吐鲁番</c:v>
                </c:pt>
                <c:pt idx="9">
                  <c:v>哈密</c:v>
                </c:pt>
                <c:pt idx="10">
                  <c:v>巴州</c:v>
                </c:pt>
                <c:pt idx="11">
                  <c:v>阿克苏</c:v>
                </c:pt>
                <c:pt idx="12">
                  <c:v>喀什</c:v>
                </c:pt>
                <c:pt idx="13">
                  <c:v>和田</c:v>
                </c:pt>
                <c:pt idx="14">
                  <c:v>克州</c:v>
                </c:pt>
              </c:strCache>
            </c:strRef>
          </c:cat>
          <c:val>
            <c:numRef>
              <c:f>[1月数据核算表.xlsx]授权!$H$4:$H$18</c:f>
              <c:numCache>
                <c:formatCode>General</c:formatCode>
                <c:ptCount val="15"/>
                <c:pt idx="0">
                  <c:v>46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9</c:v>
                </c:pt>
                <c:pt idx="11">
                  <c:v>2</c:v>
                </c:pt>
                <c:pt idx="12">
                  <c:v>13</c:v>
                </c:pt>
                <c:pt idx="13">
                  <c:v>6</c:v>
                </c:pt>
                <c:pt idx="14">
                  <c:v>0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219654784"/>
        <c:axId val="219664768"/>
      </c:barChart>
      <c:catAx>
        <c:axId val="219654784"/>
        <c:scaling>
          <c:orientation val="minMax"/>
        </c:scaling>
        <c:delete val="fals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9664768"/>
        <c:crosses val="autoZero"/>
        <c:auto val="true"/>
        <c:lblAlgn val="ctr"/>
        <c:lblOffset val="100"/>
        <c:noMultiLvlLbl val="false"/>
      </c:catAx>
      <c:valAx>
        <c:axId val="219664768"/>
        <c:scaling>
          <c:orientation val="minMax"/>
        </c:scaling>
        <c:delete val="false"/>
        <c:axPos val="l"/>
        <c:majorGridlines/>
        <c:title>
          <c:tx>
            <c:rich>
              <a:bodyPr rot="0" spcFirstLastPara="0" vertOverflow="ellipsis" vert="eaVert" wrap="square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专利授权量（件）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333333333333333"/>
              <c:y val="0.140230387868183"/>
            </c:manualLayout>
          </c:layout>
          <c:overlay val="false"/>
        </c:title>
        <c:numFmt formatCode="General" sourceLinked="true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9654784"/>
        <c:crosses val="autoZero"/>
        <c:crossBetween val="between"/>
      </c:valAx>
      <c:dTable>
        <c:showHorzBorder val="true"/>
        <c:showVertBorder val="true"/>
        <c:showOutline val="true"/>
        <c:showKeys val="true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plotVisOnly val="true"/>
    <c:dispBlanksAs val="gap"/>
    <c:showDLblsOverMax val="false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[1月数据核算表.xlsx]有效!$B$1</c:f>
              <c:strCache>
                <c:ptCount val="1"/>
                <c:pt idx="0">
                  <c:v>合计</c:v>
                </c:pt>
              </c:strCache>
            </c:strRef>
          </c:tx>
          <c:invertIfNegative val="false"/>
          <c:dLbls>
            <c:delete val="true"/>
          </c:dLbls>
          <c:cat>
            <c:strRef>
              <c:f>[1月数据核算表.xlsx]有效!$A$2:$A$16</c:f>
              <c:strCache>
                <c:ptCount val="15"/>
                <c:pt idx="0">
                  <c:v>乌鲁木齐</c:v>
                </c:pt>
                <c:pt idx="1">
                  <c:v>昌吉州</c:v>
                </c:pt>
                <c:pt idx="2">
                  <c:v>克拉玛依</c:v>
                </c:pt>
                <c:pt idx="3">
                  <c:v>石河子</c:v>
                </c:pt>
                <c:pt idx="4">
                  <c:v>伊犁州</c:v>
                </c:pt>
                <c:pt idx="5">
                  <c:v>博州</c:v>
                </c:pt>
                <c:pt idx="6">
                  <c:v>塔城</c:v>
                </c:pt>
                <c:pt idx="7">
                  <c:v>阿勒泰</c:v>
                </c:pt>
                <c:pt idx="8">
                  <c:v>吐鲁番</c:v>
                </c:pt>
                <c:pt idx="9">
                  <c:v>哈密</c:v>
                </c:pt>
                <c:pt idx="10">
                  <c:v>巴州</c:v>
                </c:pt>
                <c:pt idx="11">
                  <c:v>阿克苏</c:v>
                </c:pt>
                <c:pt idx="12">
                  <c:v>喀什</c:v>
                </c:pt>
                <c:pt idx="13">
                  <c:v>和田</c:v>
                </c:pt>
                <c:pt idx="14">
                  <c:v>克州</c:v>
                </c:pt>
              </c:strCache>
            </c:strRef>
          </c:cat>
          <c:val>
            <c:numRef>
              <c:f>[1月数据核算表.xlsx]有效!$B$2:$B$16</c:f>
              <c:numCache>
                <c:formatCode>General</c:formatCode>
                <c:ptCount val="15"/>
                <c:pt idx="0">
                  <c:v>5926</c:v>
                </c:pt>
                <c:pt idx="1">
                  <c:v>552</c:v>
                </c:pt>
                <c:pt idx="2">
                  <c:v>1052</c:v>
                </c:pt>
                <c:pt idx="3">
                  <c:v>1213</c:v>
                </c:pt>
                <c:pt idx="4">
                  <c:v>355</c:v>
                </c:pt>
                <c:pt idx="5">
                  <c:v>71</c:v>
                </c:pt>
                <c:pt idx="6">
                  <c:v>74</c:v>
                </c:pt>
                <c:pt idx="7">
                  <c:v>94</c:v>
                </c:pt>
                <c:pt idx="8">
                  <c:v>104</c:v>
                </c:pt>
                <c:pt idx="9">
                  <c:v>186</c:v>
                </c:pt>
                <c:pt idx="10">
                  <c:v>363</c:v>
                </c:pt>
                <c:pt idx="11">
                  <c:v>567</c:v>
                </c:pt>
                <c:pt idx="12">
                  <c:v>142</c:v>
                </c:pt>
                <c:pt idx="13">
                  <c:v>48</c:v>
                </c:pt>
                <c:pt idx="14">
                  <c:v>19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220043520"/>
        <c:axId val="220065792"/>
      </c:barChart>
      <c:catAx>
        <c:axId val="220043520"/>
        <c:scaling>
          <c:orientation val="minMax"/>
        </c:scaling>
        <c:delete val="fals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0065792"/>
        <c:crosses val="autoZero"/>
        <c:auto val="true"/>
        <c:lblAlgn val="ctr"/>
        <c:lblOffset val="100"/>
        <c:noMultiLvlLbl val="false"/>
      </c:catAx>
      <c:valAx>
        <c:axId val="220065792"/>
        <c:scaling>
          <c:orientation val="minMax"/>
        </c:scaling>
        <c:delete val="false"/>
        <c:axPos val="l"/>
        <c:majorGridlines/>
        <c:title>
          <c:tx>
            <c:rich>
              <a:bodyPr rot="0" spcFirstLastPara="0" vertOverflow="ellipsis" vert="eaVert" wrap="square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有效发明专利拥有量（件）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120207786526684"/>
              <c:y val="0.140332458442695"/>
            </c:manualLayout>
          </c:layout>
          <c:overlay val="false"/>
        </c:title>
        <c:numFmt formatCode="General" sourceLinked="true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0043520"/>
        <c:crosses val="autoZero"/>
        <c:crossBetween val="between"/>
      </c:valAx>
      <c:dTable>
        <c:showHorzBorder val="true"/>
        <c:showVertBorder val="true"/>
        <c:showOutline val="true"/>
        <c:showKeys val="true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true"/>
    <c:dispBlanksAs val="gap"/>
    <c:showDLblsOverMax val="false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791</Characters>
  <Lines>8</Lines>
  <Paragraphs>2</Paragraphs>
  <TotalTime>0</TotalTime>
  <ScaleCrop>false</ScaleCrop>
  <LinksUpToDate>false</LinksUpToDate>
  <CharactersWithSpaces>793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2016-03-01T01:00:00Z</dcterms:created>
  <dc:creator>ss</dc:creator>
  <cp:lastModifiedBy>ht706</cp:lastModifiedBy>
  <dcterms:modified xsi:type="dcterms:W3CDTF">2025-03-06T11:27:18Z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F34DE46270EC43EBACCBC629105442CF_12</vt:lpwstr>
  </property>
</Properties>
</file>