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A5BDE">
      <w:pPr>
        <w:jc w:val="center"/>
        <w:rPr>
          <w:rFonts w:ascii="宋体" w:hAnsi="宋体" w:eastAsia="宋体" w:cs="Arial"/>
          <w:b/>
          <w:bCs/>
          <w:color w:val="auto"/>
          <w:sz w:val="48"/>
          <w:szCs w:val="48"/>
          <w:shd w:val="clear" w:color="auto" w:fill="auto"/>
        </w:rPr>
      </w:pPr>
    </w:p>
    <w:p w14:paraId="5CE08BA3">
      <w:pPr>
        <w:jc w:val="center"/>
        <w:rPr>
          <w:rFonts w:ascii="宋体" w:hAnsi="宋体" w:eastAsia="宋体" w:cs="Arial"/>
          <w:b/>
          <w:bCs/>
          <w:color w:val="auto"/>
          <w:sz w:val="48"/>
          <w:szCs w:val="48"/>
          <w:shd w:val="clear" w:color="auto" w:fill="auto"/>
        </w:rPr>
      </w:pPr>
    </w:p>
    <w:p w14:paraId="2B608375">
      <w:pPr>
        <w:spacing w:line="540" w:lineRule="exact"/>
        <w:jc w:val="center"/>
        <w:rPr>
          <w:rFonts w:hint="default" w:ascii="Times New Roman" w:hAnsi="Times New Roman" w:eastAsia="方正小标宋_GBK" w:cs="Times New Roman"/>
          <w:kern w:val="0"/>
          <w:sz w:val="48"/>
          <w:szCs w:val="48"/>
        </w:rPr>
      </w:pPr>
    </w:p>
    <w:p w14:paraId="4B6A6E09">
      <w:pPr>
        <w:spacing w:line="540" w:lineRule="exact"/>
        <w:jc w:val="center"/>
        <w:rPr>
          <w:rFonts w:hint="eastAsia" w:ascii="Times New Roman" w:hAnsi="Times New Roman" w:eastAsia="方正小标宋_GBK" w:cs="Times New Roman"/>
          <w:kern w:val="0"/>
          <w:sz w:val="48"/>
          <w:szCs w:val="48"/>
        </w:rPr>
      </w:pPr>
      <w:r>
        <w:rPr>
          <w:rFonts w:hint="eastAsia" w:ascii="Times New Roman" w:hAnsi="Times New Roman" w:eastAsia="方正小标宋_GBK" w:cs="Times New Roman"/>
          <w:kern w:val="0"/>
          <w:sz w:val="48"/>
          <w:szCs w:val="48"/>
        </w:rPr>
        <w:t>棉花监督管理专项项目支出绩效评价报告</w:t>
      </w:r>
    </w:p>
    <w:p w14:paraId="0D163F46">
      <w:pPr>
        <w:spacing w:line="540" w:lineRule="exact"/>
        <w:jc w:val="center"/>
        <w:rPr>
          <w:rFonts w:hint="default" w:ascii="Times New Roman" w:hAnsi="Times New Roman" w:eastAsia="方正小标宋_GBK" w:cs="Times New Roman"/>
          <w:b w:val="0"/>
          <w:bCs w:val="0"/>
          <w:kern w:val="0"/>
          <w:sz w:val="48"/>
          <w:szCs w:val="48"/>
        </w:rPr>
      </w:pPr>
    </w:p>
    <w:p w14:paraId="2C28A45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BF12FF7">
      <w:pPr>
        <w:spacing w:line="540" w:lineRule="exact"/>
        <w:jc w:val="center"/>
        <w:rPr>
          <w:rFonts w:hint="default" w:ascii="Times New Roman" w:hAnsi="Times New Roman" w:eastAsia="仿宋_GB2312" w:cs="Times New Roman"/>
          <w:kern w:val="0"/>
          <w:sz w:val="30"/>
          <w:szCs w:val="30"/>
        </w:rPr>
      </w:pPr>
    </w:p>
    <w:p w14:paraId="24846776">
      <w:pPr>
        <w:spacing w:line="540" w:lineRule="exact"/>
        <w:jc w:val="center"/>
        <w:rPr>
          <w:rFonts w:hint="default" w:ascii="Times New Roman" w:hAnsi="Times New Roman" w:eastAsia="仿宋_GB2312" w:cs="Times New Roman"/>
          <w:kern w:val="0"/>
          <w:sz w:val="30"/>
          <w:szCs w:val="30"/>
        </w:rPr>
      </w:pPr>
    </w:p>
    <w:p w14:paraId="58C16714">
      <w:pPr>
        <w:spacing w:line="540" w:lineRule="exact"/>
        <w:jc w:val="center"/>
        <w:rPr>
          <w:rFonts w:hint="default" w:ascii="Times New Roman" w:hAnsi="Times New Roman" w:eastAsia="仿宋_GB2312" w:cs="Times New Roman"/>
          <w:kern w:val="0"/>
          <w:sz w:val="30"/>
          <w:szCs w:val="30"/>
        </w:rPr>
      </w:pPr>
    </w:p>
    <w:p w14:paraId="141D8E8F">
      <w:pPr>
        <w:pStyle w:val="12"/>
        <w:rPr>
          <w:rFonts w:hint="default" w:ascii="Times New Roman" w:hAnsi="Times New Roman" w:cs="Times New Roman"/>
        </w:rPr>
      </w:pPr>
    </w:p>
    <w:p w14:paraId="25C7908C">
      <w:pPr>
        <w:spacing w:line="540" w:lineRule="exact"/>
        <w:jc w:val="center"/>
        <w:rPr>
          <w:rFonts w:hint="default" w:ascii="Times New Roman" w:hAnsi="Times New Roman" w:eastAsia="方正小标宋_GBK" w:cs="Times New Roman"/>
          <w:kern w:val="0"/>
          <w:sz w:val="48"/>
          <w:szCs w:val="48"/>
        </w:rPr>
      </w:pPr>
    </w:p>
    <w:p w14:paraId="0FBACBDA">
      <w:pPr>
        <w:spacing w:line="700" w:lineRule="exact"/>
        <w:ind w:firstLine="1440" w:firstLineChars="400"/>
        <w:jc w:val="left"/>
        <w:rPr>
          <w:rFonts w:hint="default" w:ascii="Times New Roman" w:hAnsi="Times New Roman" w:eastAsia="仿宋_GB2312" w:cs="Times New Roman"/>
          <w:kern w:val="0"/>
          <w:sz w:val="36"/>
          <w:szCs w:val="36"/>
          <w:lang w:val="en-US"/>
        </w:rPr>
      </w:pPr>
      <w:r>
        <w:rPr>
          <w:rFonts w:hint="default" w:ascii="Times New Roman" w:hAnsi="Times New Roman" w:eastAsia="仿宋_GB2312" w:cs="Times New Roman"/>
          <w:kern w:val="0"/>
          <w:sz w:val="36"/>
          <w:szCs w:val="36"/>
          <w:lang w:val="en-US"/>
        </w:rPr>
        <w:t>项目名称：棉花监督管理专项</w:t>
      </w:r>
    </w:p>
    <w:p w14:paraId="5B2C6990">
      <w:pPr>
        <w:spacing w:line="700" w:lineRule="exact"/>
        <w:ind w:firstLine="1440" w:firstLineChars="400"/>
        <w:jc w:val="left"/>
        <w:rPr>
          <w:rFonts w:hint="default" w:ascii="Times New Roman" w:hAnsi="Times New Roman" w:eastAsia="仿宋_GB2312" w:cs="Times New Roman"/>
          <w:kern w:val="0"/>
          <w:sz w:val="36"/>
          <w:szCs w:val="36"/>
          <w:lang w:val="en-US"/>
        </w:rPr>
      </w:pPr>
      <w:r>
        <w:rPr>
          <w:rFonts w:hint="default" w:ascii="Times New Roman" w:hAnsi="Times New Roman" w:eastAsia="仿宋_GB2312" w:cs="Times New Roman"/>
          <w:kern w:val="0"/>
          <w:sz w:val="36"/>
          <w:szCs w:val="36"/>
          <w:lang w:val="en-US"/>
        </w:rPr>
        <w:t>实施单位（公章）：新疆维吾尔自治区纤维质量监测中心</w:t>
      </w:r>
    </w:p>
    <w:p w14:paraId="69D431A4">
      <w:pPr>
        <w:spacing w:line="700" w:lineRule="exact"/>
        <w:ind w:firstLine="1440" w:firstLineChars="400"/>
        <w:jc w:val="left"/>
        <w:rPr>
          <w:rFonts w:hint="default" w:ascii="Times New Roman" w:hAnsi="Times New Roman" w:eastAsia="仿宋_GB2312" w:cs="Times New Roman"/>
          <w:kern w:val="0"/>
          <w:sz w:val="36"/>
          <w:szCs w:val="36"/>
          <w:lang w:val="en-US"/>
        </w:rPr>
      </w:pPr>
      <w:r>
        <w:rPr>
          <w:rFonts w:hint="default" w:ascii="Times New Roman" w:hAnsi="Times New Roman" w:eastAsia="仿宋_GB2312" w:cs="Times New Roman"/>
          <w:kern w:val="0"/>
          <w:sz w:val="36"/>
          <w:szCs w:val="36"/>
          <w:lang w:val="en-US"/>
        </w:rPr>
        <w:t>主管部门（公章）：新疆维吾尔自治区市场监督管理局</w:t>
      </w:r>
    </w:p>
    <w:p w14:paraId="1A67051F">
      <w:pPr>
        <w:spacing w:line="700" w:lineRule="exact"/>
        <w:ind w:firstLine="1440" w:firstLineChars="400"/>
        <w:jc w:val="left"/>
        <w:rPr>
          <w:rFonts w:hint="default" w:ascii="Times New Roman" w:hAnsi="Times New Roman" w:eastAsia="仿宋_GB2312" w:cs="Times New Roman"/>
          <w:kern w:val="0"/>
          <w:sz w:val="36"/>
          <w:szCs w:val="36"/>
          <w:lang w:val="en-US"/>
        </w:rPr>
      </w:pPr>
      <w:r>
        <w:rPr>
          <w:rFonts w:hint="default" w:ascii="Times New Roman" w:hAnsi="Times New Roman" w:eastAsia="仿宋_GB2312" w:cs="Times New Roman"/>
          <w:kern w:val="0"/>
          <w:sz w:val="36"/>
          <w:szCs w:val="36"/>
          <w:lang w:val="en-US"/>
        </w:rPr>
        <w:t>项目负责人（签章）：</w:t>
      </w:r>
      <w:r>
        <w:rPr>
          <w:rFonts w:hint="default" w:ascii="Times New Roman" w:hAnsi="Times New Roman" w:eastAsia="仿宋_GB2312" w:cs="Times New Roman"/>
          <w:kern w:val="0"/>
          <w:sz w:val="36"/>
          <w:szCs w:val="36"/>
          <w:lang w:val="en-US" w:eastAsia="zh-CN"/>
        </w:rPr>
        <w:t>杜卫东</w:t>
      </w:r>
    </w:p>
    <w:p w14:paraId="1F8D302F">
      <w:pPr>
        <w:spacing w:line="700" w:lineRule="exact"/>
        <w:ind w:firstLine="1440" w:firstLineChars="400"/>
        <w:jc w:val="left"/>
        <w:rPr>
          <w:rFonts w:hint="default" w:ascii="Times New Roman" w:hAnsi="Times New Roman" w:eastAsia="仿宋_GB2312" w:cs="Times New Roman"/>
          <w:kern w:val="0"/>
          <w:sz w:val="36"/>
          <w:szCs w:val="36"/>
          <w:lang w:val="en-US"/>
        </w:rPr>
      </w:pPr>
      <w:r>
        <w:rPr>
          <w:rFonts w:hint="default" w:ascii="Times New Roman" w:hAnsi="Times New Roman" w:eastAsia="仿宋_GB2312" w:cs="Times New Roman"/>
          <w:kern w:val="0"/>
          <w:sz w:val="36"/>
          <w:szCs w:val="36"/>
          <w:lang w:val="en-US"/>
        </w:rPr>
        <w:t>填报时间：</w:t>
      </w:r>
      <w:r>
        <w:rPr>
          <w:rFonts w:hint="default"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lang w:val="en-US"/>
        </w:rPr>
        <w:t>年</w:t>
      </w:r>
      <w:r>
        <w:rPr>
          <w:rFonts w:hint="default" w:ascii="Times New Roman" w:hAnsi="Times New Roman" w:eastAsia="仿宋_GB2312" w:cs="Times New Roman"/>
          <w:kern w:val="0"/>
          <w:sz w:val="36"/>
          <w:szCs w:val="36"/>
          <w:lang w:val="en-US" w:eastAsia="zh-CN"/>
        </w:rPr>
        <w:t>2</w:t>
      </w:r>
      <w:r>
        <w:rPr>
          <w:rFonts w:hint="default" w:ascii="Times New Roman" w:hAnsi="Times New Roman" w:eastAsia="仿宋_GB2312" w:cs="Times New Roman"/>
          <w:kern w:val="0"/>
          <w:sz w:val="36"/>
          <w:szCs w:val="36"/>
          <w:lang w:val="en-US"/>
        </w:rPr>
        <w:t>月</w:t>
      </w:r>
      <w:r>
        <w:rPr>
          <w:rFonts w:hint="default" w:ascii="Times New Roman" w:hAnsi="Times New Roman" w:eastAsia="仿宋_GB2312" w:cs="Times New Roman"/>
          <w:kern w:val="0"/>
          <w:sz w:val="36"/>
          <w:szCs w:val="36"/>
          <w:lang w:val="en-US" w:eastAsia="zh-CN"/>
        </w:rPr>
        <w:t>21</w:t>
      </w:r>
      <w:r>
        <w:rPr>
          <w:rFonts w:hint="default" w:ascii="Times New Roman" w:hAnsi="Times New Roman" w:eastAsia="仿宋_GB2312" w:cs="Times New Roman"/>
          <w:kern w:val="0"/>
          <w:sz w:val="36"/>
          <w:szCs w:val="36"/>
          <w:lang w:val="en-US"/>
        </w:rPr>
        <w:t>日</w:t>
      </w:r>
    </w:p>
    <w:p w14:paraId="55EC1B82">
      <w:pPr>
        <w:spacing w:line="560" w:lineRule="exact"/>
        <w:ind w:firstLine="720" w:firstLineChars="200"/>
        <w:jc w:val="left"/>
        <w:rPr>
          <w:rFonts w:hint="eastAsia" w:cs="Times New Roman"/>
          <w:kern w:val="0"/>
          <w:sz w:val="36"/>
          <w:szCs w:val="36"/>
          <w:lang w:val="en-US" w:eastAsia="zh-CN"/>
        </w:rPr>
      </w:pPr>
      <w:bookmarkStart w:id="0" w:name="_Toc68702112"/>
    </w:p>
    <w:p w14:paraId="5C0F2868">
      <w:pPr>
        <w:spacing w:line="560" w:lineRule="exact"/>
        <w:ind w:firstLine="720" w:firstLineChars="200"/>
        <w:rPr>
          <w:rFonts w:hint="eastAsia" w:cs="Times New Roman"/>
          <w:kern w:val="0"/>
          <w:sz w:val="36"/>
          <w:szCs w:val="36"/>
          <w:lang w:val="en-US" w:eastAsia="zh-CN"/>
        </w:rPr>
      </w:pPr>
    </w:p>
    <w:p w14:paraId="4C0717B2">
      <w:pPr>
        <w:spacing w:line="560" w:lineRule="exact"/>
        <w:ind w:firstLine="720" w:firstLineChars="200"/>
        <w:rPr>
          <w:rFonts w:hint="eastAsia" w:cs="Times New Roman"/>
          <w:kern w:val="0"/>
          <w:sz w:val="36"/>
          <w:szCs w:val="36"/>
          <w:lang w:val="en-US" w:eastAsia="zh-CN"/>
        </w:rPr>
      </w:pPr>
      <w:r>
        <w:rPr>
          <w:rFonts w:hint="eastAsia" w:cs="Times New Roman"/>
          <w:kern w:val="0"/>
          <w:sz w:val="36"/>
          <w:szCs w:val="36"/>
          <w:lang w:val="en-US" w:eastAsia="zh-CN"/>
        </w:rPr>
        <w:t xml:space="preserve">              </w:t>
      </w:r>
    </w:p>
    <w:p w14:paraId="4DBB0F11">
      <w:pPr>
        <w:spacing w:line="560" w:lineRule="exact"/>
        <w:ind w:firstLine="720" w:firstLineChars="200"/>
        <w:rPr>
          <w:rFonts w:hint="default" w:ascii="Times New Roman" w:hAnsi="Times New Roman" w:eastAsia="黑体" w:cs="Times New Roman"/>
          <w:bCs/>
          <w:sz w:val="32"/>
          <w:szCs w:val="32"/>
          <w:lang w:val="en-US" w:eastAsia="zh-CN"/>
        </w:rPr>
      </w:pPr>
      <w:r>
        <w:rPr>
          <w:rFonts w:hint="eastAsia" w:cs="Times New Roman"/>
          <w:kern w:val="0"/>
          <w:sz w:val="36"/>
          <w:szCs w:val="36"/>
          <w:lang w:val="en-US" w:eastAsia="zh-CN"/>
        </w:rPr>
        <w:t xml:space="preserve">                                                                                                                                                                                                                                                                                                                                                                                                                                                                                                                                     </w:t>
      </w:r>
    </w:p>
    <w:p w14:paraId="3DF67F8E">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5AB45935">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34B9DDD1">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bookmarkEnd w:id="0"/>
    <w:p w14:paraId="2DF98B3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val="0"/>
          <w:kern w:val="2"/>
          <w:sz w:val="32"/>
          <w:szCs w:val="32"/>
          <w:highlight w:val="none"/>
          <w:shd w:val="clear"/>
        </w:rPr>
      </w:pPr>
      <w:r>
        <w:rPr>
          <w:rFonts w:hint="default" w:ascii="Times New Roman" w:hAnsi="Times New Roman" w:eastAsia="仿宋_GB2312" w:cs="Times New Roman"/>
          <w:bCs w:val="0"/>
          <w:kern w:val="2"/>
          <w:sz w:val="32"/>
          <w:szCs w:val="32"/>
          <w:highlight w:val="none"/>
          <w:shd w:val="clear"/>
        </w:rPr>
        <w:t>为了加强对纤维制品及棉花包装物等产品质量的监督管理，提高产品质量，保障人民身体健康,维护消费者的合法权益，结合我区实际状况，依据《纤维制品质量监督管理办法》、《产品质量法》、《产品质量监督抽查管理暂行办法》等相关规定文件</w:t>
      </w:r>
      <w:r>
        <w:rPr>
          <w:rFonts w:hint="default" w:ascii="Times New Roman" w:hAnsi="Times New Roman" w:cs="Times New Roman"/>
          <w:bCs w:val="0"/>
          <w:kern w:val="2"/>
          <w:sz w:val="32"/>
          <w:szCs w:val="32"/>
          <w:highlight w:val="none"/>
          <w:shd w:val="clear"/>
          <w:lang w:eastAsia="zh-CN"/>
        </w:rPr>
        <w:t>的</w:t>
      </w:r>
      <w:r>
        <w:rPr>
          <w:rFonts w:hint="default" w:ascii="Times New Roman" w:hAnsi="Times New Roman" w:eastAsia="仿宋_GB2312" w:cs="Times New Roman"/>
          <w:bCs w:val="0"/>
          <w:kern w:val="2"/>
          <w:sz w:val="32"/>
          <w:szCs w:val="32"/>
          <w:highlight w:val="none"/>
          <w:shd w:val="clear"/>
        </w:rPr>
        <w:t>要求</w:t>
      </w:r>
      <w:r>
        <w:rPr>
          <w:rFonts w:hint="default" w:ascii="Times New Roman" w:hAnsi="Times New Roman" w:cs="Times New Roman"/>
          <w:bCs w:val="0"/>
          <w:kern w:val="2"/>
          <w:sz w:val="32"/>
          <w:szCs w:val="32"/>
          <w:highlight w:val="none"/>
          <w:shd w:val="clear"/>
          <w:lang w:val="en-US" w:eastAsia="zh-CN"/>
        </w:rPr>
        <w:t>实施</w:t>
      </w:r>
      <w:r>
        <w:rPr>
          <w:rFonts w:hint="default" w:ascii="Times New Roman" w:hAnsi="Times New Roman" w:eastAsia="仿宋_GB2312" w:cs="Times New Roman"/>
          <w:bCs w:val="0"/>
          <w:kern w:val="2"/>
          <w:sz w:val="32"/>
          <w:szCs w:val="32"/>
          <w:highlight w:val="none"/>
          <w:shd w:val="clear"/>
        </w:rPr>
        <w:t>纤维质量监督管理局开展纤维制品及棉花包装物等各类产品质量监督抽查工作。</w:t>
      </w:r>
    </w:p>
    <w:p w14:paraId="192B13F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pacing w:val="0"/>
          <w:sz w:val="32"/>
          <w:szCs w:val="32"/>
          <w:highlight w:val="none"/>
          <w:shd w:val="clear"/>
        </w:rPr>
      </w:pPr>
      <w:r>
        <w:rPr>
          <w:rFonts w:hint="default" w:ascii="Times New Roman" w:hAnsi="Times New Roman" w:eastAsia="仿宋_GB2312" w:cs="Times New Roman"/>
          <w:b w:val="0"/>
          <w:bCs w:val="0"/>
          <w:spacing w:val="0"/>
          <w:sz w:val="32"/>
          <w:szCs w:val="32"/>
          <w:highlight w:val="none"/>
          <w:shd w:val="clear"/>
        </w:rPr>
        <w:t>自治区纤维质量监测中心为充分调动技术人员的科技创新积极性，培养高水平专业技术人才，建立健全科研及标准化发展的工作运行机制，提高自治区纤维质量监测中心学术水平和综合竞争力。围绕纤检事业发展需要，为新疆纤维高质量发展宏观决策提供科学依据，有利于全疆纤维产业发展；有利于纤检技术进步，有利于创新纤检技术的科研攻关水平。</w:t>
      </w:r>
    </w:p>
    <w:p w14:paraId="091349A4">
      <w:pPr>
        <w:pStyle w:val="1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4958B1D5">
      <w:pPr>
        <w:spacing w:line="560" w:lineRule="exact"/>
        <w:ind w:firstLine="640" w:firstLineChars="200"/>
        <w:rPr>
          <w:rFonts w:hint="default" w:ascii="Times New Roman" w:hAnsi="Times New Roman" w:cs="Times New Roman"/>
          <w:sz w:val="32"/>
          <w:szCs w:val="32"/>
          <w:highlight w:val="none"/>
          <w:shd w:val="clear"/>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default" w:ascii="Times New Roman" w:hAnsi="Times New Roman" w:cs="Times New Roman"/>
          <w:sz w:val="32"/>
          <w:szCs w:val="32"/>
          <w:highlight w:val="none"/>
          <w:shd w:val="clear"/>
          <w:lang w:eastAsia="zh-CN"/>
        </w:rPr>
        <w:t>中心积极响应自治区八大产业集群，纤维及纺织品产业，承担棉花纤维和毛绒、麻、茧丝、化纤等非棉纤维、纺织品、棉花包装物及婴幼儿服装、学生校服、床上用品等纤维用品的检验检测、监督抽查等工作；</w:t>
      </w:r>
      <w:r>
        <w:rPr>
          <w:rFonts w:hint="default" w:ascii="Times New Roman" w:hAnsi="Times New Roman" w:cs="Times New Roman"/>
          <w:sz w:val="32"/>
          <w:szCs w:val="32"/>
          <w:highlight w:val="none"/>
          <w:shd w:val="clear"/>
          <w:lang w:val="en-US" w:eastAsia="zh-CN"/>
        </w:rPr>
        <w:t>进行课题项目、购买专用材料、检定设备等工作</w:t>
      </w:r>
      <w:r>
        <w:rPr>
          <w:rFonts w:hint="default" w:ascii="Times New Roman" w:hAnsi="Times New Roman" w:cs="Times New Roman"/>
          <w:sz w:val="32"/>
          <w:szCs w:val="32"/>
          <w:highlight w:val="none"/>
          <w:shd w:val="clear"/>
          <w:lang w:eastAsia="zh-CN"/>
        </w:rPr>
        <w:t>。</w:t>
      </w:r>
    </w:p>
    <w:p w14:paraId="307593F7">
      <w:pPr>
        <w:spacing w:line="560" w:lineRule="exact"/>
        <w:ind w:firstLine="640" w:firstLineChars="200"/>
        <w:rPr>
          <w:rFonts w:ascii="Times New Roman" w:hAnsi="Times New Roman" w:cs="Times New Roman"/>
          <w:sz w:val="32"/>
          <w:szCs w:val="32"/>
          <w:highlight w:val="none"/>
          <w:shd w:val="clear"/>
        </w:rPr>
      </w:pPr>
      <w:r>
        <w:rPr>
          <w:rFonts w:hint="default" w:ascii="Times New Roman" w:hAnsi="Times New Roman" w:cs="Times New Roman"/>
          <w:sz w:val="32"/>
          <w:szCs w:val="32"/>
          <w:highlight w:val="none"/>
          <w:shd w:val="clear"/>
        </w:rPr>
        <w:t>项目实施情况：本年度结合我区纤维产业发展实际，分别完成棉花纤维和毛绒、麻、茧丝、化纤等非棉纤维、纺织品、棉花包装物及婴幼儿服装、学生校服、床上用品等纤维用品的检验检测、监督抽查等工作，监督抽查完成率大于90%。经对实际完成值核对后，本年度我区棉花各项指标达成近五年来的最好质量水平，非棉纤维及其制品质量也稳中有升</w:t>
      </w:r>
      <w:r>
        <w:rPr>
          <w:rFonts w:hint="default" w:ascii="Times New Roman" w:hAnsi="Times New Roman" w:cs="Times New Roman"/>
          <w:sz w:val="32"/>
          <w:szCs w:val="32"/>
          <w:highlight w:val="none"/>
          <w:shd w:val="clear"/>
          <w:lang w:eastAsia="zh-CN"/>
        </w:rPr>
        <w:t>；</w:t>
      </w:r>
      <w:r>
        <w:rPr>
          <w:rFonts w:hint="default" w:ascii="Times New Roman" w:hAnsi="Times New Roman" w:cs="Times New Roman"/>
          <w:sz w:val="32"/>
          <w:szCs w:val="32"/>
          <w:highlight w:val="none"/>
          <w:shd w:val="clear"/>
        </w:rPr>
        <w:t>本年度完成项目可行性论证研究报告4项，申报软件著作权3个，申报专利4项，完成项目中期报告4项，完成科研管理制度3项，全年课题项目进度均已达85%以上。全年购买专用材料4个批次，完成本中心仪器设备检定116台件，专用设备维修检定合格率100%。经对实际完成值核对后，本年度我中心加强内部管理，使各项能力得到很大提升。</w:t>
      </w:r>
    </w:p>
    <w:p w14:paraId="672A1C4E">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64B8E369">
      <w:pPr>
        <w:shd w:val="clear"/>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6B80211B">
      <w:pPr>
        <w:spacing w:line="560" w:lineRule="exact"/>
        <w:ind w:firstLine="640" w:firstLineChars="200"/>
        <w:outlineLvl w:val="9"/>
        <w:rPr>
          <w:rFonts w:hint="default" w:ascii="Times New Roman" w:hAnsi="Times New Roman" w:eastAsia="仿宋_GB2312" w:cs="Times New Roman"/>
          <w:sz w:val="32"/>
          <w:szCs w:val="32"/>
          <w:highlight w:val="none"/>
          <w:shd w:val="clear"/>
        </w:rPr>
      </w:pPr>
      <w:r>
        <w:rPr>
          <w:rFonts w:hint="default" w:ascii="Times New Roman" w:hAnsi="Times New Roman" w:eastAsia="仿宋_GB2312" w:cs="Times New Roman"/>
          <w:sz w:val="32"/>
          <w:szCs w:val="32"/>
          <w:highlight w:val="none"/>
          <w:shd w:val="clear"/>
        </w:rPr>
        <w:t>该项目年初预算数</w:t>
      </w:r>
      <w:r>
        <w:rPr>
          <w:rFonts w:hint="default" w:ascii="Times New Roman" w:hAnsi="Times New Roman" w:eastAsia="仿宋_GB2312" w:cs="Times New Roman"/>
          <w:sz w:val="32"/>
          <w:szCs w:val="32"/>
          <w:highlight w:val="none"/>
          <w:shd w:val="clear"/>
          <w:lang w:val="en-US" w:eastAsia="zh-CN"/>
        </w:rPr>
        <w:t>125</w:t>
      </w:r>
      <w:r>
        <w:rPr>
          <w:rFonts w:hint="default" w:ascii="Times New Roman" w:hAnsi="Times New Roman" w:eastAsia="仿宋_GB2312" w:cs="Times New Roman"/>
          <w:sz w:val="32"/>
          <w:szCs w:val="32"/>
          <w:highlight w:val="none"/>
          <w:shd w:val="clear"/>
        </w:rPr>
        <w:t>万元，全年预算数</w:t>
      </w:r>
      <w:r>
        <w:rPr>
          <w:rFonts w:hint="default" w:ascii="Times New Roman" w:hAnsi="Times New Roman" w:eastAsia="仿宋_GB2312" w:cs="Times New Roman"/>
          <w:sz w:val="32"/>
          <w:szCs w:val="32"/>
          <w:highlight w:val="none"/>
          <w:shd w:val="clear"/>
          <w:lang w:val="en-US" w:eastAsia="zh-CN"/>
        </w:rPr>
        <w:t>125</w:t>
      </w:r>
      <w:r>
        <w:rPr>
          <w:rFonts w:hint="default" w:ascii="Times New Roman" w:hAnsi="Times New Roman" w:eastAsia="仿宋_GB2312" w:cs="Times New Roman"/>
          <w:sz w:val="32"/>
          <w:szCs w:val="32"/>
          <w:highlight w:val="none"/>
          <w:shd w:val="clear"/>
        </w:rPr>
        <w:t>万元，该项目资金已全部落实到位，资金来源为</w:t>
      </w:r>
      <w:r>
        <w:rPr>
          <w:rFonts w:hint="default" w:ascii="Times New Roman" w:hAnsi="Times New Roman" w:eastAsia="仿宋_GB2312" w:cs="Times New Roman"/>
          <w:sz w:val="32"/>
          <w:szCs w:val="32"/>
          <w:highlight w:val="none"/>
          <w:shd w:val="clear"/>
          <w:lang w:eastAsia="zh-CN"/>
        </w:rPr>
        <w:t>财政拨款</w:t>
      </w:r>
      <w:r>
        <w:rPr>
          <w:rFonts w:hint="default" w:ascii="Times New Roman" w:hAnsi="Times New Roman" w:eastAsia="仿宋_GB2312" w:cs="Times New Roman"/>
          <w:sz w:val="32"/>
          <w:szCs w:val="32"/>
          <w:highlight w:val="none"/>
          <w:shd w:val="clear"/>
        </w:rPr>
        <w:t>。</w:t>
      </w:r>
    </w:p>
    <w:p w14:paraId="0493974A">
      <w:pPr>
        <w:shd w:val="clear"/>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FACEDE9">
      <w:pPr>
        <w:spacing w:line="560" w:lineRule="exact"/>
        <w:ind w:firstLine="640" w:firstLineChars="200"/>
        <w:outlineLvl w:val="9"/>
        <w:rPr>
          <w:rFonts w:hint="default" w:ascii="Times New Roman" w:hAnsi="Times New Roman" w:eastAsia="仿宋_GB2312" w:cs="Times New Roman"/>
          <w:sz w:val="32"/>
          <w:szCs w:val="32"/>
          <w:highlight w:val="none"/>
          <w:shd w:val="clear"/>
          <w:lang w:val="en-US" w:eastAsia="zh-CN"/>
        </w:rPr>
      </w:pPr>
      <w:r>
        <w:rPr>
          <w:rFonts w:hint="default" w:ascii="Times New Roman" w:hAnsi="Times New Roman" w:eastAsia="仿宋_GB2312" w:cs="Times New Roman"/>
          <w:sz w:val="32"/>
          <w:szCs w:val="32"/>
          <w:highlight w:val="none"/>
          <w:shd w:val="clear"/>
        </w:rPr>
        <w:t>该项目年初预算数</w:t>
      </w:r>
      <w:r>
        <w:rPr>
          <w:rFonts w:hint="default" w:ascii="Times New Roman" w:hAnsi="Times New Roman" w:eastAsia="仿宋_GB2312" w:cs="Times New Roman"/>
          <w:sz w:val="32"/>
          <w:szCs w:val="32"/>
          <w:highlight w:val="none"/>
          <w:shd w:val="clear"/>
          <w:lang w:val="en-US" w:eastAsia="zh-CN"/>
        </w:rPr>
        <w:t>125</w:t>
      </w:r>
      <w:r>
        <w:rPr>
          <w:rFonts w:hint="default" w:ascii="Times New Roman" w:hAnsi="Times New Roman" w:eastAsia="仿宋_GB2312" w:cs="Times New Roman"/>
          <w:sz w:val="32"/>
          <w:szCs w:val="32"/>
          <w:highlight w:val="none"/>
          <w:shd w:val="clear"/>
        </w:rPr>
        <w:t>万元，全年预算数</w:t>
      </w:r>
      <w:r>
        <w:rPr>
          <w:rFonts w:hint="default" w:ascii="Times New Roman" w:hAnsi="Times New Roman" w:eastAsia="仿宋_GB2312" w:cs="Times New Roman"/>
          <w:sz w:val="32"/>
          <w:szCs w:val="32"/>
          <w:highlight w:val="none"/>
          <w:shd w:val="clear"/>
          <w:lang w:val="en-US" w:eastAsia="zh-CN"/>
        </w:rPr>
        <w:t>125</w:t>
      </w:r>
      <w:r>
        <w:rPr>
          <w:rFonts w:hint="default" w:ascii="Times New Roman" w:hAnsi="Times New Roman" w:eastAsia="仿宋_GB2312" w:cs="Times New Roman"/>
          <w:sz w:val="32"/>
          <w:szCs w:val="32"/>
          <w:highlight w:val="none"/>
          <w:shd w:val="clear"/>
        </w:rPr>
        <w:t>万元，全年执行数</w:t>
      </w:r>
      <w:r>
        <w:rPr>
          <w:rFonts w:hint="default" w:ascii="Times New Roman" w:hAnsi="Times New Roman" w:eastAsia="仿宋_GB2312" w:cs="Times New Roman"/>
          <w:sz w:val="32"/>
          <w:szCs w:val="32"/>
          <w:highlight w:val="none"/>
          <w:shd w:val="clear"/>
          <w:lang w:val="en-US" w:eastAsia="zh-CN"/>
        </w:rPr>
        <w:t>125</w:t>
      </w:r>
      <w:r>
        <w:rPr>
          <w:rFonts w:hint="default" w:ascii="Times New Roman" w:hAnsi="Times New Roman" w:eastAsia="仿宋_GB2312" w:cs="Times New Roman"/>
          <w:sz w:val="32"/>
          <w:szCs w:val="32"/>
          <w:highlight w:val="none"/>
          <w:shd w:val="clear"/>
        </w:rPr>
        <w:t>万元，预算执行率为</w:t>
      </w:r>
      <w:r>
        <w:rPr>
          <w:rFonts w:hint="default" w:ascii="Times New Roman" w:hAnsi="Times New Roman" w:eastAsia="仿宋_GB2312" w:cs="Times New Roman"/>
          <w:sz w:val="32"/>
          <w:szCs w:val="32"/>
          <w:highlight w:val="none"/>
          <w:shd w:val="clear"/>
          <w:lang w:val="en-US" w:eastAsia="zh-CN"/>
        </w:rPr>
        <w:t>100</w:t>
      </w:r>
      <w:r>
        <w:rPr>
          <w:rFonts w:hint="default" w:ascii="Times New Roman" w:hAnsi="Times New Roman" w:eastAsia="仿宋_GB2312" w:cs="Times New Roman"/>
          <w:sz w:val="32"/>
          <w:szCs w:val="32"/>
          <w:highlight w:val="none"/>
          <w:shd w:val="clear"/>
        </w:rPr>
        <w:t>%，</w:t>
      </w:r>
      <w:r>
        <w:rPr>
          <w:rFonts w:hint="default" w:ascii="Times New Roman" w:hAnsi="Times New Roman" w:eastAsia="仿宋_GB2312" w:cs="Times New Roman"/>
          <w:sz w:val="32"/>
          <w:szCs w:val="32"/>
          <w:highlight w:val="none"/>
          <w:lang w:val="en-US" w:eastAsia="zh-CN"/>
        </w:rPr>
        <w:t>主要用于：</w:t>
      </w:r>
      <w:r>
        <w:rPr>
          <w:rFonts w:hint="default" w:ascii="Times New Roman" w:hAnsi="Times New Roman" w:eastAsia="仿宋_GB2312" w:cs="Times New Roman"/>
          <w:sz w:val="32"/>
          <w:szCs w:val="32"/>
          <w:highlight w:val="none"/>
          <w:shd w:val="clear"/>
          <w:lang w:eastAsia="zh-CN"/>
        </w:rPr>
        <w:t>办公费：</w:t>
      </w:r>
      <w:r>
        <w:rPr>
          <w:rFonts w:hint="default" w:ascii="Times New Roman" w:hAnsi="Times New Roman" w:eastAsia="仿宋_GB2312" w:cs="Times New Roman"/>
          <w:sz w:val="32"/>
          <w:szCs w:val="32"/>
          <w:highlight w:val="none"/>
          <w:shd w:val="clear"/>
          <w:lang w:val="en-US" w:eastAsia="zh-CN"/>
        </w:rPr>
        <w:t>82万元，差旅费4万元，劳务费2万元，维护维修费10万元，委托业务费8万元，专用材料费9万元，咨询费10万元。</w:t>
      </w:r>
    </w:p>
    <w:p w14:paraId="46100D4F">
      <w:pPr>
        <w:spacing w:line="560" w:lineRule="exact"/>
        <w:ind w:firstLine="643" w:firstLineChars="200"/>
        <w:rPr>
          <w:rFonts w:hint="default" w:ascii="Times New Roman" w:hAnsi="Times New Roman" w:eastAsia="楷体_GB2312" w:cs="Times New Roman"/>
          <w:b/>
          <w:bCs/>
          <w:sz w:val="32"/>
          <w:szCs w:val="32"/>
        </w:rPr>
      </w:pPr>
      <w:bookmarkStart w:id="1" w:name="_Toc68702114"/>
      <w:r>
        <w:rPr>
          <w:rFonts w:hint="default" w:ascii="Times New Roman" w:hAnsi="Times New Roman" w:eastAsia="楷体_GB2312" w:cs="Times New Roman"/>
          <w:b/>
          <w:bCs/>
          <w:sz w:val="32"/>
          <w:szCs w:val="32"/>
        </w:rPr>
        <w:t>（二）项目绩效目标</w:t>
      </w:r>
    </w:p>
    <w:bookmarkEnd w:id="1"/>
    <w:p w14:paraId="51125648">
      <w:pPr>
        <w:spacing w:line="560" w:lineRule="exact"/>
        <w:ind w:firstLine="640" w:firstLineChars="200"/>
        <w:outlineLvl w:val="0"/>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471B9112">
      <w:pPr>
        <w:spacing w:line="560" w:lineRule="exact"/>
        <w:ind w:firstLine="640" w:firstLineChars="200"/>
        <w:outlineLvl w:val="0"/>
        <w:rPr>
          <w:rFonts w:hint="default" w:ascii="Times New Roman" w:hAnsi="Times New Roman" w:eastAsia="仿宋_GB2312" w:cs="Times New Roman"/>
          <w:sz w:val="32"/>
          <w:szCs w:val="32"/>
          <w:highlight w:val="none"/>
          <w:shd w:val="clear"/>
        </w:rPr>
      </w:pPr>
      <w:r>
        <w:rPr>
          <w:rFonts w:hint="default" w:ascii="Times New Roman" w:hAnsi="Times New Roman" w:eastAsia="仿宋_GB2312" w:cs="Times New Roman"/>
          <w:sz w:val="32"/>
          <w:szCs w:val="32"/>
          <w:highlight w:val="none"/>
          <w:shd w:val="clear"/>
        </w:rPr>
        <w:t>承担棉花纤维和毛绒、麻、茧丝、化纤等非棉纤维、纺织品、棉花包装物及婴幼儿服装、学生校服、床上用品等纤维用品的检验检测、监督抽查等工作，监督抽查完成达到90%。</w:t>
      </w:r>
    </w:p>
    <w:p w14:paraId="7EE30C6B">
      <w:pPr>
        <w:spacing w:line="560" w:lineRule="exact"/>
        <w:ind w:firstLine="640" w:firstLineChars="200"/>
        <w:outlineLvl w:val="0"/>
        <w:rPr>
          <w:rFonts w:hint="default" w:ascii="Times New Roman" w:hAnsi="Times New Roman" w:eastAsia="仿宋_GB2312" w:cs="Times New Roman"/>
          <w:sz w:val="32"/>
          <w:szCs w:val="32"/>
          <w:highlight w:val="none"/>
          <w:shd w:val="clear"/>
        </w:rPr>
      </w:pPr>
      <w:r>
        <w:rPr>
          <w:rFonts w:hint="default" w:ascii="Times New Roman" w:hAnsi="Times New Roman" w:eastAsia="仿宋_GB2312" w:cs="Times New Roman"/>
          <w:sz w:val="32"/>
          <w:szCs w:val="32"/>
          <w:highlight w:val="none"/>
          <w:shd w:val="clear"/>
        </w:rPr>
        <w:t>目标2：课题项目进度达到85%。</w:t>
      </w:r>
    </w:p>
    <w:p w14:paraId="020D4AC6">
      <w:pPr>
        <w:spacing w:line="560" w:lineRule="exact"/>
        <w:ind w:firstLine="640" w:firstLineChars="200"/>
        <w:outlineLvl w:val="0"/>
        <w:rPr>
          <w:rFonts w:hint="default" w:ascii="Times New Roman" w:hAnsi="Times New Roman" w:eastAsia="仿宋_GB2312" w:cs="Times New Roman"/>
          <w:sz w:val="32"/>
          <w:szCs w:val="32"/>
          <w:highlight w:val="none"/>
          <w:shd w:val="clear"/>
        </w:rPr>
      </w:pPr>
      <w:r>
        <w:rPr>
          <w:rFonts w:hint="default" w:ascii="Times New Roman" w:hAnsi="Times New Roman" w:eastAsia="仿宋_GB2312" w:cs="Times New Roman"/>
          <w:sz w:val="32"/>
          <w:szCs w:val="32"/>
          <w:highlight w:val="none"/>
          <w:shd w:val="clear"/>
        </w:rPr>
        <w:t>目标3：全年按预算完成125万元。</w:t>
      </w:r>
    </w:p>
    <w:p w14:paraId="16042C56">
      <w:pPr>
        <w:spacing w:line="560" w:lineRule="exact"/>
        <w:ind w:firstLine="640"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14:paraId="758C77B4">
      <w:pPr>
        <w:spacing w:line="560" w:lineRule="exact"/>
        <w:ind w:firstLine="640" w:firstLineChars="200"/>
        <w:outlineLvl w:val="0"/>
        <w:rPr>
          <w:rFonts w:hint="default" w:ascii="Times New Roman" w:hAnsi="Times New Roman" w:eastAsia="仿宋_GB2312" w:cs="Times New Roman"/>
          <w:sz w:val="32"/>
          <w:szCs w:val="32"/>
          <w:highlight w:val="none"/>
          <w:shd w:val="clear"/>
          <w:lang w:val="en-US" w:eastAsia="zh-CN"/>
        </w:rPr>
      </w:pPr>
      <w:r>
        <w:rPr>
          <w:rFonts w:hint="default"/>
          <w:sz w:val="32"/>
          <w:szCs w:val="32"/>
          <w:highlight w:val="none"/>
          <w:lang w:eastAsia="zh-CN"/>
        </w:rPr>
        <w:t>第一阶段对全区棉花经营企业开展质量监督风险监测工作，完成整体质量评价体系。第二阶段在新棉上市后，对全区棉花生产加工企业开展质量监督抽查工作，完成质量风险监测评估。第三阶段对全年我区棉花质量监督检查工作进行整体评估。</w:t>
      </w:r>
    </w:p>
    <w:p w14:paraId="32EFB8E1">
      <w:pPr>
        <w:spacing w:line="560" w:lineRule="exact"/>
        <w:ind w:firstLine="640" w:firstLineChars="200"/>
        <w:rPr>
          <w:rFonts w:ascii="Times New Roman" w:hAnsi="Times New Roman" w:eastAsia="黑体"/>
          <w:sz w:val="32"/>
          <w:szCs w:val="32"/>
          <w:shd w:val="clear"/>
        </w:rPr>
      </w:pPr>
      <w:bookmarkStart w:id="2" w:name="_Toc68702115"/>
      <w:r>
        <w:rPr>
          <w:rFonts w:hint="default" w:ascii="Times New Roman" w:hAnsi="Times New Roman" w:eastAsia="黑体"/>
          <w:sz w:val="32"/>
          <w:szCs w:val="32"/>
          <w:shd w:val="clear"/>
        </w:rPr>
        <w:t>二、绩效评价工作开展情况</w:t>
      </w:r>
      <w:bookmarkEnd w:id="2"/>
    </w:p>
    <w:p w14:paraId="25D15507">
      <w:pPr>
        <w:spacing w:line="560" w:lineRule="exact"/>
        <w:ind w:firstLine="643" w:firstLineChars="200"/>
        <w:rPr>
          <w:rFonts w:hint="default" w:ascii="Times New Roman" w:hAnsi="Times New Roman" w:eastAsia="楷体_GB2312" w:cs="Times New Roman"/>
          <w:b/>
          <w:bCs/>
          <w:sz w:val="32"/>
          <w:szCs w:val="32"/>
        </w:rPr>
      </w:pPr>
      <w:bookmarkStart w:id="3" w:name="_Toc68702116"/>
      <w:r>
        <w:rPr>
          <w:rFonts w:hint="default" w:ascii="Times New Roman" w:hAnsi="Times New Roman" w:eastAsia="楷体_GB2312" w:cs="Times New Roman"/>
          <w:b/>
          <w:bCs/>
          <w:sz w:val="32"/>
          <w:szCs w:val="32"/>
        </w:rPr>
        <w:t>（一）绩效评价目的、对象和范围</w:t>
      </w:r>
    </w:p>
    <w:p w14:paraId="1BBF0A24">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0931710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2AE967E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cs="Times New Roman"/>
          <w:sz w:val="32"/>
          <w:szCs w:val="32"/>
          <w:highlight w:val="none"/>
          <w:lang w:val="en-US" w:eastAsia="zh-CN"/>
        </w:rPr>
        <w:t>满意度</w:t>
      </w:r>
      <w:r>
        <w:rPr>
          <w:rFonts w:hint="default" w:ascii="Times New Roman" w:hAnsi="Times New Roman" w:eastAsia="仿宋_GB2312" w:cs="Times New Roman"/>
          <w:sz w:val="32"/>
          <w:szCs w:val="32"/>
          <w:highlight w:val="none"/>
          <w:lang w:val="en-US" w:eastAsia="zh-CN"/>
        </w:rPr>
        <w:t>等多个维度，力求全方位反映项目的绩效状况。同时，对于每个指标的评价标准和数据来源均进行了明确说明，确保评价结果的客观性和可追溯性。</w:t>
      </w:r>
    </w:p>
    <w:p w14:paraId="577BCEF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779231D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832A4D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bookmarkEnd w:id="3"/>
    <w:p w14:paraId="56FD6481">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4A05E6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187A1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w:t>
      </w:r>
      <w:r>
        <w:rPr>
          <w:rFonts w:hint="eastAsia" w:cs="Times New Roman"/>
          <w:sz w:val="32"/>
          <w:szCs w:val="32"/>
          <w:highlight w:val="none"/>
          <w:lang w:val="en-US" w:eastAsia="zh-CN"/>
        </w:rPr>
        <w:t>满意度</w:t>
      </w:r>
      <w:r>
        <w:rPr>
          <w:rFonts w:hint="default" w:ascii="Times New Roman" w:hAnsi="Times New Roman" w:eastAsia="仿宋_GB2312" w:cs="Times New Roman"/>
          <w:sz w:val="32"/>
          <w:szCs w:val="32"/>
          <w:highlight w:val="none"/>
        </w:rPr>
        <w:t>等多维度指标，为项目后续的改进与优化提供科学依据。</w:t>
      </w:r>
    </w:p>
    <w:p w14:paraId="2F4473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53B14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D9115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E434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1104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C61BE65">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rPr>
        <w:t>绩效评价的对象</w:t>
      </w:r>
    </w:p>
    <w:p w14:paraId="64E69A45">
      <w:pPr>
        <w:pStyle w:val="12"/>
        <w:widowControl w:val="0"/>
        <w:spacing w:before="0" w:after="0" w:line="560" w:lineRule="exact"/>
        <w:ind w:firstLine="640" w:firstLineChars="200"/>
        <w:jc w:val="both"/>
        <w:outlineLvl w:val="9"/>
        <w:rPr>
          <w:rFonts w:hint="default" w:ascii="Times New Roman" w:hAnsi="Times New Roman" w:eastAsia="仿宋_GB2312"/>
          <w:b w:val="0"/>
          <w:bCs w:val="0"/>
          <w:shd w:val="clear"/>
          <w:lang w:val="en-US" w:eastAsia="zh-CN"/>
        </w:rPr>
      </w:pPr>
      <w:r>
        <w:rPr>
          <w:rFonts w:hint="default" w:ascii="Times New Roman" w:hAnsi="Times New Roman" w:eastAsia="仿宋_GB2312" w:cs="Times New Roman"/>
          <w:b w:val="0"/>
          <w:bCs w:val="0"/>
        </w:rPr>
        <w:t>本项目预算绩效评价报告的评价对象是棉花监督管理专项</w:t>
      </w:r>
      <w:r>
        <w:rPr>
          <w:rFonts w:hint="eastAsia" w:ascii="Times New Roman" w:hAnsi="Times New Roman" w:eastAsia="仿宋_GB2312" w:cs="Times New Roman"/>
          <w:b w:val="0"/>
          <w:bCs w:val="0"/>
          <w:lang w:val="en-US" w:eastAsia="zh-CN"/>
        </w:rPr>
        <w:t>项目</w:t>
      </w:r>
      <w:r>
        <w:rPr>
          <w:rFonts w:hint="default" w:ascii="Times New Roman" w:hAnsi="Times New Roman" w:eastAsia="仿宋_GB2312" w:cs="Times New Roman"/>
          <w:b w:val="0"/>
          <w:bCs w:val="0"/>
        </w:rPr>
        <w:t>及其预算执行情况。该项目由</w:t>
      </w:r>
      <w:r>
        <w:rPr>
          <w:rFonts w:hint="default" w:ascii="Times New Roman" w:hAnsi="Times New Roman" w:eastAsia="仿宋_GB2312"/>
          <w:b w:val="0"/>
          <w:bCs w:val="0"/>
        </w:rPr>
        <w:t>新疆维吾尔自治区纤维质量监测中心</w:t>
      </w:r>
      <w:r>
        <w:rPr>
          <w:rFonts w:hint="default" w:ascii="Times New Roman" w:hAnsi="Times New Roman" w:eastAsia="仿宋_GB2312" w:cs="Times New Roman"/>
          <w:b w:val="0"/>
          <w:bCs w:val="0"/>
        </w:rPr>
        <w:t>负责实施，旨在</w:t>
      </w:r>
      <w:r>
        <w:rPr>
          <w:rFonts w:hint="default" w:ascii="Times New Roman" w:hAnsi="Times New Roman" w:eastAsia="仿宋_GB2312" w:cs="Times New Roman"/>
          <w:b w:val="0"/>
          <w:bCs w:val="0"/>
          <w:spacing w:val="0"/>
          <w:sz w:val="32"/>
          <w:szCs w:val="32"/>
          <w:shd w:val="clear"/>
        </w:rPr>
        <w:t>建立健全科研及标准化发展的工作运行机制，提高自治区纤维质量监测中心学术水平和综合竞争力。围绕纤检事业发展需要，为新疆纤维高质量发展宏观决策提供科学依据</w:t>
      </w:r>
      <w:r>
        <w:rPr>
          <w:rFonts w:hint="default" w:ascii="Times New Roman" w:hAnsi="Times New Roman" w:eastAsia="仿宋_GB2312" w:cs="Times New Roman"/>
          <w:b w:val="0"/>
          <w:bCs w:val="0"/>
        </w:rPr>
        <w:t>。项目预算涵盖从</w:t>
      </w:r>
      <w:r>
        <w:rPr>
          <w:rFonts w:hint="eastAsia" w:ascii="Times New Roman" w:hAnsi="Times New Roman" w:eastAsia="仿宋_GB2312" w:cs="Times New Roman"/>
          <w:b w:val="0"/>
          <w:bCs w:val="0"/>
          <w:lang w:val="en-US" w:eastAsia="zh-CN"/>
        </w:rPr>
        <w:t>2024年1月</w:t>
      </w:r>
      <w:r>
        <w:rPr>
          <w:rFonts w:hint="default" w:ascii="Times New Roman" w:hAnsi="Times New Roman" w:eastAsia="仿宋_GB2312" w:cs="Times New Roman"/>
          <w:b w:val="0"/>
          <w:bCs w:val="0"/>
        </w:rPr>
        <w:t>至</w:t>
      </w:r>
      <w:r>
        <w:rPr>
          <w:rFonts w:hint="eastAsia" w:ascii="Times New Roman" w:hAnsi="Times New Roman" w:eastAsia="仿宋_GB2312" w:cs="Times New Roman"/>
          <w:b w:val="0"/>
          <w:bCs w:val="0"/>
          <w:lang w:val="en-US" w:eastAsia="zh-CN"/>
        </w:rPr>
        <w:t>2024年12月</w:t>
      </w:r>
      <w:r>
        <w:rPr>
          <w:rFonts w:hint="default" w:ascii="Times New Roman" w:hAnsi="Times New Roman" w:eastAsia="仿宋_GB2312" w:cs="Times New Roman"/>
          <w:b w:val="0"/>
          <w:bCs w:val="0"/>
        </w:rPr>
        <w:t>的全部资金投入与支出，涉及资金总额为</w:t>
      </w:r>
      <w:r>
        <w:rPr>
          <w:rFonts w:hint="eastAsia" w:ascii="Times New Roman" w:hAnsi="Times New Roman" w:eastAsia="仿宋_GB2312" w:cs="Times New Roman"/>
          <w:b w:val="0"/>
          <w:bCs w:val="0"/>
          <w:lang w:val="en-US" w:eastAsia="zh-CN"/>
        </w:rPr>
        <w:t>125</w:t>
      </w:r>
      <w:r>
        <w:rPr>
          <w:rFonts w:hint="default" w:ascii="Times New Roman" w:hAnsi="Times New Roman" w:eastAsia="仿宋_GB2312" w:cs="Times New Roman"/>
          <w:b w:val="0"/>
          <w:bCs w:val="0"/>
          <w:lang w:val="en-US" w:eastAsia="zh-CN"/>
        </w:rPr>
        <w:t>万</w:t>
      </w:r>
      <w:r>
        <w:rPr>
          <w:rFonts w:hint="default" w:ascii="Times New Roman" w:hAnsi="Times New Roman" w:eastAsia="仿宋_GB2312" w:cs="Times New Roman"/>
          <w:b w:val="0"/>
          <w:bCs w:val="0"/>
        </w:rPr>
        <w:t>元。</w:t>
      </w:r>
    </w:p>
    <w:p w14:paraId="324B40BD">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3F83EA6E">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19EB23D8">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67E8AEF">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19E01CD2">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E59BB39">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影响：考察项目对社会等方面的综合影响。</w:t>
      </w:r>
    </w:p>
    <w:p w14:paraId="07793574">
      <w:pPr>
        <w:spacing w:line="560" w:lineRule="exact"/>
        <w:ind w:firstLine="643" w:firstLineChars="200"/>
        <w:rPr>
          <w:rFonts w:hint="default" w:ascii="Times New Roman" w:hAnsi="Times New Roman" w:cs="Times New Roman"/>
        </w:rPr>
      </w:pPr>
      <w:bookmarkStart w:id="4" w:name="_Toc68702117"/>
      <w:r>
        <w:rPr>
          <w:rFonts w:hint="default" w:ascii="Times New Roman" w:hAnsi="Times New Roman" w:eastAsia="楷体_GB2312" w:cs="Times New Roman"/>
          <w:b/>
          <w:bCs/>
          <w:sz w:val="32"/>
          <w:szCs w:val="32"/>
        </w:rPr>
        <w:t>（二）绩效评价原则、评价指标体系（详情见表1）、评价方法、评价标准。</w:t>
      </w:r>
    </w:p>
    <w:bookmarkEnd w:id="4"/>
    <w:p w14:paraId="48E398F4">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AC985B3">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321091D">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E20F725">
      <w:pPr>
        <w:pStyle w:val="12"/>
        <w:spacing w:before="0" w:after="0" w:line="560" w:lineRule="exact"/>
        <w:ind w:firstLine="640" w:firstLineChars="200"/>
        <w:jc w:val="both"/>
        <w:outlineLvl w:val="9"/>
        <w:rPr>
          <w:rFonts w:hint="eastAsia" w:ascii="仿宋_GB2312" w:hAnsi="仿宋_GB2312" w:eastAsia="仿宋_GB2312" w:cs="仿宋_GB2312"/>
          <w:b w:val="0"/>
          <w:bCs w:val="0"/>
        </w:rPr>
      </w:pPr>
      <w:r>
        <w:rPr>
          <w:rFonts w:hint="default" w:ascii="Times New Roman" w:hAnsi="Times New Roman" w:eastAsia="仿宋_GB2312" w:cs="Times New Roman"/>
          <w:b w:val="0"/>
          <w:bCs w:val="0"/>
        </w:rPr>
        <w:t>（2）统筹兼顾。单位自评、部</w:t>
      </w:r>
      <w:r>
        <w:rPr>
          <w:rFonts w:hint="eastAsia" w:ascii="仿宋_GB2312" w:hAnsi="仿宋_GB2312" w:eastAsia="仿宋_GB2312" w:cs="仿宋_GB2312"/>
          <w:b w:val="0"/>
          <w:bCs w:val="0"/>
        </w:rPr>
        <w:t>门评价和财政评价应职责明确，各有侧重，相互衔接。单位自评应由项目单位自主实施，即“谁支出、谁自评”。部门评价和财政评价应在单位自评的基础上开展。</w:t>
      </w:r>
    </w:p>
    <w:p w14:paraId="16346F89">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5CDA7C09">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34D246A9">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3AE91BB1">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1D02F59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EC0905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DEEF2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74E07D02">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FA1C4A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CBC3BB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23FDC03B">
      <w:pPr>
        <w:pStyle w:val="1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8CE842B">
      <w:pPr>
        <w:pStyle w:val="1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C736C5E">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EF86CD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w:t>
      </w:r>
      <w:bookmarkStart w:id="7" w:name="_GoBack"/>
      <w:r>
        <w:rPr>
          <w:rFonts w:hint="default" w:ascii="Times New Roman" w:hAnsi="Times New Roman" w:eastAsia="仿宋_GB2312" w:cs="Times New Roman"/>
          <w:color w:val="000000"/>
          <w:spacing w:val="17"/>
          <w:sz w:val="32"/>
          <w:szCs w:val="32"/>
        </w:rPr>
        <w:t>四个维度进行评价。评价对象为项目目标实施情况，  评价</w:t>
      </w:r>
      <w:bookmarkEnd w:id="7"/>
      <w:r>
        <w:rPr>
          <w:rFonts w:hint="default" w:ascii="Times New Roman" w:hAnsi="Times New Roman" w:eastAsia="仿宋_GB2312" w:cs="Times New Roman"/>
          <w:color w:val="000000"/>
          <w:spacing w:val="17"/>
          <w:sz w:val="32"/>
          <w:szCs w:val="32"/>
        </w:rPr>
        <w:t>核心为资金的支出完成情况和项目的产出效益。</w:t>
      </w:r>
    </w:p>
    <w:p w14:paraId="4D549DA7">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4440403D">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w:t>
      </w:r>
      <w:r>
        <w:rPr>
          <w:rFonts w:hint="eastAsia"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）比较法。是指将实施情况与绩效目标、历史情况、不同部门和地区同类支出情况进行比较的方法。</w:t>
      </w:r>
      <w:r>
        <w:rPr>
          <w:rFonts w:hint="default" w:cs="Times New Roman"/>
          <w:color w:val="000000"/>
          <w:spacing w:val="17"/>
          <w:sz w:val="32"/>
          <w:szCs w:val="32"/>
          <w:highlight w:val="none"/>
          <w:lang w:eastAsia="zh-CN"/>
        </w:rPr>
        <w:t>棉花质量监督检查项目主要是对历年的棉花质量情况通过监督检查、品质检验数据、以及气候变化等方式进行比较，通过历史数据的比较可以对我区棉花产量、质量整体状况进行综合分析，以及下一步应采取的应对措施，从而使我区棉花产业可持续健康发展。</w:t>
      </w:r>
    </w:p>
    <w:p w14:paraId="57286475">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5E5CBD36">
      <w:pPr>
        <w:spacing w:line="560" w:lineRule="exact"/>
        <w:ind w:firstLine="708" w:firstLineChars="200"/>
        <w:rPr>
          <w:color w:val="auto"/>
          <w:spacing w:val="17"/>
          <w:sz w:val="32"/>
          <w:szCs w:val="32"/>
          <w:shd w:val="clear" w:color="auto" w:fill="auto"/>
        </w:rPr>
      </w:pPr>
      <w:r>
        <w:rPr>
          <w:color w:val="auto"/>
          <w:spacing w:val="17"/>
          <w:sz w:val="32"/>
          <w:szCs w:val="32"/>
          <w:shd w:val="clear" w:color="auto" w:fill="auto"/>
        </w:rPr>
        <w:t>绩效评价标准通常包括计划标准、行业标准、历史标准等，用于对绩效指标完成情况进行比较。本次评价主要采用了计划标准</w:t>
      </w:r>
      <w:r>
        <w:rPr>
          <w:rFonts w:hint="eastAsia"/>
          <w:color w:val="auto"/>
          <w:spacing w:val="17"/>
          <w:sz w:val="32"/>
          <w:szCs w:val="32"/>
          <w:shd w:val="clear" w:color="auto" w:fill="auto"/>
          <w:lang w:eastAsia="zh-CN"/>
        </w:rPr>
        <w:t>，主要</w:t>
      </w:r>
      <w:r>
        <w:rPr>
          <w:rFonts w:hint="eastAsia"/>
          <w:color w:val="auto"/>
          <w:spacing w:val="17"/>
          <w:sz w:val="32"/>
          <w:szCs w:val="32"/>
          <w:shd w:val="clear" w:color="auto" w:fill="auto"/>
          <w:lang w:val="en-US" w:eastAsia="zh-CN"/>
        </w:rPr>
        <w:t>因为该项目是以</w:t>
      </w:r>
      <w:r>
        <w:rPr>
          <w:rFonts w:hint="eastAsia"/>
          <w:color w:val="auto"/>
          <w:spacing w:val="17"/>
          <w:sz w:val="32"/>
          <w:szCs w:val="32"/>
          <w:shd w:val="clear" w:color="auto" w:fill="auto"/>
          <w:lang w:eastAsia="zh-CN"/>
        </w:rPr>
        <w:t>年初设置全年各项预算指标</w:t>
      </w:r>
      <w:r>
        <w:rPr>
          <w:rFonts w:hint="eastAsia"/>
          <w:color w:val="auto"/>
          <w:spacing w:val="17"/>
          <w:sz w:val="32"/>
          <w:szCs w:val="32"/>
          <w:shd w:val="clear" w:color="auto" w:fill="auto"/>
          <w:lang w:val="en-US" w:eastAsia="zh-CN"/>
        </w:rPr>
        <w:t>和</w:t>
      </w:r>
      <w:r>
        <w:rPr>
          <w:rFonts w:hint="eastAsia"/>
          <w:color w:val="auto"/>
          <w:spacing w:val="17"/>
          <w:sz w:val="32"/>
          <w:szCs w:val="32"/>
          <w:shd w:val="clear" w:color="auto" w:fill="auto"/>
          <w:lang w:eastAsia="zh-CN"/>
        </w:rPr>
        <w:t>具体完成计划、标准</w:t>
      </w:r>
      <w:r>
        <w:rPr>
          <w:rFonts w:hint="eastAsia"/>
          <w:color w:val="auto"/>
          <w:spacing w:val="17"/>
          <w:sz w:val="32"/>
          <w:szCs w:val="32"/>
          <w:shd w:val="clear" w:color="auto" w:fill="auto"/>
          <w:lang w:val="en-US" w:eastAsia="zh-CN"/>
        </w:rPr>
        <w:t>而设立的绩效指标。</w:t>
      </w:r>
    </w:p>
    <w:p w14:paraId="449A14F5">
      <w:pPr>
        <w:pStyle w:val="12"/>
        <w:numPr>
          <w:ilvl w:val="0"/>
          <w:numId w:val="2"/>
        </w:numPr>
        <w:spacing w:before="0" w:after="0" w:line="600" w:lineRule="exact"/>
        <w:ind w:firstLine="711" w:firstLineChars="200"/>
        <w:jc w:val="both"/>
        <w:rPr>
          <w:rFonts w:ascii="楷体" w:hAnsi="楷体" w:eastAsia="楷体" w:cs="楷体"/>
          <w:color w:val="auto"/>
          <w:spacing w:val="17"/>
          <w:shd w:val="clear" w:color="auto" w:fill="auto"/>
        </w:rPr>
      </w:pPr>
      <w:r>
        <w:rPr>
          <w:rFonts w:hint="eastAsia" w:ascii="楷体" w:hAnsi="楷体" w:eastAsia="楷体" w:cs="楷体"/>
          <w:color w:val="auto"/>
          <w:spacing w:val="17"/>
          <w:shd w:val="clear" w:color="auto" w:fill="auto"/>
        </w:rPr>
        <w:t>绩效评价工作过程</w:t>
      </w:r>
    </w:p>
    <w:p w14:paraId="5C2BE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31FCAA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项目管理专业人员及相关领域技术骨干组成，确保从多角度、全方位对项目绩效进行评价。同时，明确了评价工作的目标、范围、重点及时间安排，制定了详细的工作计划，为评价工作的顺利开展奠定了坚实基础。</w:t>
      </w:r>
    </w:p>
    <w:p w14:paraId="3AA1B9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2502E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0D600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220F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64616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1CCA7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8B781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5BD08F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33B76E2">
      <w:pPr>
        <w:numPr>
          <w:ilvl w:val="0"/>
          <w:numId w:val="3"/>
        </w:numPr>
        <w:spacing w:line="600" w:lineRule="exact"/>
        <w:ind w:firstLine="640" w:firstLineChars="200"/>
        <w:rPr>
          <w:rFonts w:eastAsia="黑体"/>
          <w:color w:val="auto"/>
          <w:sz w:val="32"/>
          <w:szCs w:val="32"/>
          <w:shd w:val="clear" w:color="auto" w:fill="auto"/>
        </w:rPr>
      </w:pPr>
      <w:r>
        <w:rPr>
          <w:rFonts w:eastAsia="黑体"/>
          <w:color w:val="auto"/>
          <w:sz w:val="32"/>
          <w:szCs w:val="32"/>
          <w:shd w:val="clear" w:color="auto" w:fill="auto"/>
        </w:rPr>
        <w:t>综合评价情况及评价结论（附相关评分表）</w:t>
      </w:r>
    </w:p>
    <w:p w14:paraId="7B419597">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1000528">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棉花监督管理专项</w:t>
      </w:r>
      <w:r>
        <w:rPr>
          <w:rFonts w:hint="eastAsia" w:cs="Times New Roman"/>
          <w:color w:val="auto"/>
          <w:sz w:val="32"/>
          <w:szCs w:val="32"/>
          <w:highlight w:val="none"/>
          <w:lang w:val="en-US" w:eastAsia="zh-CN"/>
        </w:rPr>
        <w:t>项目</w:t>
      </w:r>
      <w:r>
        <w:rPr>
          <w:rFonts w:hint="default" w:ascii="Times New Roman" w:hAnsi="Times New Roman" w:eastAsia="仿宋_GB2312" w:cs="Times New Roman"/>
          <w:sz w:val="32"/>
          <w:szCs w:val="32"/>
          <w:highlight w:val="none"/>
        </w:rPr>
        <w:t>在购买专用材料批次、检定设备数量等方面表现出色，达到了预期的标准与要求。同时，项目也在</w:t>
      </w:r>
      <w:r>
        <w:rPr>
          <w:rFonts w:hint="default" w:ascii="Times New Roman" w:hAnsi="Times New Roman" w:eastAsia="仿宋_GB2312" w:cs="Times New Roman"/>
          <w:color w:val="auto"/>
          <w:sz w:val="32"/>
          <w:szCs w:val="32"/>
          <w:highlight w:val="none"/>
        </w:rPr>
        <w:t>维修检定</w:t>
      </w:r>
      <w:r>
        <w:rPr>
          <w:rFonts w:hint="eastAsia" w:cs="Times New Roman"/>
          <w:color w:val="auto"/>
          <w:sz w:val="32"/>
          <w:szCs w:val="32"/>
          <w:highlight w:val="none"/>
          <w:lang w:val="en-US" w:eastAsia="zh-CN"/>
        </w:rPr>
        <w:t>和检验检测方面</w:t>
      </w:r>
      <w:r>
        <w:rPr>
          <w:rFonts w:hint="default" w:ascii="Times New Roman" w:hAnsi="Times New Roman" w:eastAsia="仿宋_GB2312" w:cs="Times New Roman"/>
          <w:sz w:val="32"/>
          <w:szCs w:val="32"/>
          <w:highlight w:val="none"/>
        </w:rPr>
        <w:t>取得了显著的成效，如维修检定合格率</w:t>
      </w:r>
      <w:r>
        <w:rPr>
          <w:rFonts w:hint="eastAsia" w:cs="Times New Roman"/>
          <w:sz w:val="32"/>
          <w:szCs w:val="32"/>
          <w:highlight w:val="none"/>
          <w:lang w:val="en-US" w:eastAsia="zh-CN"/>
        </w:rPr>
        <w:t>达到100%</w:t>
      </w:r>
      <w:r>
        <w:rPr>
          <w:rFonts w:hint="default" w:ascii="Times New Roman" w:hAnsi="Times New Roman" w:eastAsia="仿宋_GB2312" w:cs="Times New Roman"/>
          <w:sz w:val="32"/>
          <w:szCs w:val="32"/>
          <w:highlight w:val="none"/>
        </w:rPr>
        <w:t>、检验检测及时率</w:t>
      </w:r>
      <w:r>
        <w:rPr>
          <w:rFonts w:hint="eastAsia" w:cs="Times New Roman"/>
          <w:sz w:val="32"/>
          <w:szCs w:val="32"/>
          <w:highlight w:val="none"/>
          <w:lang w:val="en-US" w:eastAsia="zh-CN"/>
        </w:rPr>
        <w:t>达到100%</w:t>
      </w:r>
      <w:r>
        <w:rPr>
          <w:rFonts w:hint="default" w:ascii="Times New Roman" w:hAnsi="Times New Roman" w:eastAsia="仿宋_GB2312" w:cs="Times New Roman"/>
          <w:sz w:val="32"/>
          <w:szCs w:val="32"/>
          <w:highlight w:val="none"/>
        </w:rPr>
        <w:t>等。</w:t>
      </w:r>
    </w:p>
    <w:p w14:paraId="5D343ED6">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在项目管理方面，新疆维吾尔自治区纤维质量监测中心通过有效的规划、组织与协调，项目得以顺利实施，并在预算与时间上保持了良好的控制。</w:t>
      </w:r>
    </w:p>
    <w:p w14:paraId="7AA1D552">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从项目效益的角度来看，本项目不仅实现了预期的社会效益等方面产生了积极的影响。具体而言，结果公示方面的提升，为项目的利益相关者带来了实实在在的利益。</w:t>
      </w:r>
    </w:p>
    <w:p w14:paraId="65871231">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综上所述，棉花监督管理专项</w:t>
      </w:r>
      <w:r>
        <w:rPr>
          <w:rFonts w:hint="eastAsia" w:cs="Times New Roman"/>
          <w:sz w:val="32"/>
          <w:szCs w:val="32"/>
          <w:highlight w:val="none"/>
          <w:lang w:val="en-US" w:eastAsia="zh-CN"/>
        </w:rPr>
        <w:t>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54598732">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058CF309">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cs="Times New Roman"/>
          <w:b w:val="0"/>
          <w:bCs/>
          <w:color w:val="auto"/>
          <w:kern w:val="2"/>
          <w:sz w:val="32"/>
          <w:szCs w:val="32"/>
          <w:shd w:val="clear" w:color="auto" w:fill="auto"/>
          <w:lang w:val="en-US" w:eastAsia="zh-CN" w:bidi="ar-SA"/>
        </w:rPr>
        <w:t>总得分为 100分，属于“优”。其中，项目决策类指标权重为20分，得分为20分，得分率为 100%。项目过程类指标权重为20分，得分为20分，得分率为 100%。项目产出类指标权重为40分，得分为40分，得分率为 100%。项目效益类指标权重为20分，得分为20分，得分率为 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429E12F1">
      <w:pPr>
        <w:pStyle w:val="12"/>
        <w:rPr>
          <w:rFonts w:hint="default"/>
          <w:lang w:eastAsia="zh-CN"/>
        </w:rPr>
      </w:pPr>
      <w:r>
        <w:rPr>
          <w:rFonts w:ascii="Times New Roman" w:hAnsi="Times New Roman" w:eastAsia="仿宋_GB2312"/>
          <w:sz w:val="21"/>
          <w:szCs w:val="21"/>
          <w:shd w:val="clear"/>
        </w:rPr>
        <w:t>表1综合评分表</w:t>
      </w:r>
    </w:p>
    <w:tbl>
      <w:tblPr>
        <w:tblStyle w:val="15"/>
        <w:tblW w:w="4998" w:type="pct"/>
        <w:jc w:val="center"/>
        <w:tblLayout w:type="autofit"/>
        <w:tblCellMar>
          <w:top w:w="0" w:type="dxa"/>
          <w:left w:w="108" w:type="dxa"/>
          <w:bottom w:w="0" w:type="dxa"/>
          <w:right w:w="108" w:type="dxa"/>
        </w:tblCellMar>
      </w:tblPr>
      <w:tblGrid>
        <w:gridCol w:w="2954"/>
        <w:gridCol w:w="2042"/>
        <w:gridCol w:w="2144"/>
        <w:gridCol w:w="2144"/>
      </w:tblGrid>
      <w:tr w14:paraId="28F9F1EC">
        <w:tblPrEx>
          <w:tblCellMar>
            <w:top w:w="0" w:type="dxa"/>
            <w:left w:w="108" w:type="dxa"/>
            <w:bottom w:w="0" w:type="dxa"/>
            <w:right w:w="108" w:type="dxa"/>
          </w:tblCellMar>
        </w:tblPrEx>
        <w:trPr>
          <w:trHeight w:val="90" w:hRule="atLeast"/>
          <w:tblHeader/>
          <w:jc w:val="center"/>
        </w:trPr>
        <w:tc>
          <w:tcPr>
            <w:tcW w:w="1590" w:type="pct"/>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69E1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1099"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274679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1154"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5E4DA5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c>
          <w:tcPr>
            <w:tcW w:w="1154"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96F2C81">
            <w:pPr>
              <w:jc w:val="center"/>
              <w:rPr>
                <w:rFonts w:hint="eastAsia"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得分率</w:t>
            </w:r>
          </w:p>
        </w:tc>
      </w:tr>
      <w:tr w14:paraId="0F6F05CC">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7ECC274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1099" w:type="pct"/>
            <w:tcBorders>
              <w:top w:val="nil"/>
              <w:left w:val="nil"/>
              <w:bottom w:val="single" w:color="auto" w:sz="4" w:space="0"/>
              <w:right w:val="single" w:color="auto" w:sz="4" w:space="0"/>
            </w:tcBorders>
            <w:shd w:val="clear" w:color="auto" w:fill="auto"/>
            <w:vAlign w:val="center"/>
          </w:tcPr>
          <w:p w14:paraId="2BE7F79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7BBDC4C6">
            <w:pPr>
              <w:jc w:val="center"/>
              <w:rPr>
                <w:rFonts w:hint="default" w:ascii="Times New Roman" w:hAnsi="Times New Roman" w:eastAsia="仿宋_GB2312" w:cs="Times New Roman"/>
                <w:color w:val="000000"/>
                <w:sz w:val="21"/>
                <w:szCs w:val="21"/>
                <w:lang w:val="en-US" w:eastAsia="zh-CN"/>
              </w:rPr>
            </w:pPr>
            <w:r>
              <w:rPr>
                <w:rFonts w:hint="eastAsia" w:cs="Times New Roman"/>
                <w:color w:val="000000"/>
                <w:sz w:val="21"/>
                <w:szCs w:val="21"/>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4E0E0EDA">
            <w:pPr>
              <w:jc w:val="center"/>
              <w:rPr>
                <w:rFonts w:hint="default" w:ascii="Times New Roman" w:hAnsi="Times New Roman" w:eastAsia="仿宋_GB2312" w:cs="Times New Roman"/>
                <w:color w:val="000000"/>
                <w:sz w:val="21"/>
                <w:szCs w:val="21"/>
                <w:lang w:val="en-US" w:eastAsia="zh-CN"/>
              </w:rPr>
            </w:pPr>
            <w:r>
              <w:rPr>
                <w:rFonts w:hint="eastAsia" w:cs="Times New Roman"/>
                <w:color w:val="000000"/>
                <w:sz w:val="21"/>
                <w:szCs w:val="21"/>
                <w:lang w:val="en-US" w:eastAsia="zh-CN"/>
              </w:rPr>
              <w:t>100%</w:t>
            </w:r>
          </w:p>
        </w:tc>
      </w:tr>
      <w:tr w14:paraId="0F91EAEA">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2891ECB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1099" w:type="pct"/>
            <w:tcBorders>
              <w:top w:val="nil"/>
              <w:left w:val="nil"/>
              <w:bottom w:val="single" w:color="auto" w:sz="4" w:space="0"/>
              <w:right w:val="single" w:color="auto" w:sz="4" w:space="0"/>
            </w:tcBorders>
            <w:shd w:val="clear" w:color="auto" w:fill="auto"/>
            <w:vAlign w:val="center"/>
          </w:tcPr>
          <w:p w14:paraId="6671F30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4F78E977">
            <w:pPr>
              <w:jc w:val="center"/>
              <w:rPr>
                <w:rFonts w:hint="default" w:ascii="Times New Roman" w:hAnsi="Times New Roman" w:eastAsia="仿宋_GB2312" w:cs="Times New Roman"/>
                <w:color w:val="000000"/>
                <w:sz w:val="21"/>
                <w:szCs w:val="21"/>
                <w:lang w:val="en-US" w:eastAsia="zh-CN"/>
              </w:rPr>
            </w:pPr>
            <w:r>
              <w:rPr>
                <w:rFonts w:hint="eastAsia" w:cs="Times New Roman"/>
                <w:color w:val="000000"/>
                <w:sz w:val="21"/>
                <w:szCs w:val="21"/>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286F0E6B">
            <w:pPr>
              <w:jc w:val="center"/>
              <w:rPr>
                <w:rFonts w:hint="default" w:ascii="Times New Roman" w:hAnsi="Times New Roman" w:eastAsia="仿宋_GB2312" w:cs="Times New Roman"/>
                <w:color w:val="000000"/>
                <w:sz w:val="21"/>
                <w:szCs w:val="21"/>
              </w:rPr>
            </w:pPr>
            <w:r>
              <w:rPr>
                <w:rFonts w:hint="eastAsia" w:cs="Times New Roman"/>
                <w:color w:val="000000"/>
                <w:sz w:val="21"/>
                <w:szCs w:val="21"/>
                <w:lang w:val="en-US" w:eastAsia="zh-CN"/>
              </w:rPr>
              <w:t>100%</w:t>
            </w:r>
          </w:p>
        </w:tc>
      </w:tr>
      <w:tr w14:paraId="1C5E97E9">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5B6ACF1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1099" w:type="pct"/>
            <w:tcBorders>
              <w:top w:val="nil"/>
              <w:left w:val="nil"/>
              <w:bottom w:val="single" w:color="auto" w:sz="4" w:space="0"/>
              <w:right w:val="single" w:color="auto" w:sz="4" w:space="0"/>
            </w:tcBorders>
            <w:shd w:val="clear" w:color="auto" w:fill="auto"/>
            <w:vAlign w:val="center"/>
          </w:tcPr>
          <w:p w14:paraId="41CBF47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1154" w:type="pct"/>
            <w:tcBorders>
              <w:top w:val="nil"/>
              <w:left w:val="nil"/>
              <w:bottom w:val="single" w:color="auto" w:sz="4" w:space="0"/>
              <w:right w:val="single" w:color="auto" w:sz="4" w:space="0"/>
            </w:tcBorders>
            <w:shd w:val="clear" w:color="auto" w:fill="auto"/>
            <w:vAlign w:val="center"/>
          </w:tcPr>
          <w:p w14:paraId="6F3CC7FC">
            <w:pPr>
              <w:jc w:val="center"/>
              <w:rPr>
                <w:rFonts w:hint="default" w:ascii="Times New Roman" w:hAnsi="Times New Roman" w:eastAsia="仿宋_GB2312" w:cs="Times New Roman"/>
                <w:color w:val="000000"/>
                <w:sz w:val="21"/>
                <w:szCs w:val="21"/>
                <w:lang w:val="en-US" w:eastAsia="zh-CN"/>
              </w:rPr>
            </w:pPr>
            <w:r>
              <w:rPr>
                <w:rFonts w:hint="eastAsia" w:cs="Times New Roman"/>
                <w:color w:val="000000"/>
                <w:sz w:val="21"/>
                <w:szCs w:val="21"/>
                <w:lang w:val="en-US" w:eastAsia="zh-CN"/>
              </w:rPr>
              <w:t>40</w:t>
            </w:r>
          </w:p>
        </w:tc>
        <w:tc>
          <w:tcPr>
            <w:tcW w:w="1154" w:type="pct"/>
            <w:tcBorders>
              <w:top w:val="nil"/>
              <w:left w:val="nil"/>
              <w:bottom w:val="single" w:color="auto" w:sz="4" w:space="0"/>
              <w:right w:val="single" w:color="auto" w:sz="4" w:space="0"/>
            </w:tcBorders>
            <w:shd w:val="clear" w:color="auto" w:fill="auto"/>
            <w:vAlign w:val="center"/>
          </w:tcPr>
          <w:p w14:paraId="60AC4EC6">
            <w:pPr>
              <w:jc w:val="center"/>
              <w:rPr>
                <w:rFonts w:hint="default" w:ascii="Times New Roman" w:hAnsi="Times New Roman" w:eastAsia="仿宋_GB2312" w:cs="Times New Roman"/>
                <w:color w:val="000000"/>
                <w:sz w:val="21"/>
                <w:szCs w:val="21"/>
              </w:rPr>
            </w:pPr>
            <w:r>
              <w:rPr>
                <w:rFonts w:hint="eastAsia" w:cs="Times New Roman"/>
                <w:color w:val="000000"/>
                <w:sz w:val="21"/>
                <w:szCs w:val="21"/>
                <w:lang w:val="en-US" w:eastAsia="zh-CN"/>
              </w:rPr>
              <w:t>100%</w:t>
            </w:r>
          </w:p>
        </w:tc>
      </w:tr>
      <w:tr w14:paraId="1AF0D2B7">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45C3631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1099" w:type="pct"/>
            <w:tcBorders>
              <w:top w:val="nil"/>
              <w:left w:val="nil"/>
              <w:bottom w:val="single" w:color="auto" w:sz="4" w:space="0"/>
              <w:right w:val="single" w:color="auto" w:sz="4" w:space="0"/>
            </w:tcBorders>
            <w:shd w:val="clear" w:color="auto" w:fill="auto"/>
            <w:vAlign w:val="center"/>
          </w:tcPr>
          <w:p w14:paraId="2F0F35F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1776DF05">
            <w:pPr>
              <w:jc w:val="center"/>
              <w:rPr>
                <w:rFonts w:hint="default" w:ascii="Times New Roman" w:hAnsi="Times New Roman" w:eastAsia="仿宋_GB2312" w:cs="Times New Roman"/>
                <w:color w:val="000000"/>
                <w:sz w:val="21"/>
                <w:szCs w:val="21"/>
                <w:lang w:val="en-US" w:eastAsia="zh-CN"/>
              </w:rPr>
            </w:pPr>
            <w:r>
              <w:rPr>
                <w:rFonts w:hint="eastAsia" w:cs="Times New Roman"/>
                <w:color w:val="000000"/>
                <w:sz w:val="21"/>
                <w:szCs w:val="21"/>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1F715460">
            <w:pPr>
              <w:jc w:val="center"/>
              <w:rPr>
                <w:rFonts w:hint="default" w:ascii="Times New Roman" w:hAnsi="Times New Roman" w:eastAsia="仿宋_GB2312" w:cs="Times New Roman"/>
                <w:color w:val="000000"/>
                <w:sz w:val="21"/>
                <w:szCs w:val="21"/>
              </w:rPr>
            </w:pPr>
            <w:r>
              <w:rPr>
                <w:rFonts w:hint="eastAsia" w:cs="Times New Roman"/>
                <w:color w:val="000000"/>
                <w:sz w:val="21"/>
                <w:szCs w:val="21"/>
                <w:lang w:val="en-US" w:eastAsia="zh-CN"/>
              </w:rPr>
              <w:t>100%</w:t>
            </w:r>
          </w:p>
        </w:tc>
      </w:tr>
      <w:tr w14:paraId="1E117260">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334A823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1099" w:type="pct"/>
            <w:tcBorders>
              <w:top w:val="nil"/>
              <w:left w:val="nil"/>
              <w:bottom w:val="single" w:color="auto" w:sz="4" w:space="0"/>
              <w:right w:val="single" w:color="auto" w:sz="4" w:space="0"/>
            </w:tcBorders>
            <w:shd w:val="clear" w:color="auto" w:fill="auto"/>
            <w:vAlign w:val="center"/>
          </w:tcPr>
          <w:p w14:paraId="672AFE7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1154" w:type="pct"/>
            <w:tcBorders>
              <w:top w:val="nil"/>
              <w:left w:val="nil"/>
              <w:bottom w:val="single" w:color="auto" w:sz="4" w:space="0"/>
              <w:right w:val="single" w:color="auto" w:sz="4" w:space="0"/>
            </w:tcBorders>
            <w:shd w:val="clear" w:color="auto" w:fill="auto"/>
            <w:vAlign w:val="center"/>
          </w:tcPr>
          <w:p w14:paraId="49441720">
            <w:pPr>
              <w:jc w:val="center"/>
              <w:rPr>
                <w:rFonts w:hint="default" w:ascii="Times New Roman" w:hAnsi="Times New Roman" w:eastAsia="仿宋_GB2312" w:cs="Times New Roman"/>
                <w:b/>
                <w:bCs/>
                <w:color w:val="000000"/>
                <w:sz w:val="21"/>
                <w:szCs w:val="21"/>
                <w:lang w:val="en-US" w:eastAsia="zh-CN"/>
              </w:rPr>
            </w:pPr>
            <w:r>
              <w:rPr>
                <w:rFonts w:hint="eastAsia" w:cs="Times New Roman"/>
                <w:b/>
                <w:bCs/>
                <w:color w:val="000000"/>
                <w:sz w:val="21"/>
                <w:szCs w:val="21"/>
                <w:lang w:val="en-US" w:eastAsia="zh-CN"/>
              </w:rPr>
              <w:t>100</w:t>
            </w:r>
          </w:p>
        </w:tc>
        <w:tc>
          <w:tcPr>
            <w:tcW w:w="1154" w:type="pct"/>
            <w:tcBorders>
              <w:top w:val="nil"/>
              <w:left w:val="nil"/>
              <w:bottom w:val="single" w:color="auto" w:sz="4" w:space="0"/>
              <w:right w:val="single" w:color="auto" w:sz="4" w:space="0"/>
            </w:tcBorders>
            <w:shd w:val="clear" w:color="auto" w:fill="auto"/>
            <w:vAlign w:val="center"/>
          </w:tcPr>
          <w:p w14:paraId="69B1C941">
            <w:pPr>
              <w:jc w:val="center"/>
              <w:rPr>
                <w:rFonts w:hint="default" w:ascii="Times New Roman" w:hAnsi="Times New Roman" w:eastAsia="仿宋_GB2312" w:cs="Times New Roman"/>
                <w:b/>
                <w:bCs/>
                <w:color w:val="000000"/>
                <w:sz w:val="21"/>
                <w:szCs w:val="21"/>
              </w:rPr>
            </w:pPr>
            <w:r>
              <w:rPr>
                <w:rFonts w:hint="eastAsia" w:cs="Times New Roman"/>
                <w:b/>
                <w:bCs/>
                <w:color w:val="000000"/>
                <w:sz w:val="21"/>
                <w:szCs w:val="21"/>
                <w:lang w:val="en-US" w:eastAsia="zh-CN"/>
              </w:rPr>
              <w:t>100%</w:t>
            </w:r>
          </w:p>
        </w:tc>
      </w:tr>
    </w:tbl>
    <w:p w14:paraId="70F62D1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0E41E5C">
      <w:pPr>
        <w:pStyle w:val="1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87CC5E6">
      <w:pPr>
        <w:spacing w:line="560" w:lineRule="exact"/>
        <w:ind w:firstLine="640" w:firstLineChars="200"/>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项目决策类指标包括项目立项、绩效目标和资金投入三方面的内容，由6个三级指标构成，权重分值为20分，实际得分</w:t>
      </w:r>
      <w:r>
        <w:rPr>
          <w:rFonts w:hint="default"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default"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0D3B82D2">
      <w:pPr>
        <w:pStyle w:val="23"/>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46A8D9C">
      <w:pPr>
        <w:shd w:val="clear"/>
        <w:spacing w:line="560" w:lineRule="exact"/>
        <w:ind w:firstLine="640" w:firstLineChars="200"/>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97764CA">
      <w:pPr>
        <w:shd w:val="clear"/>
        <w:spacing w:line="560" w:lineRule="exact"/>
        <w:ind w:firstLine="640" w:firstLineChars="200"/>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纤维制品质量监督管理办法》、《产品质量法》、《产品质量监督抽查管理暂行办法》等相关规定文件及发展政策，符合行业规划要求，围绕本年度工作重点和工作计划制定经费预算，属于公共财政支持范围。本项目与部门内部其他相关项目不重复。部门发展规划及职能文件等归档完整。</w:t>
      </w:r>
    </w:p>
    <w:p w14:paraId="52EDF22C">
      <w:pPr>
        <w:shd w:val="clear"/>
        <w:spacing w:line="560" w:lineRule="exact"/>
        <w:ind w:firstLine="640" w:firstLineChars="200"/>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F9EC0D6">
      <w:pPr>
        <w:shd w:val="clear"/>
        <w:spacing w:line="560" w:lineRule="exact"/>
        <w:ind w:firstLine="640" w:firstLineChars="200"/>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A9CF6C0">
      <w:pPr>
        <w:pStyle w:val="23"/>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050F070">
      <w:pPr>
        <w:shd w:val="clear"/>
        <w:spacing w:line="560" w:lineRule="exact"/>
        <w:ind w:firstLine="640" w:firstLineChars="200"/>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B562BB6">
      <w:pPr>
        <w:shd w:val="clear"/>
        <w:spacing w:line="560" w:lineRule="exact"/>
        <w:ind w:firstLine="640" w:firstLineChars="200"/>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8B39CA">
      <w:pPr>
        <w:shd w:val="clear"/>
        <w:spacing w:line="560" w:lineRule="exact"/>
        <w:ind w:firstLine="640" w:firstLineChars="200"/>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B123CDC">
      <w:pPr>
        <w:shd w:val="clear"/>
        <w:spacing w:line="560" w:lineRule="exact"/>
        <w:ind w:firstLine="640" w:firstLineChars="200"/>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w:t>
      </w:r>
      <w:r>
        <w:rPr>
          <w:rFonts w:hint="eastAsia" w:cs="Times New Roman"/>
          <w:sz w:val="32"/>
          <w:szCs w:val="32"/>
          <w:lang w:val="en-US" w:eastAsia="zh-CN"/>
        </w:rPr>
        <w:t>该项目设立了十条绩效指标，全部都可量化，体现了</w:t>
      </w:r>
      <w:r>
        <w:rPr>
          <w:rFonts w:hint="default" w:ascii="Times New Roman" w:hAnsi="Times New Roman" w:eastAsia="仿宋_GB2312" w:cs="Times New Roman"/>
          <w:sz w:val="32"/>
          <w:szCs w:val="32"/>
          <w:lang w:val="en-US" w:eastAsia="zh-CN"/>
        </w:rPr>
        <w:t>绩效指标清晰、细化、可衡量。</w:t>
      </w:r>
    </w:p>
    <w:p w14:paraId="33A11470">
      <w:pPr>
        <w:pStyle w:val="23"/>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019F43">
      <w:pPr>
        <w:shd w:val="clear"/>
        <w:spacing w:line="560" w:lineRule="exact"/>
        <w:ind w:firstLine="640" w:firstLineChars="200"/>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26E1A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5BD62895">
      <w:pPr>
        <w:shd w:val="clear"/>
        <w:spacing w:line="560" w:lineRule="exact"/>
        <w:ind w:firstLine="640" w:firstLineChars="200"/>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在预算编制过程中，通过优化资源配置、提高资金使用效率等措施，确保项目在有限的预算内取得最大的社会效益。</w:t>
      </w:r>
    </w:p>
    <w:p w14:paraId="4D66E1C6">
      <w:pPr>
        <w:shd w:val="clear"/>
        <w:spacing w:line="560" w:lineRule="exact"/>
        <w:ind w:firstLine="640" w:firstLineChars="200"/>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9A0F4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718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6B06F90">
      <w:pPr>
        <w:pStyle w:val="12"/>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217CF8C0">
      <w:pPr>
        <w:shd w:val="clear"/>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48574CD">
      <w:pPr>
        <w:pStyle w:val="23"/>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290DB0EB">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7BEFCB07">
      <w:pPr>
        <w:shd w:val="clear"/>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cs="Times New Roman"/>
          <w:sz w:val="32"/>
          <w:szCs w:val="32"/>
          <w:highlight w:val="none"/>
          <w:lang w:val="en-US" w:eastAsia="zh-CN"/>
        </w:rPr>
        <w:t>125</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2DFB9072">
      <w:pPr>
        <w:shd w:val="clear"/>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9A1A397">
      <w:pPr>
        <w:shd w:val="clear"/>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cs="Times New Roman"/>
          <w:sz w:val="32"/>
          <w:szCs w:val="32"/>
          <w:highlight w:val="none"/>
          <w:lang w:val="en-US" w:eastAsia="zh-CN"/>
        </w:rPr>
        <w:t>125</w:t>
      </w:r>
      <w:r>
        <w:rPr>
          <w:rFonts w:hint="default" w:ascii="Times New Roman" w:hAnsi="Times New Roman" w:eastAsia="仿宋_GB2312" w:cs="Times New Roman"/>
          <w:sz w:val="32"/>
          <w:szCs w:val="32"/>
          <w:highlight w:val="none"/>
          <w:lang w:val="en-US" w:eastAsia="zh-CN"/>
        </w:rPr>
        <w:t>万元，预算执行率为</w:t>
      </w:r>
      <w:r>
        <w:rPr>
          <w:rFonts w:hint="eastAsia"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8A681F4">
      <w:pPr>
        <w:shd w:val="clear"/>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F3A7F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18A73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w:t>
      </w:r>
      <w:r>
        <w:rPr>
          <w:rFonts w:hint="eastAsia" w:cs="Times New Roman"/>
          <w:sz w:val="32"/>
          <w:szCs w:val="32"/>
          <w:highlight w:val="none"/>
          <w:lang w:eastAsia="zh-CN"/>
        </w:rPr>
        <w:t>预算的制定、支出均按照三重一大原则开展，并</w:t>
      </w:r>
      <w:r>
        <w:rPr>
          <w:rFonts w:hint="default" w:ascii="Times New Roman" w:hAnsi="Times New Roman" w:eastAsia="仿宋_GB2312" w:cs="Times New Roman"/>
          <w:sz w:val="32"/>
          <w:szCs w:val="32"/>
          <w:highlight w:val="none"/>
          <w:lang w:eastAsia="zh-CN"/>
        </w:rPr>
        <w:t>定期对财务收支进行自查与自纠，及时发现并纠正可能存在的问题。此外，资金使用还充分考虑了成本效益原则，通过优化资源配置、提高资金使用效率等措施，确保了项目资金的最大化利用。</w:t>
      </w:r>
    </w:p>
    <w:p w14:paraId="1EEEFF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A02A652">
      <w:pPr>
        <w:pStyle w:val="23"/>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26449666">
      <w:pPr>
        <w:shd w:val="clear"/>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0CF81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C6D9D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w:t>
      </w:r>
      <w:r>
        <w:rPr>
          <w:rFonts w:hint="eastAsia" w:cs="Times New Roman"/>
          <w:sz w:val="32"/>
          <w:szCs w:val="32"/>
          <w:highlight w:val="none"/>
          <w:lang w:eastAsia="zh-CN"/>
        </w:rPr>
        <w:t>同时与我单位的内控制度相结合，</w:t>
      </w:r>
      <w:r>
        <w:rPr>
          <w:rFonts w:hint="default" w:ascii="Times New Roman" w:hAnsi="Times New Roman" w:eastAsia="仿宋_GB2312" w:cs="Times New Roman"/>
          <w:sz w:val="32"/>
          <w:szCs w:val="32"/>
          <w:highlight w:val="none"/>
          <w:lang w:eastAsia="zh-CN"/>
        </w:rPr>
        <w:t>确保制度能够切实指导项目的执行与管理。</w:t>
      </w:r>
    </w:p>
    <w:p w14:paraId="7AB0C4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3944072">
      <w:pPr>
        <w:shd w:val="clear"/>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pPr>
        <w:shd w:val="clear"/>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3C68E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36D5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76389D37">
      <w:pPr>
        <w:pStyle w:val="13"/>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10DDFCB0">
      <w:pPr>
        <w:shd w:val="clear"/>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29958EE4">
      <w:pPr>
        <w:shd w:val="clear"/>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3F32F352">
      <w:pPr>
        <w:shd w:val="clear"/>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cs="Times New Roman"/>
          <w:sz w:val="32"/>
          <w:szCs w:val="32"/>
          <w:highlight w:val="none"/>
          <w:lang w:eastAsia="zh-CN"/>
        </w:rPr>
        <w:t>购买专用材料批次，</w:t>
      </w:r>
      <w:r>
        <w:rPr>
          <w:rFonts w:hint="default" w:ascii="Times New Roman" w:hAnsi="Times New Roman" w:eastAsia="仿宋_GB2312" w:cs="Times New Roman"/>
          <w:sz w:val="32"/>
          <w:szCs w:val="32"/>
          <w:highlight w:val="none"/>
        </w:rPr>
        <w:t>指标值：≥4次</w:t>
      </w:r>
      <w:r>
        <w:rPr>
          <w:rFonts w:hint="eastAsia"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cs="Times New Roman"/>
          <w:sz w:val="32"/>
          <w:szCs w:val="32"/>
          <w:highlight w:val="none"/>
          <w:lang w:val="en-US" w:eastAsia="zh-CN"/>
        </w:rPr>
        <w:t>4次</w:t>
      </w:r>
      <w:r>
        <w:rPr>
          <w:rFonts w:hint="default" w:ascii="Times New Roman" w:hAnsi="Times New Roman" w:eastAsia="仿宋_GB2312" w:cs="Times New Roman"/>
          <w:sz w:val="32"/>
          <w:szCs w:val="32"/>
          <w:highlight w:val="none"/>
        </w:rPr>
        <w:t>，指标完成率</w:t>
      </w:r>
      <w:r>
        <w:rPr>
          <w:rFonts w:hint="eastAsia"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cs="Times New Roman"/>
          <w:sz w:val="32"/>
          <w:szCs w:val="32"/>
          <w:highlight w:val="none"/>
          <w:lang w:eastAsia="zh-CN"/>
        </w:rPr>
        <w:t>。</w:t>
      </w:r>
    </w:p>
    <w:p w14:paraId="2BF031CE">
      <w:pPr>
        <w:shd w:val="clear"/>
        <w:spacing w:line="560" w:lineRule="exact"/>
        <w:ind w:firstLine="640" w:firstLineChars="200"/>
        <w:outlineLvl w:val="0"/>
        <w:rPr>
          <w:rFonts w:hint="eastAsia" w:ascii="Times New Roman" w:hAnsi="Times New Roman" w:eastAsia="仿宋_GB2312" w:cs="Times New Roman"/>
          <w:color w:val="auto"/>
          <w:sz w:val="32"/>
          <w:szCs w:val="32"/>
          <w:highlight w:val="none"/>
          <w:lang w:eastAsia="zh-CN"/>
        </w:rPr>
      </w:pPr>
      <w:r>
        <w:rPr>
          <w:rFonts w:hint="eastAsia" w:cs="Times New Roman"/>
          <w:color w:val="auto"/>
          <w:sz w:val="32"/>
          <w:szCs w:val="32"/>
          <w:highlight w:val="none"/>
          <w:u w:val="none"/>
          <w:lang w:eastAsia="zh-CN"/>
        </w:rPr>
        <w:t>指标</w:t>
      </w:r>
      <w:r>
        <w:rPr>
          <w:rFonts w:hint="eastAsia" w:cs="Times New Roman"/>
          <w:color w:val="auto"/>
          <w:sz w:val="32"/>
          <w:szCs w:val="32"/>
          <w:highlight w:val="none"/>
          <w:u w:val="none"/>
          <w:lang w:val="en-US" w:eastAsia="zh-CN"/>
        </w:rPr>
        <w:t>2：</w:t>
      </w:r>
      <w:r>
        <w:rPr>
          <w:rFonts w:hint="default" w:ascii="Times New Roman" w:hAnsi="Times New Roman" w:eastAsia="仿宋_GB2312" w:cs="Times New Roman"/>
          <w:color w:val="auto"/>
          <w:sz w:val="32"/>
          <w:szCs w:val="32"/>
          <w:highlight w:val="none"/>
          <w:u w:val="none"/>
        </w:rPr>
        <w:t>检定设备数量</w:t>
      </w:r>
      <w:r>
        <w:rPr>
          <w:rFonts w:hint="eastAsia" w:cs="Times New Roman"/>
          <w:color w:val="auto"/>
          <w:sz w:val="32"/>
          <w:szCs w:val="32"/>
          <w:highlight w:val="none"/>
          <w:u w:val="none"/>
          <w:lang w:eastAsia="zh-CN"/>
        </w:rPr>
        <w:t>，指标值：&gt;=50台/件，实际完成值：116台/件，指标完成率232%，偏差原因：因下属单位涉企改革仪器设备划转，需对增加的设备进行检定，造成指标值偏差较大；改进措施：为加强管理，减少偏差。</w:t>
      </w:r>
    </w:p>
    <w:p w14:paraId="1694FCFB">
      <w:pPr>
        <w:shd w:val="clear"/>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4314037">
      <w:pPr>
        <w:shd w:val="clear"/>
        <w:spacing w:line="560" w:lineRule="exact"/>
        <w:ind w:firstLine="640" w:firstLineChars="200"/>
        <w:outlineLvl w:val="0"/>
        <w:rPr>
          <w:rFonts w:hint="eastAsia" w:cs="Times New Roman"/>
          <w:sz w:val="32"/>
          <w:szCs w:val="32"/>
          <w:highlight w:val="none"/>
          <w:lang w:val="en-US" w:eastAsia="zh-CN"/>
        </w:rPr>
      </w:pPr>
      <w:r>
        <w:rPr>
          <w:rFonts w:hint="eastAsia" w:cs="Times New Roman"/>
          <w:sz w:val="32"/>
          <w:szCs w:val="32"/>
          <w:highlight w:val="none"/>
          <w:lang w:val="en-US" w:eastAsia="zh-CN"/>
        </w:rPr>
        <w:t>指标1：</w:t>
      </w:r>
      <w:r>
        <w:rPr>
          <w:rFonts w:hint="default" w:ascii="Times New Roman" w:hAnsi="Times New Roman" w:eastAsia="仿宋_GB2312" w:cs="Times New Roman"/>
          <w:sz w:val="32"/>
          <w:szCs w:val="32"/>
          <w:highlight w:val="none"/>
          <w:lang w:val="en-US" w:eastAsia="zh-CN"/>
        </w:rPr>
        <w:t>维修检定合格率</w:t>
      </w:r>
      <w:r>
        <w:rPr>
          <w:rFonts w:hint="eastAsia" w:cs="Times New Roman"/>
          <w:sz w:val="32"/>
          <w:szCs w:val="32"/>
          <w:highlight w:val="none"/>
          <w:lang w:val="en-US" w:eastAsia="zh-CN"/>
        </w:rPr>
        <w:t>，指标值：&gt;=90%，实际完成值：100%，指标完成率111.11%，偏差原因：因加强了内部管理，各部门拧成一股绳，效率增加，造成完成值有一定偏差；改进措施：下年度设置绩效目标时结合近三年完成情况科学设置。</w:t>
      </w:r>
    </w:p>
    <w:p w14:paraId="1ED73279">
      <w:pPr>
        <w:shd w:val="clear"/>
        <w:spacing w:line="560" w:lineRule="exact"/>
        <w:ind w:firstLine="640" w:firstLineChars="200"/>
        <w:outlineLvl w:val="0"/>
        <w:rPr>
          <w:rFonts w:hint="default" w:ascii="Times New Roman" w:hAnsi="Times New Roman" w:eastAsia="仿宋_GB2312" w:cs="Times New Roman"/>
          <w:sz w:val="32"/>
          <w:szCs w:val="32"/>
          <w:highlight w:val="none"/>
        </w:rPr>
      </w:pPr>
      <w:r>
        <w:rPr>
          <w:rFonts w:hint="eastAsia" w:cs="Times New Roman"/>
          <w:sz w:val="32"/>
          <w:szCs w:val="32"/>
          <w:highlight w:val="none"/>
          <w:lang w:val="en-US" w:eastAsia="zh-CN"/>
        </w:rPr>
        <w:t>指标2：</w:t>
      </w:r>
      <w:r>
        <w:rPr>
          <w:rFonts w:hint="default" w:ascii="Times New Roman" w:hAnsi="Times New Roman" w:eastAsia="仿宋_GB2312" w:cs="Times New Roman"/>
          <w:sz w:val="32"/>
          <w:szCs w:val="32"/>
          <w:highlight w:val="none"/>
          <w:lang w:val="en-US" w:eastAsia="zh-CN"/>
        </w:rPr>
        <w:t>专用材料质量合格率</w:t>
      </w:r>
      <w:r>
        <w:rPr>
          <w:rFonts w:hint="eastAsia" w:cs="Times New Roman"/>
          <w:sz w:val="32"/>
          <w:szCs w:val="32"/>
          <w:highlight w:val="none"/>
          <w:lang w:val="en-US" w:eastAsia="zh-CN"/>
        </w:rPr>
        <w:t>，指标值：&gt;=95%，实际完成值：100%，指标完成率：105.26%，偏差原因：因加强了内部管理，各部门拧成一股绳，效率增加，造成完成值有一定偏差；改进措施：下年度设置绩效目标时结合近三年完成情况科学设置。</w:t>
      </w:r>
    </w:p>
    <w:p w14:paraId="31FEA19F">
      <w:pPr>
        <w:shd w:val="clear"/>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A5156DF">
      <w:pPr>
        <w:shd w:val="clear"/>
        <w:spacing w:line="560" w:lineRule="exact"/>
        <w:ind w:firstLine="640" w:firstLineChars="200"/>
        <w:outlineLvl w:val="0"/>
        <w:rPr>
          <w:rFonts w:hint="eastAsia" w:cs="Times New Roman"/>
          <w:sz w:val="32"/>
          <w:szCs w:val="32"/>
          <w:highlight w:val="none"/>
          <w:lang w:val="en-US" w:eastAsia="zh-CN"/>
        </w:rPr>
      </w:pPr>
      <w:r>
        <w:rPr>
          <w:rFonts w:hint="eastAsia" w:cs="Times New Roman"/>
          <w:sz w:val="32"/>
          <w:szCs w:val="32"/>
          <w:highlight w:val="none"/>
          <w:lang w:eastAsia="zh-CN"/>
        </w:rPr>
        <w:t>指标</w:t>
      </w:r>
      <w:r>
        <w:rPr>
          <w:rFonts w:hint="eastAsia" w:cs="Times New Roman"/>
          <w:sz w:val="32"/>
          <w:szCs w:val="32"/>
          <w:highlight w:val="none"/>
          <w:lang w:val="en-US" w:eastAsia="zh-CN"/>
        </w:rPr>
        <w:t>1：专用材料采购完成及时率，指标值：&gt;=95%，实际完成值：98%，指标完成率：103.16%，偏差原因：因加强了内部管理，各部门拧成一股绳，效率增加，造成完成值有一定偏差；改进措施：下年度设置绩效目标时结合近三年完成情况科学设置。</w:t>
      </w:r>
    </w:p>
    <w:p w14:paraId="44870196">
      <w:pPr>
        <w:shd w:val="clear"/>
        <w:spacing w:line="560" w:lineRule="exact"/>
        <w:ind w:firstLine="640" w:firstLineChars="200"/>
        <w:outlineLvl w:val="0"/>
        <w:rPr>
          <w:rFonts w:hint="default" w:eastAsia="仿宋_GB2312" w:cs="Times New Roman"/>
          <w:sz w:val="32"/>
          <w:szCs w:val="32"/>
          <w:highlight w:val="none"/>
          <w:lang w:val="en-US" w:eastAsia="zh-CN"/>
        </w:rPr>
      </w:pPr>
      <w:r>
        <w:rPr>
          <w:rFonts w:hint="eastAsia" w:cs="Times New Roman"/>
          <w:sz w:val="32"/>
          <w:szCs w:val="32"/>
          <w:highlight w:val="none"/>
          <w:lang w:val="en-US" w:eastAsia="zh-CN"/>
        </w:rPr>
        <w:t>指标2：检验检测及时率, 指标值：&gt;=90%，实际完成值：100%，指标完成率：111.11%，偏差原因：因加强了内部管理，各部门拧成一股绳，效率增加，造成完成值有一定偏差；改进措施：下年度设置绩效目标时结合近三年完成情况科学设置。</w:t>
      </w:r>
    </w:p>
    <w:p w14:paraId="64355250">
      <w:pPr>
        <w:shd w:val="clear"/>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5B38B478">
      <w:pPr>
        <w:shd w:val="clear"/>
        <w:spacing w:line="560" w:lineRule="exact"/>
        <w:ind w:firstLine="640" w:firstLineChars="200"/>
        <w:outlineLvl w:val="0"/>
        <w:rPr>
          <w:rFonts w:hint="eastAsia" w:cs="Times New Roman"/>
          <w:sz w:val="32"/>
          <w:szCs w:val="32"/>
          <w:highlight w:val="none"/>
          <w:lang w:val="en-US" w:eastAsia="zh-CN"/>
        </w:rPr>
      </w:pPr>
      <w:r>
        <w:rPr>
          <w:rFonts w:hint="eastAsia" w:cs="Times New Roman"/>
          <w:sz w:val="32"/>
          <w:szCs w:val="32"/>
          <w:highlight w:val="none"/>
          <w:lang w:val="en-US" w:eastAsia="zh-CN"/>
        </w:rPr>
        <w:t>指标1：</w:t>
      </w:r>
      <w:r>
        <w:rPr>
          <w:rFonts w:hint="default" w:ascii="Times New Roman" w:hAnsi="Times New Roman" w:eastAsia="仿宋_GB2312" w:cs="Times New Roman"/>
          <w:sz w:val="32"/>
          <w:szCs w:val="32"/>
          <w:highlight w:val="none"/>
          <w:lang w:val="en-US" w:eastAsia="zh-CN"/>
        </w:rPr>
        <w:t>监督管理投入成本</w:t>
      </w:r>
      <w:r>
        <w:rPr>
          <w:rFonts w:hint="eastAsia" w:cs="Times New Roman"/>
          <w:sz w:val="32"/>
          <w:szCs w:val="32"/>
          <w:highlight w:val="none"/>
          <w:lang w:val="en-US" w:eastAsia="zh-CN"/>
        </w:rPr>
        <w:t>,指标值：&lt;=100万元，实际完成值：99.94万元，指标完成率：99.94%，偏差原因：因在开展棉花监督管理工作中受不确定因素影响，造成完成值有一定偏差；改进措施：下年度设置绩效目标时结合近三年完成情况科学设置。</w:t>
      </w:r>
    </w:p>
    <w:p w14:paraId="58A59624">
      <w:pPr>
        <w:shd w:val="clear"/>
        <w:spacing w:line="560" w:lineRule="exact"/>
        <w:ind w:firstLine="640" w:firstLineChars="200"/>
        <w:outlineLvl w:val="0"/>
        <w:rPr>
          <w:rFonts w:hint="default" w:cs="Times New Roman"/>
          <w:sz w:val="32"/>
          <w:szCs w:val="32"/>
          <w:highlight w:val="none"/>
          <w:lang w:val="en-US" w:eastAsia="zh-CN"/>
        </w:rPr>
      </w:pPr>
      <w:r>
        <w:rPr>
          <w:rFonts w:hint="eastAsia" w:cs="Times New Roman"/>
          <w:sz w:val="32"/>
          <w:szCs w:val="32"/>
          <w:highlight w:val="none"/>
          <w:lang w:val="en-US" w:eastAsia="zh-CN"/>
        </w:rPr>
        <w:t>指标2：课题研究投入成本，指标值：&lt;=25万元，实际完成值：24.58万元，指标完成率：98.32%，偏差原因：因课题研究进度影响，造成完成值有一定偏差；改进措施：下年度设置绩效目标时结合近三年完成情况科学设置。</w:t>
      </w:r>
    </w:p>
    <w:p w14:paraId="030F6C36">
      <w:pPr>
        <w:pStyle w:val="13"/>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1F3F1CD8">
      <w:pPr>
        <w:shd w:val="clear"/>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588D10DF">
      <w:pPr>
        <w:shd w:val="clear"/>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7AE7C806">
      <w:pPr>
        <w:shd w:val="clear"/>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D7D881C">
      <w:pPr>
        <w:shd w:val="clear"/>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cs="Times New Roman"/>
          <w:sz w:val="32"/>
          <w:szCs w:val="32"/>
          <w:highlight w:val="none"/>
          <w:lang w:val="en-US" w:eastAsia="zh-CN"/>
        </w:rPr>
        <w:t>指标1：结果公示率，指标值：&gt;=90%，实际完成值：100%，指标完成率：111.11%，偏差原因：因受新疆棉原因，造成完成值有一定偏差；改进措施：下年度设置绩效目标时结合近三年完成情况科学设置。</w:t>
      </w:r>
    </w:p>
    <w:p w14:paraId="7CC00B02">
      <w:pPr>
        <w:shd w:val="clear"/>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38063736">
      <w:pPr>
        <w:spacing w:line="560" w:lineRule="exact"/>
        <w:ind w:firstLine="640" w:firstLineChars="200"/>
        <w:rPr>
          <w:rFonts w:hint="eastAsia" w:cs="Times New Roman"/>
          <w:sz w:val="32"/>
          <w:szCs w:val="32"/>
          <w:highlight w:val="none"/>
          <w:lang w:val="en-US" w:eastAsia="zh-CN"/>
        </w:rPr>
      </w:pPr>
      <w:r>
        <w:rPr>
          <w:rFonts w:hint="eastAsia" w:cs="Times New Roman"/>
          <w:sz w:val="32"/>
          <w:szCs w:val="32"/>
          <w:highlight w:val="none"/>
          <w:lang w:val="en-US" w:eastAsia="zh-CN"/>
        </w:rPr>
        <w:t>指标1：客户满意度，指标值：&gt;=90%，实际完成值：100%，指标完成率：111.11%，偏差原因：因加强了外部服务，得到各方认可，效率增加，造成指标值有一定偏差；改进措施：下年度设置绩效目标时结合近三年完成情况科学设置。</w:t>
      </w:r>
    </w:p>
    <w:p w14:paraId="4E8E84AD">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14:paraId="57CD9149">
      <w:pPr>
        <w:pStyle w:val="23"/>
        <w:spacing w:line="560" w:lineRule="exact"/>
        <w:ind w:firstLine="641"/>
        <w:rPr>
          <w:rFonts w:hint="default" w:ascii="Times New Roman" w:hAnsi="Times New Roman" w:eastAsia="仿宋_GB2312" w:cs="Times New Roman"/>
          <w:kern w:val="2"/>
          <w:sz w:val="32"/>
          <w:szCs w:val="32"/>
        </w:rPr>
      </w:pPr>
      <w:r>
        <w:rPr>
          <w:rFonts w:hint="default" w:eastAsia="仿宋_GB2312" w:cs="Times New Roman"/>
          <w:kern w:val="2"/>
          <w:sz w:val="32"/>
          <w:szCs w:val="32"/>
          <w:lang w:val="en-US" w:eastAsia="zh-CN"/>
        </w:rPr>
        <w:t>棉花监督管理专项</w:t>
      </w:r>
      <w:r>
        <w:rPr>
          <w:rFonts w:hint="default" w:ascii="Times New Roman" w:hAnsi="Times New Roman" w:eastAsia="仿宋_GB2312" w:cs="Times New Roman"/>
          <w:kern w:val="2"/>
          <w:sz w:val="32"/>
          <w:szCs w:val="32"/>
        </w:rPr>
        <w:t>项目年初预算</w:t>
      </w:r>
      <w:r>
        <w:rPr>
          <w:rFonts w:hint="default" w:eastAsia="仿宋_GB2312" w:cs="Times New Roman"/>
          <w:kern w:val="2"/>
          <w:sz w:val="32"/>
          <w:szCs w:val="32"/>
          <w:lang w:val="en-US" w:eastAsia="zh-CN"/>
        </w:rPr>
        <w:t>125</w:t>
      </w:r>
      <w:r>
        <w:rPr>
          <w:rFonts w:hint="default" w:ascii="Times New Roman" w:hAnsi="Times New Roman" w:eastAsia="仿宋_GB2312" w:cs="Times New Roman"/>
          <w:kern w:val="2"/>
          <w:sz w:val="32"/>
          <w:szCs w:val="32"/>
        </w:rPr>
        <w:t>万元，全年预算</w:t>
      </w:r>
      <w:r>
        <w:rPr>
          <w:rFonts w:hint="default" w:eastAsia="仿宋_GB2312" w:cs="Times New Roman"/>
          <w:kern w:val="2"/>
          <w:sz w:val="32"/>
          <w:szCs w:val="32"/>
          <w:lang w:val="en-US" w:eastAsia="zh-CN"/>
        </w:rPr>
        <w:t>125</w:t>
      </w:r>
      <w:r>
        <w:rPr>
          <w:rFonts w:hint="default" w:ascii="Times New Roman" w:hAnsi="Times New Roman" w:eastAsia="仿宋_GB2312" w:cs="Times New Roman"/>
          <w:kern w:val="2"/>
          <w:sz w:val="32"/>
          <w:szCs w:val="32"/>
        </w:rPr>
        <w:t>万元，实际支出</w:t>
      </w:r>
      <w:r>
        <w:rPr>
          <w:rFonts w:hint="default" w:eastAsia="仿宋_GB2312" w:cs="Times New Roman"/>
          <w:kern w:val="2"/>
          <w:sz w:val="32"/>
          <w:szCs w:val="32"/>
          <w:lang w:val="en-US" w:eastAsia="zh-CN"/>
        </w:rPr>
        <w:t>125</w:t>
      </w:r>
      <w:r>
        <w:rPr>
          <w:rFonts w:hint="default" w:ascii="Times New Roman" w:hAnsi="Times New Roman" w:eastAsia="仿宋_GB2312" w:cs="Times New Roman"/>
          <w:kern w:val="2"/>
          <w:sz w:val="32"/>
          <w:szCs w:val="32"/>
        </w:rPr>
        <w:t>万元，预算执行率为</w:t>
      </w:r>
      <w:r>
        <w:rPr>
          <w:rFonts w:hint="default" w:eastAsia="仿宋_GB2312" w:cs="Times New Roman"/>
          <w:kern w:val="2"/>
          <w:sz w:val="32"/>
          <w:szCs w:val="32"/>
          <w:lang w:val="en-US" w:eastAsia="zh-CN"/>
        </w:rPr>
        <w:t>100</w:t>
      </w:r>
      <w:r>
        <w:rPr>
          <w:rFonts w:hint="default" w:ascii="Times New Roman" w:hAnsi="Times New Roman" w:eastAsia="仿宋_GB2312" w:cs="Times New Roman"/>
          <w:kern w:val="2"/>
          <w:sz w:val="32"/>
          <w:szCs w:val="32"/>
        </w:rPr>
        <w:t>%，项目绩效指标总体完成率为</w:t>
      </w:r>
      <w:r>
        <w:rPr>
          <w:rFonts w:hint="default" w:eastAsia="仿宋_GB2312" w:cs="Times New Roman"/>
          <w:kern w:val="2"/>
          <w:sz w:val="32"/>
          <w:szCs w:val="32"/>
          <w:lang w:val="en-US" w:eastAsia="zh-CN"/>
        </w:rPr>
        <w:t>118.31</w:t>
      </w:r>
      <w:r>
        <w:rPr>
          <w:rFonts w:hint="default" w:ascii="Times New Roman" w:hAnsi="Times New Roman" w:eastAsia="仿宋_GB2312" w:cs="Times New Roman"/>
          <w:kern w:val="2"/>
          <w:sz w:val="32"/>
          <w:szCs w:val="32"/>
        </w:rPr>
        <w:t>%，</w:t>
      </w:r>
      <w:r>
        <w:rPr>
          <w:rFonts w:hint="default" w:ascii="Times New Roman" w:hAnsi="Times New Roman" w:eastAsia="仿宋_GB2312" w:cs="Times New Roman"/>
          <w:kern w:val="2"/>
          <w:sz w:val="32"/>
          <w:szCs w:val="32"/>
          <w:lang w:eastAsia="zh-CN"/>
        </w:rPr>
        <w:t>总体</w:t>
      </w:r>
      <w:r>
        <w:rPr>
          <w:rFonts w:hint="default" w:ascii="Times New Roman" w:hAnsi="Times New Roman" w:eastAsia="仿宋_GB2312" w:cs="Times New Roman"/>
          <w:kern w:val="2"/>
          <w:sz w:val="32"/>
          <w:szCs w:val="32"/>
        </w:rPr>
        <w:t>偏差率为</w:t>
      </w:r>
      <w:r>
        <w:rPr>
          <w:rFonts w:hint="default" w:eastAsia="仿宋_GB2312" w:cs="Times New Roman"/>
          <w:kern w:val="2"/>
          <w:sz w:val="32"/>
          <w:szCs w:val="32"/>
          <w:lang w:val="en-US" w:eastAsia="zh-CN"/>
        </w:rPr>
        <w:t>18.31</w:t>
      </w:r>
      <w:r>
        <w:rPr>
          <w:rFonts w:hint="default" w:ascii="Times New Roman" w:hAnsi="Times New Roman" w:eastAsia="仿宋_GB2312" w:cs="Times New Roman"/>
          <w:kern w:val="2"/>
          <w:sz w:val="32"/>
          <w:szCs w:val="32"/>
        </w:rPr>
        <w:t>%</w:t>
      </w:r>
      <w:r>
        <w:rPr>
          <w:rFonts w:hint="default" w:ascii="Times New Roman" w:hAnsi="Times New Roman" w:cs="Times New Roman"/>
          <w:kern w:val="2"/>
          <w:sz w:val="32"/>
          <w:szCs w:val="32"/>
          <w:lang w:eastAsia="zh-CN"/>
        </w:rPr>
        <w:t>，</w:t>
      </w:r>
      <w:r>
        <w:rPr>
          <w:rFonts w:hint="default" w:ascii="Times New Roman" w:hAnsi="Times New Roman" w:eastAsia="仿宋_GB2312" w:cs="Times New Roman"/>
          <w:kern w:val="2"/>
          <w:sz w:val="32"/>
          <w:szCs w:val="32"/>
          <w:lang w:eastAsia="zh-CN"/>
        </w:rPr>
        <w:t>偏差</w:t>
      </w:r>
      <w:r>
        <w:rPr>
          <w:rFonts w:hint="default" w:ascii="Times New Roman" w:hAnsi="Times New Roman" w:eastAsia="仿宋_GB2312" w:cs="Times New Roman"/>
          <w:kern w:val="2"/>
          <w:sz w:val="32"/>
          <w:szCs w:val="32"/>
        </w:rPr>
        <w:t>原因</w:t>
      </w:r>
      <w:r>
        <w:rPr>
          <w:rFonts w:hint="default" w:eastAsia="仿宋_GB2312" w:cs="Times New Roman"/>
          <w:kern w:val="2"/>
          <w:sz w:val="32"/>
          <w:szCs w:val="32"/>
          <w:lang w:eastAsia="zh-CN"/>
        </w:rPr>
        <w:t>是</w:t>
      </w:r>
      <w:r>
        <w:rPr>
          <w:rFonts w:hint="default" w:cs="Times New Roman"/>
          <w:kern w:val="2"/>
          <w:sz w:val="32"/>
          <w:szCs w:val="32"/>
          <w:lang w:val="en-US" w:eastAsia="zh-CN"/>
        </w:rPr>
        <w:t>在开展棉花监督管理工作中受不确定因素影响，造成完成值有一定偏差</w:t>
      </w:r>
      <w:r>
        <w:rPr>
          <w:rFonts w:hint="eastAsia" w:cs="Times New Roman"/>
          <w:kern w:val="2"/>
          <w:sz w:val="32"/>
          <w:szCs w:val="32"/>
          <w:lang w:val="en-US" w:eastAsia="zh-CN"/>
        </w:rPr>
        <w:t>，</w:t>
      </w:r>
      <w:r>
        <w:rPr>
          <w:rFonts w:hint="default" w:ascii="Times New Roman" w:hAnsi="Times New Roman" w:eastAsia="仿宋_GB2312" w:cs="Times New Roman"/>
          <w:kern w:val="2"/>
          <w:sz w:val="32"/>
          <w:szCs w:val="32"/>
          <w:lang w:eastAsia="zh-CN"/>
        </w:rPr>
        <w:t>改进</w:t>
      </w:r>
      <w:r>
        <w:rPr>
          <w:rFonts w:hint="default" w:ascii="Times New Roman" w:hAnsi="Times New Roman" w:eastAsia="仿宋_GB2312" w:cs="Times New Roman"/>
          <w:kern w:val="2"/>
          <w:sz w:val="32"/>
          <w:szCs w:val="32"/>
        </w:rPr>
        <w:t>措施</w:t>
      </w:r>
      <w:r>
        <w:rPr>
          <w:rFonts w:hint="eastAsia" w:cs="Times New Roman"/>
          <w:kern w:val="2"/>
          <w:sz w:val="32"/>
          <w:szCs w:val="32"/>
          <w:lang w:eastAsia="zh-CN"/>
        </w:rPr>
        <w:t>是</w:t>
      </w:r>
      <w:r>
        <w:rPr>
          <w:rFonts w:hint="default" w:cs="Times New Roman"/>
          <w:kern w:val="2"/>
          <w:sz w:val="32"/>
          <w:szCs w:val="32"/>
          <w:lang w:val="en-US" w:eastAsia="zh-CN"/>
        </w:rPr>
        <w:t>下年度设置绩效目标时结合近三年完成情况科学设置</w:t>
      </w:r>
      <w:r>
        <w:rPr>
          <w:rFonts w:hint="default" w:ascii="Times New Roman" w:hAnsi="Times New Roman" w:eastAsia="仿宋_GB2312" w:cs="Times New Roman"/>
          <w:kern w:val="2"/>
          <w:sz w:val="32"/>
          <w:szCs w:val="32"/>
        </w:rPr>
        <w:t>。</w:t>
      </w:r>
    </w:p>
    <w:p w14:paraId="5DED8768">
      <w:pPr>
        <w:spacing w:line="560" w:lineRule="exact"/>
        <w:ind w:firstLine="640" w:firstLineChars="200"/>
        <w:rPr>
          <w:rStyle w:val="3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F9FADCA">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40A9A561">
      <w:pPr>
        <w:widowControl/>
        <w:spacing w:line="560" w:lineRule="exact"/>
        <w:ind w:firstLine="640" w:firstLineChars="20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rPr>
        <w:t>棉花监督管理专项项目</w:t>
      </w:r>
      <w:r>
        <w:rPr>
          <w:rFonts w:hint="eastAsia" w:cs="Times New Roman"/>
          <w:sz w:val="32"/>
          <w:szCs w:val="32"/>
          <w:lang w:eastAsia="zh-CN"/>
        </w:rPr>
        <w:t>在</w:t>
      </w:r>
      <w:r>
        <w:rPr>
          <w:rFonts w:hint="default" w:ascii="Times New Roman" w:hAnsi="Times New Roman" w:eastAsia="仿宋_GB2312" w:cs="Times New Roman"/>
          <w:sz w:val="32"/>
          <w:szCs w:val="32"/>
        </w:rPr>
        <w:t>完成后，</w:t>
      </w:r>
      <w:r>
        <w:rPr>
          <w:rFonts w:hint="eastAsia" w:cs="Times New Roman"/>
          <w:sz w:val="32"/>
          <w:szCs w:val="32"/>
          <w:lang w:eastAsia="zh-CN"/>
        </w:rPr>
        <w:t>我中心广泛收集棉花加工企业以及纺织服装企业对质量监督开展工作的好的建议和意见，并对如何有效提升我区纤维质量与广大企业进行座谈。</w:t>
      </w:r>
      <w:r>
        <w:rPr>
          <w:rFonts w:hint="eastAsia" w:cs="Times New Roman"/>
          <w:sz w:val="32"/>
          <w:szCs w:val="32"/>
          <w:lang w:val="en-US" w:eastAsia="zh-CN"/>
        </w:rPr>
        <w:t>通过广泛收集各方建议和意见，</w:t>
      </w:r>
      <w:r>
        <w:rPr>
          <w:rFonts w:hint="eastAsia" w:cs="Times New Roman"/>
          <w:b w:val="0"/>
          <w:bCs w:val="0"/>
          <w:spacing w:val="0"/>
          <w:sz w:val="32"/>
          <w:szCs w:val="32"/>
          <w:highlight w:val="none"/>
          <w:shd w:val="clear"/>
          <w:lang w:val="en-US" w:eastAsia="zh-CN"/>
        </w:rPr>
        <w:t>促进了</w:t>
      </w:r>
      <w:r>
        <w:rPr>
          <w:rFonts w:hint="default" w:ascii="Times New Roman" w:hAnsi="Times New Roman" w:eastAsia="仿宋_GB2312" w:cs="Times New Roman"/>
          <w:b w:val="0"/>
          <w:bCs w:val="0"/>
          <w:spacing w:val="0"/>
          <w:sz w:val="32"/>
          <w:szCs w:val="32"/>
          <w:highlight w:val="none"/>
          <w:shd w:val="clear"/>
        </w:rPr>
        <w:t>纤检技术</w:t>
      </w:r>
      <w:r>
        <w:rPr>
          <w:rFonts w:hint="eastAsia" w:cs="Times New Roman"/>
          <w:b w:val="0"/>
          <w:bCs w:val="0"/>
          <w:spacing w:val="0"/>
          <w:sz w:val="32"/>
          <w:szCs w:val="32"/>
          <w:highlight w:val="none"/>
          <w:shd w:val="clear"/>
          <w:lang w:val="en-US" w:eastAsia="zh-CN"/>
        </w:rPr>
        <w:t>进步，</w:t>
      </w:r>
      <w:r>
        <w:rPr>
          <w:rFonts w:hint="default" w:ascii="Times New Roman" w:hAnsi="Times New Roman" w:eastAsia="仿宋_GB2312" w:cs="Times New Roman"/>
          <w:b w:val="0"/>
          <w:bCs w:val="0"/>
          <w:spacing w:val="0"/>
          <w:sz w:val="32"/>
          <w:szCs w:val="32"/>
          <w:highlight w:val="none"/>
          <w:shd w:val="clear"/>
        </w:rPr>
        <w:t>有利于全疆纤维产业发展</w:t>
      </w:r>
      <w:r>
        <w:rPr>
          <w:rFonts w:hint="eastAsia" w:cs="Times New Roman"/>
          <w:b w:val="0"/>
          <w:bCs w:val="0"/>
          <w:spacing w:val="0"/>
          <w:sz w:val="32"/>
          <w:szCs w:val="32"/>
          <w:highlight w:val="none"/>
          <w:shd w:val="clear"/>
          <w:lang w:val="en-US" w:eastAsia="zh-CN"/>
        </w:rPr>
        <w:t>和</w:t>
      </w:r>
      <w:r>
        <w:rPr>
          <w:rFonts w:hint="default" w:ascii="Times New Roman" w:hAnsi="Times New Roman" w:eastAsia="仿宋_GB2312" w:cs="Times New Roman"/>
          <w:b w:val="0"/>
          <w:bCs w:val="0"/>
          <w:spacing w:val="0"/>
          <w:sz w:val="32"/>
          <w:szCs w:val="32"/>
          <w:highlight w:val="none"/>
          <w:shd w:val="clear"/>
        </w:rPr>
        <w:t>创新纤检技术的科研攻关水平</w:t>
      </w:r>
      <w:r>
        <w:rPr>
          <w:rFonts w:hint="eastAsia" w:cs="Times New Roman"/>
          <w:b w:val="0"/>
          <w:bCs w:val="0"/>
          <w:spacing w:val="0"/>
          <w:sz w:val="32"/>
          <w:szCs w:val="32"/>
          <w:highlight w:val="none"/>
          <w:shd w:val="clear"/>
          <w:lang w:eastAsia="zh-CN"/>
        </w:rPr>
        <w:t>的</w:t>
      </w:r>
      <w:r>
        <w:rPr>
          <w:rFonts w:hint="eastAsia" w:cs="Times New Roman"/>
          <w:b w:val="0"/>
          <w:bCs w:val="0"/>
          <w:spacing w:val="0"/>
          <w:sz w:val="32"/>
          <w:szCs w:val="32"/>
          <w:highlight w:val="none"/>
          <w:shd w:val="clear"/>
          <w:lang w:val="en-US" w:eastAsia="zh-CN"/>
        </w:rPr>
        <w:t>提高</w:t>
      </w:r>
      <w:r>
        <w:rPr>
          <w:rFonts w:hint="default" w:ascii="Times New Roman" w:hAnsi="Times New Roman" w:eastAsia="仿宋_GB2312" w:cs="Times New Roman"/>
          <w:b w:val="0"/>
          <w:bCs w:val="0"/>
          <w:spacing w:val="0"/>
          <w:sz w:val="32"/>
          <w:szCs w:val="32"/>
          <w:highlight w:val="none"/>
          <w:shd w:val="clear"/>
        </w:rPr>
        <w:t>。</w:t>
      </w:r>
    </w:p>
    <w:p w14:paraId="46599967">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3D11C7D3">
      <w:pPr>
        <w:spacing w:line="560" w:lineRule="exact"/>
        <w:ind w:firstLine="640" w:firstLineChars="200"/>
        <w:outlineLvl w:val="9"/>
        <w:rPr>
          <w:rFonts w:hint="eastAsia" w:ascii="仿宋_GB2312"/>
          <w:color w:val="000000" w:themeColor="text1"/>
          <w:sz w:val="32"/>
          <w:szCs w:val="32"/>
          <w:lang w:eastAsia="zh-CN"/>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存在问题：</w:t>
      </w:r>
      <w:r>
        <w:rPr>
          <w:rFonts w:hint="eastAsia" w:ascii="仿宋_GB2312"/>
          <w:color w:val="000000" w:themeColor="text1"/>
          <w:sz w:val="32"/>
          <w:szCs w:val="32"/>
          <w:lang w:eastAsia="zh-CN"/>
          <w14:textFill>
            <w14:solidFill>
              <w14:schemeClr w14:val="tx1"/>
            </w14:solidFill>
          </w14:textFill>
        </w:rPr>
        <w:t>一</w:t>
      </w:r>
      <w:r>
        <w:rPr>
          <w:rFonts w:hint="default" w:ascii="Times New Roman"/>
          <w:sz w:val="32"/>
          <w:szCs w:val="32"/>
          <w:lang w:eastAsia="zh-CN"/>
        </w:rPr>
        <w:t>是</w:t>
      </w:r>
      <w:r>
        <w:rPr>
          <w:rFonts w:hint="default" w:ascii="Times New Roman"/>
          <w:sz w:val="32"/>
          <w:szCs w:val="32"/>
        </w:rPr>
        <w:t>受</w:t>
      </w:r>
      <w:r>
        <w:rPr>
          <w:rFonts w:hint="default" w:ascii="Times New Roman"/>
          <w:sz w:val="32"/>
          <w:szCs w:val="32"/>
          <w:lang w:val="en-US" w:eastAsia="zh-CN"/>
        </w:rPr>
        <w:t>2024年下属单位改企工作</w:t>
      </w:r>
      <w:r>
        <w:rPr>
          <w:rFonts w:hint="default" w:ascii="Times New Roman"/>
          <w:sz w:val="32"/>
          <w:szCs w:val="32"/>
        </w:rPr>
        <w:t>影响，在开展</w:t>
      </w:r>
      <w:r>
        <w:rPr>
          <w:rFonts w:hint="default" w:ascii="Times New Roman"/>
          <w:sz w:val="32"/>
          <w:szCs w:val="32"/>
          <w:lang w:val="en-US" w:eastAsia="zh-CN"/>
        </w:rPr>
        <w:t>纤维质量风险监测</w:t>
      </w:r>
      <w:r>
        <w:rPr>
          <w:rFonts w:hint="default" w:ascii="Times New Roman"/>
          <w:sz w:val="32"/>
          <w:szCs w:val="32"/>
        </w:rPr>
        <w:t>时，存在部分工作</w:t>
      </w:r>
      <w:r>
        <w:rPr>
          <w:rFonts w:hint="eastAsia" w:ascii="仿宋_GB2312"/>
          <w:color w:val="000000" w:themeColor="text1"/>
          <w:sz w:val="32"/>
          <w:szCs w:val="32"/>
          <w14:textFill>
            <w14:solidFill>
              <w14:schemeClr w14:val="tx1"/>
            </w14:solidFill>
          </w14:textFill>
        </w:rPr>
        <w:t>相对滞后。</w:t>
      </w:r>
      <w:r>
        <w:rPr>
          <w:rFonts w:hint="eastAsia" w:ascii="仿宋_GB2312"/>
          <w:color w:val="000000" w:themeColor="text1"/>
          <w:sz w:val="32"/>
          <w:szCs w:val="32"/>
          <w:lang w:eastAsia="zh-CN"/>
          <w14:textFill>
            <w14:solidFill>
              <w14:schemeClr w14:val="tx1"/>
            </w14:solidFill>
          </w14:textFill>
        </w:rPr>
        <w:t>二是因下属单位涉企改革仪器设备划转，需对增加的设备进行检定，造成指标值偏差较大。</w:t>
      </w:r>
    </w:p>
    <w:p w14:paraId="1F83B837">
      <w:pPr>
        <w:spacing w:line="560" w:lineRule="exact"/>
        <w:ind w:firstLine="640" w:firstLineChars="200"/>
        <w:outlineLvl w:val="9"/>
        <w:rPr>
          <w:rFonts w:hint="eastAsia" w:ascii="仿宋_GB2312"/>
          <w:color w:val="000000" w:themeColor="text1"/>
          <w:sz w:val="32"/>
          <w:szCs w:val="32"/>
          <w:lang w:eastAsia="zh-CN"/>
          <w14:textFill>
            <w14:solidFill>
              <w14:schemeClr w14:val="tx1"/>
            </w14:solidFill>
          </w14:textFill>
        </w:rPr>
      </w:pPr>
      <w:r>
        <w:rPr>
          <w:rFonts w:hint="eastAsia"/>
          <w:color w:val="auto"/>
          <w:sz w:val="32"/>
          <w:szCs w:val="32"/>
          <w:shd w:val="clear" w:color="auto" w:fill="auto"/>
          <w:lang w:val="en-US" w:eastAsia="zh-CN"/>
        </w:rPr>
        <w:t>原因分析：工作统筹上存在偏差，造成一些工作相对滞后。</w:t>
      </w:r>
      <w:r>
        <w:rPr>
          <w:rFonts w:hint="eastAsia" w:ascii="仿宋_GB2312"/>
          <w:color w:val="000000" w:themeColor="text1"/>
          <w:sz w:val="32"/>
          <w:szCs w:val="32"/>
          <w:lang w:eastAsia="zh-CN"/>
          <w14:textFill>
            <w14:solidFill>
              <w14:schemeClr w14:val="tx1"/>
            </w14:solidFill>
          </w14:textFill>
        </w:rPr>
        <w:t>改进措施为在</w:t>
      </w:r>
      <w:r>
        <w:rPr>
          <w:rFonts w:hint="eastAsia" w:ascii="仿宋_GB2312"/>
          <w:color w:val="000000" w:themeColor="text1"/>
          <w:sz w:val="32"/>
          <w:szCs w:val="32"/>
          <w:lang w:val="en-US" w:eastAsia="zh-CN"/>
          <w14:textFill>
            <w14:solidFill>
              <w14:schemeClr w14:val="tx1"/>
            </w14:solidFill>
          </w14:textFill>
        </w:rPr>
        <w:t>工作中</w:t>
      </w:r>
      <w:r>
        <w:rPr>
          <w:rFonts w:hint="eastAsia" w:ascii="仿宋_GB2312"/>
          <w:color w:val="000000" w:themeColor="text1"/>
          <w:sz w:val="32"/>
          <w:szCs w:val="32"/>
          <w:lang w:eastAsia="zh-CN"/>
          <w14:textFill>
            <w14:solidFill>
              <w14:schemeClr w14:val="tx1"/>
            </w14:solidFill>
          </w14:textFill>
        </w:rPr>
        <w:t>加强管理，减少偏差。</w:t>
      </w:r>
    </w:p>
    <w:p w14:paraId="581D1A14">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5E43ECCD">
      <w:pPr>
        <w:spacing w:line="56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加大对实验室的投资经费力度。</w:t>
      </w:r>
      <w:r>
        <w:rPr>
          <w:rFonts w:hint="eastAsia" w:ascii="仿宋_GB2312" w:hAnsi="仿宋_GB2312" w:cs="仿宋_GB2312"/>
          <w:sz w:val="32"/>
          <w:szCs w:val="32"/>
        </w:rPr>
        <w:t>做好前期实地调研工作以及对市场情况准确的把握，及时完善实验室设备、人员、基建、后勤等工作，为开展检验项目前提供硬件和数据支持，顺利完成每年的目标任务。</w:t>
      </w:r>
    </w:p>
    <w:p w14:paraId="3AB05DC2">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其他需要说明的问题</w:t>
      </w:r>
    </w:p>
    <w:p w14:paraId="078F1386">
      <w:pPr>
        <w:pStyle w:val="14"/>
        <w:spacing w:after="0" w:line="560" w:lineRule="exact"/>
        <w:ind w:left="0" w:leftChars="0" w:firstLine="640"/>
        <w:rPr>
          <w:rFonts w:hint="default" w:ascii="Times New Roman" w:hAnsi="Times New Roman" w:eastAsia="仿宋_GB2312" w:cs="Times New Roman"/>
          <w:sz w:val="32"/>
          <w:szCs w:val="32"/>
          <w:lang w:eastAsia="zh-Hans"/>
        </w:rPr>
        <w:sectPr>
          <w:pgSz w:w="11906" w:h="16838"/>
          <w:pgMar w:top="1701" w:right="1417" w:bottom="1417" w:left="1417" w:header="851" w:footer="992" w:gutter="0"/>
          <w:cols w:space="425" w:num="1"/>
          <w:docGrid w:type="lines" w:linePitch="312" w:charSpace="0"/>
        </w:sectPr>
      </w:pPr>
      <w:r>
        <w:rPr>
          <w:rFonts w:hint="default" w:ascii="Times New Roman" w:hAnsi="Times New Roman" w:eastAsia="仿宋_GB2312" w:cs="Times New Roman"/>
          <w:sz w:val="32"/>
          <w:szCs w:val="32"/>
          <w:lang w:eastAsia="zh-Hans"/>
        </w:rPr>
        <w:t>本项目无其他需说明的问题。</w:t>
      </w:r>
    </w:p>
    <w:p w14:paraId="3B939547">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4F6B37B4">
      <w:pPr>
        <w:pStyle w:val="23"/>
        <w:ind w:firstLine="562"/>
        <w:jc w:val="center"/>
        <w:rPr>
          <w:rFonts w:hint="eastAsia" w:ascii="仿宋_GB2312" w:hAnsi="仿宋_GB2312" w:eastAsia="仿宋_GB2312" w:cs="仿宋_GB2312"/>
          <w:sz w:val="28"/>
          <w:szCs w:val="40"/>
        </w:rPr>
      </w:pPr>
      <w:bookmarkStart w:id="5" w:name="_Toc30064_WPSOffice_Level1"/>
      <w:bookmarkStart w:id="6" w:name="_Toc26499_WPSOffice_Level2"/>
      <w:r>
        <w:rPr>
          <w:rFonts w:hint="eastAsia" w:ascii="仿宋_GB2312" w:hAnsi="仿宋_GB2312" w:cs="仿宋_GB2312"/>
          <w:b/>
          <w:bCs/>
          <w:sz w:val="28"/>
          <w:szCs w:val="40"/>
          <w:highlight w:val="none"/>
          <w:lang w:val="en-US" w:eastAsia="zh-CN"/>
        </w:rPr>
        <w:t>棉花质量监督管理</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5"/>
      <w:bookmarkEnd w:id="6"/>
    </w:p>
    <w:tbl>
      <w:tblPr>
        <w:tblStyle w:val="1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2"/>
        <w:gridCol w:w="1000"/>
        <w:gridCol w:w="1071"/>
        <w:gridCol w:w="1725"/>
        <w:gridCol w:w="5216"/>
        <w:gridCol w:w="5"/>
        <w:gridCol w:w="1299"/>
        <w:gridCol w:w="1365"/>
      </w:tblGrid>
      <w:tr w14:paraId="4F107E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5" w:type="pct"/>
            <w:shd w:val="clear" w:color="auto" w:fill="FFFFFF"/>
            <w:vAlign w:val="center"/>
          </w:tcPr>
          <w:p w14:paraId="61AA652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14:paraId="3CCC7E8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14:paraId="5EABFBA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14:paraId="5175A39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6" w:type="pct"/>
            <w:shd w:val="clear" w:color="auto" w:fill="FFFFFF"/>
            <w:vAlign w:val="center"/>
          </w:tcPr>
          <w:p w14:paraId="130905C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4" w:type="pct"/>
            <w:gridSpan w:val="2"/>
            <w:shd w:val="clear" w:color="auto" w:fill="FFFFFF"/>
            <w:vAlign w:val="center"/>
          </w:tcPr>
          <w:p w14:paraId="4394327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14:paraId="4767584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507B5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5" w:type="pct"/>
            <w:vMerge w:val="restart"/>
            <w:shd w:val="clear" w:color="auto" w:fill="FFFFFF"/>
            <w:vAlign w:val="center"/>
          </w:tcPr>
          <w:p w14:paraId="30DD2841">
            <w:pPr>
              <w:widowControl/>
              <w:spacing w:line="0" w:lineRule="atLeast"/>
              <w:jc w:val="center"/>
              <w:rPr>
                <w:rFonts w:hint="default" w:ascii="Times New Roman" w:hAnsi="Times New Roman" w:eastAsia="仿宋_GB2312" w:cs="Times New Roman"/>
                <w:color w:val="000000"/>
                <w:kern w:val="0"/>
                <w:sz w:val="18"/>
                <w:szCs w:val="18"/>
              </w:rPr>
            </w:pPr>
          </w:p>
          <w:p w14:paraId="5C999CB4">
            <w:pPr>
              <w:widowControl/>
              <w:spacing w:line="0" w:lineRule="atLeast"/>
              <w:jc w:val="center"/>
              <w:rPr>
                <w:rFonts w:hint="default" w:ascii="Times New Roman" w:hAnsi="Times New Roman" w:eastAsia="仿宋_GB2312" w:cs="Times New Roman"/>
                <w:color w:val="000000"/>
                <w:kern w:val="0"/>
                <w:sz w:val="18"/>
                <w:szCs w:val="18"/>
              </w:rPr>
            </w:pPr>
          </w:p>
          <w:p w14:paraId="5F6B9081">
            <w:pPr>
              <w:widowControl/>
              <w:spacing w:line="0" w:lineRule="atLeast"/>
              <w:jc w:val="center"/>
              <w:rPr>
                <w:rFonts w:hint="default" w:ascii="Times New Roman" w:hAnsi="Times New Roman" w:eastAsia="仿宋_GB2312" w:cs="Times New Roman"/>
                <w:color w:val="000000"/>
                <w:kern w:val="0"/>
                <w:sz w:val="18"/>
                <w:szCs w:val="18"/>
              </w:rPr>
            </w:pPr>
          </w:p>
          <w:p w14:paraId="2928D8E8">
            <w:pPr>
              <w:widowControl/>
              <w:spacing w:line="0" w:lineRule="atLeast"/>
              <w:jc w:val="center"/>
              <w:rPr>
                <w:rFonts w:hint="default" w:ascii="Times New Roman" w:hAnsi="Times New Roman" w:eastAsia="仿宋_GB2312" w:cs="Times New Roman"/>
                <w:color w:val="000000"/>
                <w:kern w:val="0"/>
                <w:sz w:val="18"/>
                <w:szCs w:val="18"/>
              </w:rPr>
            </w:pPr>
          </w:p>
          <w:p w14:paraId="5B7A878C">
            <w:pPr>
              <w:widowControl/>
              <w:spacing w:line="0" w:lineRule="atLeast"/>
              <w:jc w:val="center"/>
              <w:rPr>
                <w:rFonts w:hint="default" w:ascii="Times New Roman" w:hAnsi="Times New Roman" w:eastAsia="仿宋_GB2312" w:cs="Times New Roman"/>
                <w:color w:val="000000"/>
                <w:kern w:val="0"/>
                <w:sz w:val="18"/>
                <w:szCs w:val="18"/>
              </w:rPr>
            </w:pPr>
          </w:p>
          <w:p w14:paraId="785F3821">
            <w:pPr>
              <w:widowControl/>
              <w:spacing w:line="0" w:lineRule="atLeast"/>
              <w:jc w:val="center"/>
              <w:rPr>
                <w:rFonts w:hint="default" w:ascii="Times New Roman" w:hAnsi="Times New Roman" w:eastAsia="仿宋_GB2312" w:cs="Times New Roman"/>
                <w:color w:val="000000"/>
                <w:kern w:val="0"/>
                <w:sz w:val="18"/>
                <w:szCs w:val="18"/>
              </w:rPr>
            </w:pPr>
          </w:p>
          <w:p w14:paraId="59E640C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14:paraId="2D23D20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14:paraId="2B8C228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7ECB52F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14:paraId="6F22700C">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2056" w:type="pct"/>
            <w:shd w:val="clear" w:color="auto" w:fill="FFFFFF"/>
            <w:vAlign w:val="center"/>
          </w:tcPr>
          <w:p w14:paraId="7CA15DF2">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514" w:type="pct"/>
            <w:gridSpan w:val="2"/>
            <w:shd w:val="clear" w:color="auto" w:fill="FFFFFF"/>
            <w:vAlign w:val="center"/>
          </w:tcPr>
          <w:p w14:paraId="5BD2F436">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14:paraId="10DEA741">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cs="Times New Roman"/>
                <w:b/>
                <w:bCs/>
                <w:color w:val="000000"/>
                <w:kern w:val="0"/>
                <w:sz w:val="18"/>
                <w:szCs w:val="18"/>
                <w:highlight w:val="none"/>
                <w:lang w:val="en-US" w:eastAsia="zh-CN"/>
              </w:rPr>
              <w:t>3</w:t>
            </w:r>
          </w:p>
        </w:tc>
      </w:tr>
      <w:tr w14:paraId="2EDD1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6DAC2A7E">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751F725A">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3969873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5D3E465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14:paraId="7724E69D">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2056" w:type="pct"/>
            <w:shd w:val="clear" w:color="auto" w:fill="FFFFFF"/>
            <w:vAlign w:val="center"/>
          </w:tcPr>
          <w:p w14:paraId="53E8B962">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514" w:type="pct"/>
            <w:gridSpan w:val="2"/>
            <w:shd w:val="clear" w:color="auto" w:fill="FFFFFF"/>
            <w:vAlign w:val="center"/>
          </w:tcPr>
          <w:p w14:paraId="72414527">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14:paraId="46BCF098">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cs="Times New Roman"/>
                <w:b/>
                <w:bCs/>
                <w:color w:val="000000"/>
                <w:kern w:val="0"/>
                <w:sz w:val="18"/>
                <w:szCs w:val="18"/>
                <w:highlight w:val="none"/>
                <w:lang w:val="en-US" w:eastAsia="zh-CN"/>
              </w:rPr>
              <w:t>3</w:t>
            </w:r>
          </w:p>
        </w:tc>
      </w:tr>
      <w:tr w14:paraId="73B3B7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1ACA9E2A">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75FA35D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14:paraId="5F69D0F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25AD37D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14:paraId="123B6686">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2056" w:type="pct"/>
            <w:shd w:val="clear" w:color="000000" w:fill="FFFFFF"/>
            <w:vAlign w:val="center"/>
          </w:tcPr>
          <w:p w14:paraId="73286597">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14:paraId="57C3E388">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514" w:type="pct"/>
            <w:gridSpan w:val="2"/>
            <w:shd w:val="clear" w:color="000000" w:fill="FFFFFF"/>
            <w:vAlign w:val="center"/>
          </w:tcPr>
          <w:p w14:paraId="1B7DE25B">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14:paraId="170418A3">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cs="Times New Roman"/>
                <w:b/>
                <w:bCs/>
                <w:color w:val="000000"/>
                <w:kern w:val="0"/>
                <w:sz w:val="18"/>
                <w:szCs w:val="18"/>
                <w:highlight w:val="none"/>
                <w:lang w:val="en-US" w:eastAsia="zh-CN"/>
              </w:rPr>
              <w:t>3</w:t>
            </w:r>
          </w:p>
        </w:tc>
      </w:tr>
      <w:tr w14:paraId="1FED1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5" w:type="pct"/>
            <w:vMerge w:val="continue"/>
            <w:shd w:val="clear" w:color="auto" w:fill="FFFFFF"/>
            <w:vAlign w:val="center"/>
          </w:tcPr>
          <w:p w14:paraId="2ED24D4D">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61109314">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4EECA30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5BD192D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14:paraId="791318B0">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2056" w:type="pct"/>
            <w:shd w:val="clear" w:color="000000" w:fill="FFFFFF"/>
            <w:vAlign w:val="center"/>
          </w:tcPr>
          <w:p w14:paraId="56DCA368">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514" w:type="pct"/>
            <w:gridSpan w:val="2"/>
            <w:shd w:val="clear" w:color="000000" w:fill="FFFFFF"/>
            <w:vAlign w:val="center"/>
          </w:tcPr>
          <w:p w14:paraId="1FF2814D">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14:paraId="51C95082">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cs="Times New Roman"/>
                <w:b/>
                <w:bCs/>
                <w:color w:val="000000"/>
                <w:kern w:val="0"/>
                <w:sz w:val="18"/>
                <w:szCs w:val="18"/>
                <w:highlight w:val="none"/>
                <w:lang w:val="en-US" w:eastAsia="zh-CN"/>
              </w:rPr>
              <w:t>3</w:t>
            </w:r>
          </w:p>
        </w:tc>
      </w:tr>
      <w:tr w14:paraId="43B06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5" w:type="pct"/>
            <w:vMerge w:val="continue"/>
            <w:shd w:val="clear" w:color="auto" w:fill="FFFFFF"/>
            <w:vAlign w:val="center"/>
          </w:tcPr>
          <w:p w14:paraId="1D1B8680">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785CDA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01B842D7">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38345BA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523FA00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14:paraId="21B04E7E">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2056" w:type="pct"/>
            <w:shd w:val="clear" w:color="auto" w:fill="FFFFFF"/>
            <w:vAlign w:val="center"/>
          </w:tcPr>
          <w:p w14:paraId="3349F0B0">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514" w:type="pct"/>
            <w:gridSpan w:val="2"/>
            <w:shd w:val="clear" w:color="auto" w:fill="FFFFFF"/>
            <w:vAlign w:val="center"/>
          </w:tcPr>
          <w:p w14:paraId="53DE22F6">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667F1ABA">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cs="Times New Roman"/>
                <w:b/>
                <w:bCs/>
                <w:color w:val="000000"/>
                <w:kern w:val="0"/>
                <w:sz w:val="18"/>
                <w:szCs w:val="18"/>
                <w:highlight w:val="none"/>
                <w:lang w:val="en-US" w:eastAsia="zh-CN"/>
              </w:rPr>
              <w:t>4</w:t>
            </w:r>
          </w:p>
        </w:tc>
      </w:tr>
      <w:tr w14:paraId="450C7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5" w:type="pct"/>
            <w:vMerge w:val="continue"/>
            <w:shd w:val="clear" w:color="auto" w:fill="FFFFFF"/>
            <w:vAlign w:val="center"/>
          </w:tcPr>
          <w:p w14:paraId="20E93017">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138AC310">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6566EAE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154FEC3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14:paraId="7C209FC7">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2056" w:type="pct"/>
            <w:shd w:val="clear" w:color="auto" w:fill="FFFFFF"/>
            <w:vAlign w:val="center"/>
          </w:tcPr>
          <w:p w14:paraId="7C3BF0D9">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514" w:type="pct"/>
            <w:gridSpan w:val="2"/>
            <w:shd w:val="clear" w:color="auto" w:fill="FFFFFF"/>
            <w:vAlign w:val="center"/>
          </w:tcPr>
          <w:p w14:paraId="352AC61C">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631E537E">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cs="Times New Roman"/>
                <w:b/>
                <w:bCs/>
                <w:color w:val="000000"/>
                <w:kern w:val="0"/>
                <w:sz w:val="18"/>
                <w:szCs w:val="18"/>
                <w:highlight w:val="none"/>
                <w:lang w:val="en-US" w:eastAsia="zh-CN"/>
              </w:rPr>
              <w:t>4</w:t>
            </w:r>
          </w:p>
        </w:tc>
      </w:tr>
      <w:tr w14:paraId="1B653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5" w:type="pct"/>
            <w:vMerge w:val="restart"/>
            <w:shd w:val="clear" w:color="auto" w:fill="FFFFFF"/>
            <w:vAlign w:val="center"/>
          </w:tcPr>
          <w:p w14:paraId="5086FA89">
            <w:pPr>
              <w:spacing w:line="0" w:lineRule="atLeast"/>
              <w:jc w:val="center"/>
              <w:rPr>
                <w:rFonts w:hint="default" w:ascii="Times New Roman" w:hAnsi="Times New Roman" w:eastAsia="仿宋_GB2312" w:cs="Times New Roman"/>
                <w:color w:val="000000"/>
                <w:kern w:val="0"/>
                <w:sz w:val="18"/>
                <w:szCs w:val="18"/>
              </w:rPr>
            </w:pPr>
          </w:p>
          <w:p w14:paraId="0EFFCD01">
            <w:pPr>
              <w:spacing w:line="0" w:lineRule="atLeast"/>
              <w:jc w:val="center"/>
              <w:rPr>
                <w:rFonts w:hint="default" w:ascii="Times New Roman" w:hAnsi="Times New Roman" w:eastAsia="仿宋_GB2312" w:cs="Times New Roman"/>
                <w:color w:val="000000"/>
                <w:kern w:val="0"/>
                <w:sz w:val="18"/>
                <w:szCs w:val="18"/>
              </w:rPr>
            </w:pPr>
          </w:p>
          <w:p w14:paraId="351B0E10">
            <w:pPr>
              <w:spacing w:line="0" w:lineRule="atLeast"/>
              <w:jc w:val="center"/>
              <w:rPr>
                <w:rFonts w:hint="default" w:ascii="Times New Roman" w:hAnsi="Times New Roman" w:eastAsia="仿宋_GB2312" w:cs="Times New Roman"/>
                <w:color w:val="000000"/>
                <w:kern w:val="0"/>
                <w:sz w:val="18"/>
                <w:szCs w:val="18"/>
              </w:rPr>
            </w:pPr>
          </w:p>
          <w:p w14:paraId="5CE21D6B">
            <w:pPr>
              <w:spacing w:line="0" w:lineRule="atLeast"/>
              <w:jc w:val="center"/>
              <w:rPr>
                <w:rFonts w:hint="default" w:ascii="Times New Roman" w:hAnsi="Times New Roman" w:eastAsia="仿宋_GB2312" w:cs="Times New Roman"/>
                <w:color w:val="000000"/>
                <w:kern w:val="0"/>
                <w:sz w:val="18"/>
                <w:szCs w:val="18"/>
              </w:rPr>
            </w:pPr>
          </w:p>
          <w:p w14:paraId="12D7E55D">
            <w:pPr>
              <w:spacing w:line="0" w:lineRule="atLeast"/>
              <w:jc w:val="center"/>
              <w:rPr>
                <w:rFonts w:hint="default" w:ascii="Times New Roman" w:hAnsi="Times New Roman" w:eastAsia="仿宋_GB2312" w:cs="Times New Roman"/>
                <w:color w:val="000000"/>
                <w:kern w:val="0"/>
                <w:sz w:val="18"/>
                <w:szCs w:val="18"/>
              </w:rPr>
            </w:pPr>
          </w:p>
          <w:p w14:paraId="696A75A9">
            <w:pPr>
              <w:spacing w:line="0" w:lineRule="atLeast"/>
              <w:jc w:val="center"/>
              <w:rPr>
                <w:rFonts w:hint="default" w:ascii="Times New Roman" w:hAnsi="Times New Roman" w:eastAsia="仿宋_GB2312" w:cs="Times New Roman"/>
                <w:color w:val="000000"/>
                <w:kern w:val="0"/>
                <w:sz w:val="18"/>
                <w:szCs w:val="18"/>
              </w:rPr>
            </w:pPr>
          </w:p>
          <w:p w14:paraId="3E92393A">
            <w:pPr>
              <w:spacing w:line="0" w:lineRule="atLeast"/>
              <w:jc w:val="center"/>
              <w:rPr>
                <w:rFonts w:hint="default" w:ascii="Times New Roman" w:hAnsi="Times New Roman" w:eastAsia="仿宋_GB2312" w:cs="Times New Roman"/>
                <w:color w:val="000000"/>
                <w:kern w:val="0"/>
                <w:sz w:val="18"/>
                <w:szCs w:val="18"/>
              </w:rPr>
            </w:pPr>
          </w:p>
          <w:p w14:paraId="73153ECE">
            <w:pPr>
              <w:spacing w:line="0" w:lineRule="atLeast"/>
              <w:jc w:val="center"/>
              <w:rPr>
                <w:rFonts w:hint="default" w:ascii="Times New Roman" w:hAnsi="Times New Roman" w:eastAsia="仿宋_GB2312" w:cs="Times New Roman"/>
                <w:color w:val="000000"/>
                <w:kern w:val="0"/>
                <w:sz w:val="18"/>
                <w:szCs w:val="18"/>
              </w:rPr>
            </w:pPr>
          </w:p>
          <w:p w14:paraId="715295EE">
            <w:pPr>
              <w:spacing w:line="0" w:lineRule="atLeast"/>
              <w:jc w:val="center"/>
              <w:rPr>
                <w:rFonts w:hint="default" w:ascii="Times New Roman" w:hAnsi="Times New Roman" w:eastAsia="仿宋_GB2312" w:cs="Times New Roman"/>
                <w:color w:val="000000"/>
                <w:kern w:val="0"/>
                <w:sz w:val="18"/>
                <w:szCs w:val="18"/>
              </w:rPr>
            </w:pPr>
          </w:p>
          <w:p w14:paraId="57A1AECE">
            <w:pPr>
              <w:spacing w:line="0" w:lineRule="atLeast"/>
              <w:jc w:val="center"/>
              <w:rPr>
                <w:rFonts w:hint="default" w:ascii="Times New Roman" w:hAnsi="Times New Roman" w:eastAsia="仿宋_GB2312" w:cs="Times New Roman"/>
                <w:color w:val="000000"/>
                <w:kern w:val="0"/>
                <w:sz w:val="18"/>
                <w:szCs w:val="18"/>
              </w:rPr>
            </w:pPr>
          </w:p>
          <w:p w14:paraId="0BC307E9">
            <w:pPr>
              <w:spacing w:line="0" w:lineRule="atLeast"/>
              <w:jc w:val="center"/>
              <w:rPr>
                <w:rFonts w:hint="default" w:ascii="Times New Roman" w:hAnsi="Times New Roman" w:eastAsia="仿宋_GB2312" w:cs="Times New Roman"/>
                <w:color w:val="000000"/>
                <w:kern w:val="0"/>
                <w:sz w:val="18"/>
                <w:szCs w:val="18"/>
              </w:rPr>
            </w:pPr>
          </w:p>
          <w:p w14:paraId="307AE745">
            <w:pPr>
              <w:spacing w:line="0" w:lineRule="atLeast"/>
              <w:jc w:val="center"/>
              <w:rPr>
                <w:rFonts w:hint="default" w:ascii="Times New Roman" w:hAnsi="Times New Roman" w:eastAsia="仿宋_GB2312" w:cs="Times New Roman"/>
                <w:color w:val="000000"/>
                <w:kern w:val="0"/>
                <w:sz w:val="18"/>
                <w:szCs w:val="18"/>
              </w:rPr>
            </w:pPr>
          </w:p>
          <w:p w14:paraId="620C70B1">
            <w:pPr>
              <w:spacing w:line="0" w:lineRule="atLeast"/>
              <w:jc w:val="center"/>
              <w:rPr>
                <w:rFonts w:hint="default" w:ascii="Times New Roman" w:hAnsi="Times New Roman" w:eastAsia="仿宋_GB2312" w:cs="Times New Roman"/>
                <w:color w:val="000000"/>
                <w:kern w:val="0"/>
                <w:sz w:val="18"/>
                <w:szCs w:val="18"/>
              </w:rPr>
            </w:pPr>
          </w:p>
          <w:p w14:paraId="5945B673">
            <w:pPr>
              <w:spacing w:line="0" w:lineRule="atLeast"/>
              <w:jc w:val="center"/>
              <w:rPr>
                <w:rFonts w:hint="default" w:ascii="Times New Roman" w:hAnsi="Times New Roman" w:eastAsia="仿宋_GB2312" w:cs="Times New Roman"/>
                <w:color w:val="000000"/>
                <w:kern w:val="0"/>
                <w:sz w:val="18"/>
                <w:szCs w:val="18"/>
              </w:rPr>
            </w:pPr>
          </w:p>
          <w:p w14:paraId="6AC00744">
            <w:pPr>
              <w:spacing w:line="0" w:lineRule="atLeast"/>
              <w:jc w:val="center"/>
              <w:rPr>
                <w:rFonts w:hint="default" w:ascii="Times New Roman" w:hAnsi="Times New Roman" w:eastAsia="仿宋_GB2312" w:cs="Times New Roman"/>
                <w:color w:val="000000"/>
                <w:kern w:val="0"/>
                <w:sz w:val="18"/>
                <w:szCs w:val="18"/>
              </w:rPr>
            </w:pPr>
          </w:p>
          <w:p w14:paraId="4A359D7C">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6062CAA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14:paraId="7892CED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574EAE1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14:paraId="59E8DB5C">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2056" w:type="pct"/>
            <w:shd w:val="clear" w:color="000000" w:fill="FFFFFF"/>
            <w:vAlign w:val="center"/>
          </w:tcPr>
          <w:p w14:paraId="0B934897">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14:paraId="29283E9B">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14:paraId="78006057">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514" w:type="pct"/>
            <w:gridSpan w:val="2"/>
            <w:shd w:val="clear" w:color="000000" w:fill="FFFFFF"/>
            <w:vAlign w:val="center"/>
          </w:tcPr>
          <w:p w14:paraId="3228ACE3">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7217C38F">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cs="Times New Roman"/>
                <w:b/>
                <w:bCs/>
                <w:color w:val="000000"/>
                <w:kern w:val="0"/>
                <w:sz w:val="18"/>
                <w:szCs w:val="18"/>
                <w:highlight w:val="none"/>
                <w:lang w:val="en-US" w:eastAsia="zh-CN"/>
              </w:rPr>
              <w:t>4</w:t>
            </w:r>
          </w:p>
        </w:tc>
      </w:tr>
      <w:tr w14:paraId="53A45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5" w:type="pct"/>
            <w:vMerge w:val="continue"/>
            <w:shd w:val="clear" w:color="auto" w:fill="FFFFFF"/>
            <w:vAlign w:val="center"/>
          </w:tcPr>
          <w:p w14:paraId="402EF96D">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BA5293B">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6D40755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14:paraId="6DF35DE4">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2056" w:type="pct"/>
            <w:shd w:val="clear" w:color="auto" w:fill="FFFFFF"/>
            <w:vAlign w:val="center"/>
          </w:tcPr>
          <w:p w14:paraId="35021E1A">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514" w:type="pct"/>
            <w:gridSpan w:val="2"/>
            <w:shd w:val="clear" w:color="auto" w:fill="FFFFFF"/>
            <w:vAlign w:val="center"/>
          </w:tcPr>
          <w:p w14:paraId="52B8CC4A">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484B400F">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cs="Times New Roman"/>
                <w:b/>
                <w:bCs/>
                <w:color w:val="000000"/>
                <w:kern w:val="0"/>
                <w:sz w:val="18"/>
                <w:szCs w:val="18"/>
                <w:highlight w:val="none"/>
                <w:lang w:val="en-US" w:eastAsia="zh-CN"/>
              </w:rPr>
              <w:t>4</w:t>
            </w:r>
          </w:p>
        </w:tc>
      </w:tr>
      <w:tr w14:paraId="4B490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14:paraId="2869390A">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7CC51FF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670AE4C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7975A12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14:paraId="069274A3">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2056" w:type="pct"/>
            <w:shd w:val="clear" w:color="000000" w:fill="FFFFFF"/>
            <w:vAlign w:val="center"/>
          </w:tcPr>
          <w:p w14:paraId="49620DF8">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514" w:type="pct"/>
            <w:gridSpan w:val="2"/>
            <w:shd w:val="clear" w:color="000000" w:fill="FFFFFF"/>
            <w:vAlign w:val="center"/>
          </w:tcPr>
          <w:p w14:paraId="0BA0E7BC">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5E002BFD">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cs="Times New Roman"/>
                <w:b/>
                <w:bCs/>
                <w:color w:val="000000"/>
                <w:kern w:val="0"/>
                <w:sz w:val="18"/>
                <w:szCs w:val="18"/>
                <w:highlight w:val="none"/>
                <w:lang w:val="en-US" w:eastAsia="zh-CN"/>
              </w:rPr>
              <w:t>4</w:t>
            </w:r>
          </w:p>
        </w:tc>
      </w:tr>
      <w:tr w14:paraId="26546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5" w:type="pct"/>
            <w:vMerge w:val="continue"/>
            <w:shd w:val="clear" w:color="auto" w:fill="FFFFFF"/>
            <w:vAlign w:val="center"/>
          </w:tcPr>
          <w:p w14:paraId="7F0405EC">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50D4377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2C974B31">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085DC7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103AEC3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14:paraId="412502E2">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2056" w:type="pct"/>
            <w:shd w:val="clear" w:color="000000" w:fill="FFFFFF"/>
            <w:vAlign w:val="center"/>
          </w:tcPr>
          <w:p w14:paraId="7155D4FB">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514" w:type="pct"/>
            <w:gridSpan w:val="2"/>
            <w:shd w:val="clear" w:color="000000" w:fill="FFFFFF"/>
            <w:vAlign w:val="center"/>
          </w:tcPr>
          <w:p w14:paraId="1746194D">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44EE3A3D">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cs="Times New Roman"/>
                <w:b/>
                <w:bCs/>
                <w:color w:val="000000"/>
                <w:kern w:val="0"/>
                <w:sz w:val="18"/>
                <w:szCs w:val="18"/>
                <w:highlight w:val="none"/>
                <w:lang w:val="en-US" w:eastAsia="zh-CN"/>
              </w:rPr>
              <w:t>4</w:t>
            </w:r>
          </w:p>
        </w:tc>
      </w:tr>
      <w:tr w14:paraId="7FBD3B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5" w:type="pct"/>
            <w:vMerge w:val="continue"/>
            <w:shd w:val="clear" w:color="auto" w:fill="FFFFFF"/>
            <w:vAlign w:val="center"/>
          </w:tcPr>
          <w:p w14:paraId="57B7FCD1">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13D0B13">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5A773C7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2979A86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14:paraId="433DAEBE">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2056" w:type="pct"/>
            <w:shd w:val="clear" w:color="000000" w:fill="FFFFFF"/>
            <w:vAlign w:val="center"/>
          </w:tcPr>
          <w:p w14:paraId="100C31E3">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514" w:type="pct"/>
            <w:gridSpan w:val="2"/>
            <w:shd w:val="clear" w:color="000000" w:fill="FFFFFF"/>
            <w:vAlign w:val="center"/>
          </w:tcPr>
          <w:p w14:paraId="44473D5E">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60E30355">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cs="Times New Roman"/>
                <w:b/>
                <w:bCs/>
                <w:color w:val="000000"/>
                <w:kern w:val="0"/>
                <w:sz w:val="18"/>
                <w:szCs w:val="18"/>
                <w:highlight w:val="none"/>
                <w:lang w:val="en-US" w:eastAsia="zh-CN"/>
              </w:rPr>
              <w:t>4</w:t>
            </w:r>
          </w:p>
        </w:tc>
      </w:tr>
      <w:tr w14:paraId="2E647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5" w:type="pct"/>
            <w:vMerge w:val="restart"/>
            <w:shd w:val="clear" w:color="auto" w:fill="FFFFFF"/>
            <w:vAlign w:val="center"/>
          </w:tcPr>
          <w:p w14:paraId="776E2C5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14:paraId="13C7B96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14:paraId="1792043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14:paraId="1A4BCC28">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2056" w:type="pct"/>
            <w:shd w:val="clear" w:color="000000" w:fill="FFFFFF"/>
            <w:vAlign w:val="center"/>
          </w:tcPr>
          <w:p w14:paraId="766B5F2D">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514" w:type="pct"/>
            <w:gridSpan w:val="2"/>
            <w:shd w:val="clear" w:color="000000" w:fill="FFFFFF"/>
            <w:vAlign w:val="center"/>
          </w:tcPr>
          <w:p w14:paraId="7A502BD0">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3205D485">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cs="Times New Roman"/>
                <w:b/>
                <w:bCs/>
                <w:color w:val="000000"/>
                <w:kern w:val="0"/>
                <w:sz w:val="18"/>
                <w:szCs w:val="18"/>
                <w:highlight w:val="none"/>
                <w:lang w:val="en-US" w:eastAsia="zh-CN"/>
              </w:rPr>
              <w:t>10</w:t>
            </w:r>
          </w:p>
        </w:tc>
      </w:tr>
      <w:tr w14:paraId="793EF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5" w:type="pct"/>
            <w:vMerge w:val="continue"/>
            <w:shd w:val="clear" w:color="auto" w:fill="FFFFFF"/>
            <w:vAlign w:val="center"/>
          </w:tcPr>
          <w:p w14:paraId="07FF60FF">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6C3B563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14:paraId="6DC841E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14:paraId="61CF5FD6">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2056" w:type="pct"/>
            <w:shd w:val="clear" w:color="000000" w:fill="FFFFFF"/>
            <w:vAlign w:val="center"/>
          </w:tcPr>
          <w:p w14:paraId="5D596361">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14:paraId="7C3CBBD8">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4" w:type="pct"/>
            <w:gridSpan w:val="2"/>
            <w:shd w:val="clear" w:color="000000" w:fill="FFFFFF"/>
            <w:vAlign w:val="center"/>
          </w:tcPr>
          <w:p w14:paraId="19C6B3B8">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76196158">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cs="Times New Roman"/>
                <w:b/>
                <w:bCs/>
                <w:color w:val="000000"/>
                <w:kern w:val="0"/>
                <w:sz w:val="18"/>
                <w:szCs w:val="18"/>
                <w:highlight w:val="none"/>
                <w:lang w:val="en-US" w:eastAsia="zh-CN"/>
              </w:rPr>
              <w:t>10</w:t>
            </w:r>
          </w:p>
        </w:tc>
      </w:tr>
      <w:tr w14:paraId="2B600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5" w:type="pct"/>
            <w:vMerge w:val="continue"/>
            <w:shd w:val="clear" w:color="auto" w:fill="FFFFFF"/>
            <w:vAlign w:val="center"/>
          </w:tcPr>
          <w:p w14:paraId="27B1A842">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27A049C5">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14:paraId="5574CF4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14:paraId="3B490CED">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2056" w:type="pct"/>
            <w:shd w:val="clear" w:color="000000" w:fill="FFFFFF"/>
            <w:vAlign w:val="center"/>
          </w:tcPr>
          <w:p w14:paraId="31F6D272">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514" w:type="pct"/>
            <w:gridSpan w:val="2"/>
            <w:shd w:val="clear" w:color="000000" w:fill="FFFFFF"/>
            <w:vAlign w:val="center"/>
          </w:tcPr>
          <w:p w14:paraId="7CE7449B">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41DAC46F">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cs="Times New Roman"/>
                <w:b/>
                <w:bCs/>
                <w:color w:val="000000"/>
                <w:kern w:val="0"/>
                <w:sz w:val="18"/>
                <w:szCs w:val="18"/>
                <w:highlight w:val="none"/>
                <w:lang w:val="en-US" w:eastAsia="zh-CN"/>
              </w:rPr>
              <w:t>10</w:t>
            </w:r>
          </w:p>
        </w:tc>
      </w:tr>
      <w:tr w14:paraId="55C1B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14:paraId="79782184">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6333D6A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14:paraId="617EB94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14:paraId="088B19F2">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2056" w:type="pct"/>
            <w:shd w:val="clear" w:color="000000" w:fill="FFFFFF"/>
            <w:vAlign w:val="center"/>
          </w:tcPr>
          <w:p w14:paraId="58A313F5">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514" w:type="pct"/>
            <w:gridSpan w:val="2"/>
            <w:shd w:val="clear" w:color="000000" w:fill="FFFFFF"/>
            <w:vAlign w:val="center"/>
          </w:tcPr>
          <w:p w14:paraId="1AA66710">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5AA989E3">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cs="Times New Roman"/>
                <w:b/>
                <w:bCs/>
                <w:color w:val="000000"/>
                <w:kern w:val="0"/>
                <w:sz w:val="18"/>
                <w:szCs w:val="18"/>
                <w:highlight w:val="none"/>
                <w:lang w:val="en-US" w:eastAsia="zh-CN"/>
              </w:rPr>
              <w:t>10</w:t>
            </w:r>
          </w:p>
        </w:tc>
      </w:tr>
      <w:tr w14:paraId="2D57D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5" w:type="pct"/>
            <w:vMerge w:val="restart"/>
            <w:shd w:val="clear" w:color="auto" w:fill="FFFFFF"/>
            <w:vAlign w:val="center"/>
          </w:tcPr>
          <w:p w14:paraId="407A843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14:paraId="21FCFCD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14:paraId="6E48256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14:paraId="795E0B36">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2056" w:type="pct"/>
            <w:shd w:val="clear" w:color="auto" w:fill="FFFFFF"/>
            <w:vAlign w:val="center"/>
          </w:tcPr>
          <w:p w14:paraId="153D9E8C">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514" w:type="pct"/>
            <w:gridSpan w:val="2"/>
            <w:shd w:val="clear" w:color="auto" w:fill="FFFFFF"/>
            <w:vAlign w:val="center"/>
          </w:tcPr>
          <w:p w14:paraId="7EAE660F">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14:paraId="0267F851">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cs="Times New Roman"/>
                <w:b/>
                <w:bCs/>
                <w:color w:val="000000"/>
                <w:kern w:val="0"/>
                <w:sz w:val="18"/>
                <w:szCs w:val="18"/>
                <w:highlight w:val="none"/>
                <w:lang w:val="en-US" w:eastAsia="zh-CN"/>
              </w:rPr>
              <w:t>10</w:t>
            </w:r>
          </w:p>
        </w:tc>
      </w:tr>
      <w:tr w14:paraId="0CDD7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5" w:type="pct"/>
            <w:vMerge w:val="continue"/>
            <w:shd w:val="clear" w:color="auto" w:fill="FFFFFF"/>
            <w:vAlign w:val="center"/>
          </w:tcPr>
          <w:p w14:paraId="6122E626">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4981F3CC">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44F2D30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14:paraId="47FAA55F">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2056" w:type="pct"/>
            <w:shd w:val="clear" w:color="000000" w:fill="FFFFFF"/>
            <w:vAlign w:val="center"/>
          </w:tcPr>
          <w:p w14:paraId="00C88B87">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514" w:type="pct"/>
            <w:gridSpan w:val="2"/>
            <w:shd w:val="clear" w:color="000000" w:fill="FFFFFF"/>
            <w:vAlign w:val="center"/>
          </w:tcPr>
          <w:p w14:paraId="40EDE37F">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6EF7EC98">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cs="Times New Roman"/>
                <w:b/>
                <w:bCs/>
                <w:color w:val="000000"/>
                <w:kern w:val="0"/>
                <w:sz w:val="18"/>
                <w:szCs w:val="18"/>
                <w:highlight w:val="none"/>
                <w:lang w:val="en-US" w:eastAsia="zh-CN"/>
              </w:rPr>
              <w:t>10</w:t>
            </w:r>
          </w:p>
        </w:tc>
      </w:tr>
      <w:tr w14:paraId="2F2D7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3" w:hRule="atLeast"/>
          <w:jc w:val="center"/>
        </w:trPr>
        <w:tc>
          <w:tcPr>
            <w:tcW w:w="3949" w:type="pct"/>
            <w:gridSpan w:val="6"/>
            <w:shd w:val="clear" w:color="auto" w:fill="FFFFFF"/>
            <w:vAlign w:val="center"/>
          </w:tcPr>
          <w:p w14:paraId="2B863E0F">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合计</w:t>
            </w:r>
          </w:p>
        </w:tc>
        <w:tc>
          <w:tcPr>
            <w:tcW w:w="512" w:type="pct"/>
            <w:shd w:val="clear" w:color="000000" w:fill="FFFFFF"/>
            <w:vAlign w:val="center"/>
          </w:tcPr>
          <w:p w14:paraId="4E95BD9D">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fldChar w:fldCharType="begin"/>
            </w:r>
            <w:r>
              <w:rPr>
                <w:rFonts w:hint="default" w:ascii="Times New Roman" w:hAnsi="Times New Roman" w:eastAsia="仿宋_GB2312" w:cs="Times New Roman"/>
                <w:b/>
                <w:bCs/>
                <w:color w:val="000000"/>
                <w:kern w:val="0"/>
                <w:sz w:val="18"/>
                <w:szCs w:val="18"/>
                <w:highlight w:val="none"/>
              </w:rPr>
              <w:instrText xml:space="preserve"> = sum(F2:F18) \* MERGEFORMAT </w:instrText>
            </w:r>
            <w:r>
              <w:rPr>
                <w:rFonts w:hint="default" w:ascii="Times New Roman" w:hAnsi="Times New Roman" w:eastAsia="仿宋_GB2312" w:cs="Times New Roman"/>
                <w:b/>
                <w:bCs/>
                <w:color w:val="000000"/>
                <w:kern w:val="0"/>
                <w:sz w:val="18"/>
                <w:szCs w:val="18"/>
                <w:highlight w:val="none"/>
              </w:rPr>
              <w:fldChar w:fldCharType="separate"/>
            </w:r>
            <w:r>
              <w:rPr>
                <w:rFonts w:hint="default" w:ascii="Times New Roman" w:hAnsi="Times New Roman" w:eastAsia="仿宋_GB2312" w:cs="Times New Roman"/>
                <w:b/>
                <w:bCs/>
                <w:color w:val="000000"/>
                <w:kern w:val="0"/>
                <w:sz w:val="18"/>
                <w:szCs w:val="18"/>
                <w:highlight w:val="none"/>
              </w:rPr>
              <w:t>100</w:t>
            </w:r>
            <w:r>
              <w:rPr>
                <w:rFonts w:hint="default" w:ascii="Times New Roman" w:hAnsi="Times New Roman" w:eastAsia="仿宋_GB2312" w:cs="Times New Roman"/>
                <w:b/>
                <w:bCs/>
                <w:color w:val="000000"/>
                <w:kern w:val="0"/>
                <w:sz w:val="18"/>
                <w:szCs w:val="18"/>
                <w:highlight w:val="none"/>
              </w:rPr>
              <w:fldChar w:fldCharType="end"/>
            </w:r>
          </w:p>
        </w:tc>
        <w:tc>
          <w:tcPr>
            <w:tcW w:w="538" w:type="pct"/>
            <w:shd w:val="clear" w:color="000000" w:fill="FFFFFF"/>
            <w:vAlign w:val="center"/>
          </w:tcPr>
          <w:p w14:paraId="33BB8A15">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cs="Times New Roman"/>
                <w:b/>
                <w:bCs/>
                <w:color w:val="000000"/>
                <w:kern w:val="0"/>
                <w:sz w:val="18"/>
                <w:szCs w:val="18"/>
                <w:highlight w:val="none"/>
                <w:lang w:val="en-US" w:eastAsia="zh-CN"/>
              </w:rPr>
              <w:t>100</w:t>
            </w:r>
          </w:p>
        </w:tc>
      </w:tr>
    </w:tbl>
    <w:p w14:paraId="6D728D58">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32B738EE">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14:paraId="6CCEF6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14:paraId="3CD63C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4905" w:type="pct"/>
        <w:tblInd w:w="1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39"/>
        <w:gridCol w:w="940"/>
        <w:gridCol w:w="1627"/>
        <w:gridCol w:w="918"/>
        <w:gridCol w:w="809"/>
        <w:gridCol w:w="1373"/>
        <w:gridCol w:w="81"/>
        <w:gridCol w:w="642"/>
        <w:gridCol w:w="500"/>
        <w:gridCol w:w="857"/>
        <w:gridCol w:w="829"/>
        <w:gridCol w:w="974"/>
        <w:gridCol w:w="455"/>
        <w:gridCol w:w="516"/>
        <w:gridCol w:w="848"/>
        <w:gridCol w:w="193"/>
        <w:gridCol w:w="511"/>
        <w:gridCol w:w="742"/>
        <w:gridCol w:w="396"/>
      </w:tblGrid>
      <w:tr w14:paraId="4CD3F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42" w:type="pct"/>
          <w:trHeight w:val="288" w:hRule="atLeast"/>
        </w:trPr>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241A0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55" w:type="pct"/>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9FFABD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棉花监督管理专项经费</w:t>
            </w:r>
          </w:p>
        </w:tc>
      </w:tr>
      <w:tr w14:paraId="0F0C6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2" w:type="pct"/>
          <w:trHeight w:val="467" w:hRule="atLeast"/>
        </w:trPr>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844FF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69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11BCE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新疆维吾尔自治区纤维质量监测中心</w:t>
            </w:r>
          </w:p>
        </w:tc>
        <w:tc>
          <w:tcPr>
            <w:tcW w:w="4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4A113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2122"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878FA7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新疆维吾尔自治区纤维质量监测中心</w:t>
            </w:r>
          </w:p>
        </w:tc>
      </w:tr>
      <w:tr w14:paraId="61D90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2" w:type="pct"/>
          <w:trHeight w:val="288" w:hRule="atLeast"/>
        </w:trPr>
        <w:tc>
          <w:tcPr>
            <w:tcW w:w="60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1F712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9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7E674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3C3C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BB82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4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BA034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11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FF929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41582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FAD24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14:paraId="575BD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42" w:type="pct"/>
          <w:trHeight w:val="288" w:hRule="atLeast"/>
        </w:trPr>
        <w:tc>
          <w:tcPr>
            <w:tcW w:w="60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11F30">
            <w:pPr>
              <w:jc w:val="center"/>
              <w:rPr>
                <w:rFonts w:hint="eastAsia" w:ascii="仿宋_GB2312" w:hAnsi="仿宋_GB2312" w:eastAsia="仿宋_GB2312" w:cs="仿宋_GB2312"/>
                <w:i w:val="0"/>
                <w:iCs w:val="0"/>
                <w:color w:val="000000"/>
                <w:sz w:val="18"/>
                <w:szCs w:val="18"/>
                <w:u w:val="none"/>
              </w:rPr>
            </w:pPr>
          </w:p>
        </w:tc>
        <w:tc>
          <w:tcPr>
            <w:tcW w:w="9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0C51F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3ED27">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125</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D6EB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125</w:t>
            </w:r>
          </w:p>
        </w:tc>
        <w:tc>
          <w:tcPr>
            <w:tcW w:w="4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9FCC1F">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125</w:t>
            </w:r>
          </w:p>
        </w:tc>
        <w:tc>
          <w:tcPr>
            <w:tcW w:w="111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832F7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w:t>
            </w:r>
          </w:p>
        </w:tc>
        <w:tc>
          <w:tcPr>
            <w:tcW w:w="55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3771CE">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100%</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163F51">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w:t>
            </w:r>
          </w:p>
        </w:tc>
      </w:tr>
      <w:tr w14:paraId="5E090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2" w:type="pct"/>
          <w:trHeight w:val="288" w:hRule="atLeast"/>
        </w:trPr>
        <w:tc>
          <w:tcPr>
            <w:tcW w:w="60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04ABB">
            <w:pPr>
              <w:jc w:val="center"/>
              <w:rPr>
                <w:rFonts w:hint="eastAsia" w:ascii="仿宋_GB2312" w:hAnsi="仿宋_GB2312" w:eastAsia="仿宋_GB2312" w:cs="仿宋_GB2312"/>
                <w:i w:val="0"/>
                <w:iCs w:val="0"/>
                <w:color w:val="000000"/>
                <w:sz w:val="18"/>
                <w:szCs w:val="18"/>
                <w:u w:val="none"/>
              </w:rPr>
            </w:pPr>
          </w:p>
        </w:tc>
        <w:tc>
          <w:tcPr>
            <w:tcW w:w="9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0C1D3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5A641">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125</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7585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125</w:t>
            </w:r>
          </w:p>
        </w:tc>
        <w:tc>
          <w:tcPr>
            <w:tcW w:w="4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D2D228">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125</w:t>
            </w:r>
          </w:p>
        </w:tc>
        <w:tc>
          <w:tcPr>
            <w:tcW w:w="111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2E70F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w:t>
            </w:r>
          </w:p>
        </w:tc>
        <w:tc>
          <w:tcPr>
            <w:tcW w:w="55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F1521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1E26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w:t>
            </w:r>
          </w:p>
        </w:tc>
      </w:tr>
      <w:tr w14:paraId="51BD5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2" w:type="pct"/>
          <w:trHeight w:val="288" w:hRule="atLeast"/>
        </w:trPr>
        <w:tc>
          <w:tcPr>
            <w:tcW w:w="60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07258">
            <w:pPr>
              <w:jc w:val="center"/>
              <w:rPr>
                <w:rFonts w:hint="eastAsia" w:ascii="仿宋_GB2312" w:hAnsi="仿宋_GB2312" w:eastAsia="仿宋_GB2312" w:cs="仿宋_GB2312"/>
                <w:i w:val="0"/>
                <w:iCs w:val="0"/>
                <w:color w:val="000000"/>
                <w:sz w:val="18"/>
                <w:szCs w:val="18"/>
                <w:u w:val="none"/>
              </w:rPr>
            </w:pPr>
          </w:p>
        </w:tc>
        <w:tc>
          <w:tcPr>
            <w:tcW w:w="912" w:type="pct"/>
            <w:gridSpan w:val="2"/>
            <w:tcBorders>
              <w:top w:val="single" w:color="000000" w:sz="4" w:space="0"/>
              <w:left w:val="single" w:color="000000" w:sz="4" w:space="0"/>
              <w:bottom w:val="nil"/>
              <w:right w:val="single" w:color="000000" w:sz="4" w:space="0"/>
            </w:tcBorders>
            <w:shd w:val="clear" w:color="auto" w:fill="auto"/>
            <w:vAlign w:val="center"/>
          </w:tcPr>
          <w:p w14:paraId="315E888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290" w:type="pct"/>
            <w:tcBorders>
              <w:top w:val="single" w:color="000000" w:sz="4" w:space="0"/>
              <w:left w:val="single" w:color="000000" w:sz="4" w:space="0"/>
              <w:bottom w:val="nil"/>
              <w:right w:val="single" w:color="000000" w:sz="4" w:space="0"/>
            </w:tcBorders>
            <w:shd w:val="clear" w:color="auto" w:fill="auto"/>
            <w:vAlign w:val="center"/>
          </w:tcPr>
          <w:p w14:paraId="70582F23">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0</w:t>
            </w:r>
          </w:p>
        </w:tc>
        <w:tc>
          <w:tcPr>
            <w:tcW w:w="492" w:type="pct"/>
            <w:tcBorders>
              <w:top w:val="single" w:color="000000" w:sz="4" w:space="0"/>
              <w:left w:val="single" w:color="000000" w:sz="4" w:space="0"/>
              <w:bottom w:val="nil"/>
              <w:right w:val="single" w:color="000000" w:sz="4" w:space="0"/>
            </w:tcBorders>
            <w:shd w:val="clear" w:color="auto" w:fill="auto"/>
            <w:vAlign w:val="center"/>
          </w:tcPr>
          <w:p w14:paraId="2E1F0D47">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0</w:t>
            </w:r>
          </w:p>
        </w:tc>
        <w:tc>
          <w:tcPr>
            <w:tcW w:w="438" w:type="pct"/>
            <w:gridSpan w:val="3"/>
            <w:tcBorders>
              <w:top w:val="single" w:color="000000" w:sz="4" w:space="0"/>
              <w:left w:val="single" w:color="000000" w:sz="4" w:space="0"/>
              <w:bottom w:val="nil"/>
              <w:right w:val="single" w:color="000000" w:sz="4" w:space="0"/>
            </w:tcBorders>
            <w:shd w:val="clear" w:color="auto" w:fill="auto"/>
            <w:vAlign w:val="center"/>
          </w:tcPr>
          <w:p w14:paraId="6E5A02E8">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0</w:t>
            </w:r>
          </w:p>
        </w:tc>
        <w:tc>
          <w:tcPr>
            <w:tcW w:w="111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DF484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w:t>
            </w:r>
          </w:p>
        </w:tc>
        <w:tc>
          <w:tcPr>
            <w:tcW w:w="55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00AF7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97F08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w:t>
            </w:r>
          </w:p>
        </w:tc>
      </w:tr>
      <w:tr w14:paraId="4ACC9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2" w:type="pct"/>
          <w:trHeight w:val="288" w:hRule="atLeast"/>
        </w:trPr>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BDB92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2469"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56CB2B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2122"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16706A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14:paraId="5A8A0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42" w:type="pct"/>
          <w:trHeight w:val="4106"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AA9400">
            <w:pPr>
              <w:jc w:val="center"/>
              <w:rPr>
                <w:rFonts w:hint="eastAsia" w:ascii="仿宋_GB2312" w:hAnsi="仿宋_GB2312" w:eastAsia="仿宋_GB2312" w:cs="仿宋_GB2312"/>
                <w:i w:val="0"/>
                <w:iCs w:val="0"/>
                <w:color w:val="000000"/>
                <w:sz w:val="18"/>
                <w:szCs w:val="18"/>
                <w:u w:val="none"/>
              </w:rPr>
            </w:pPr>
          </w:p>
        </w:tc>
        <w:tc>
          <w:tcPr>
            <w:tcW w:w="2469"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14:paraId="76C40D66">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承担棉花纤维和毛绒、麻、茧丝、化纤等非棉纤维、纺织品、棉花包装物及婴幼儿服装、学生校服、床上用品等纤维用品的检验检测、监督抽查等工作，监督抽查完成率90%。目标2：课题项目进度达到85%。购买专用材料3批次，检定设备数量50台，维修检定合格率90%</w:t>
            </w:r>
          </w:p>
        </w:tc>
        <w:tc>
          <w:tcPr>
            <w:tcW w:w="2122"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F666F11">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目标1完成情况：本年度结合我区纤维产业发展实际，分别完成棉花纤维和毛绒、麻、茧丝、化纤等非棉纤维、纺织品、棉花包装物及婴幼儿服装、学生校服、床上用品等纤维用品的检验检测、监督抽查等工作，监督抽查完成率大于90%。经对实际完成值核对后，本年度我区棉花各项指标达成近五年来的最好质量水平，非棉纤维及其制品质量也稳中有升。</w:t>
            </w:r>
          </w:p>
          <w:p w14:paraId="044D6FB5">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目标2完成情况：本年度完成项目可行性论证研究报告4项，申报软件著作权3个，申报专利4项，完成项目中期报告4 项，完成科研管理制度3项，全年课题项目进度均已达85%以上。全年购买专用材料4个批次，完成本中心仪器设备检定116台件，专用设备维修检定合格率100%。经对实际完成值核对后，本年度我中心加强内部管理，使各项能力得到很大提升。</w:t>
            </w:r>
          </w:p>
        </w:tc>
      </w:tr>
      <w:tr w14:paraId="0ED5B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26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9B4BCF">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336" w:type="pct"/>
            <w:tcBorders>
              <w:top w:val="single" w:color="auto" w:sz="4" w:space="0"/>
              <w:left w:val="single" w:color="auto" w:sz="4" w:space="0"/>
              <w:bottom w:val="single" w:color="auto" w:sz="4" w:space="0"/>
              <w:right w:val="single" w:color="auto" w:sz="4" w:space="0"/>
            </w:tcBorders>
            <w:shd w:val="clear" w:color="auto" w:fill="auto"/>
            <w:vAlign w:val="center"/>
          </w:tcPr>
          <w:p w14:paraId="592C3A1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583" w:type="pct"/>
            <w:tcBorders>
              <w:top w:val="single" w:color="auto" w:sz="4" w:space="0"/>
              <w:left w:val="single" w:color="auto" w:sz="4" w:space="0"/>
              <w:bottom w:val="single" w:color="auto" w:sz="4" w:space="0"/>
              <w:right w:val="single" w:color="auto" w:sz="4" w:space="0"/>
            </w:tcBorders>
            <w:shd w:val="clear" w:color="auto" w:fill="auto"/>
            <w:vAlign w:val="center"/>
          </w:tcPr>
          <w:p w14:paraId="5AECFA8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066BC8D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3D45A0D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9F5CE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42ACBA8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1E447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3BCFC23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2553C7A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1D3E0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2490088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53788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A2F2D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14:paraId="68D02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4" w:hRule="atLeast"/>
        </w:trPr>
        <w:tc>
          <w:tcPr>
            <w:tcW w:w="26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591331">
            <w:pPr>
              <w:jc w:val="center"/>
              <w:rPr>
                <w:rFonts w:hint="eastAsia" w:ascii="仿宋_GB2312" w:hAnsi="仿宋_GB2312" w:eastAsia="仿宋_GB2312" w:cs="仿宋_GB2312"/>
                <w:i w:val="0"/>
                <w:iCs w:val="0"/>
                <w:color w:val="000000"/>
                <w:sz w:val="18"/>
                <w:szCs w:val="18"/>
                <w:u w:val="none"/>
              </w:rPr>
            </w:pPr>
          </w:p>
        </w:tc>
        <w:tc>
          <w:tcPr>
            <w:tcW w:w="336"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CD3C96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58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852A25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3292B66C">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购买专用材料批次</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6EDA778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≥4次</w:t>
            </w: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A94F5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5B0D4E13">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4次</w:t>
            </w: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14A870">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8</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6A85FA4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07A3D23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2C851D">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4次</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4B7B89A3">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100%</w:t>
            </w: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FEC506">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8</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A96973">
            <w:pPr>
              <w:jc w:val="center"/>
              <w:rPr>
                <w:rFonts w:hint="eastAsia" w:ascii="仿宋_GB2312" w:hAnsi="仿宋_GB2312" w:eastAsia="仿宋_GB2312" w:cs="仿宋_GB2312"/>
                <w:i w:val="0"/>
                <w:iCs w:val="0"/>
                <w:color w:val="000000"/>
                <w:sz w:val="18"/>
                <w:szCs w:val="18"/>
                <w:u w:val="none"/>
              </w:rPr>
            </w:pPr>
          </w:p>
        </w:tc>
      </w:tr>
      <w:tr w14:paraId="4706D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2" w:hRule="atLeast"/>
        </w:trPr>
        <w:tc>
          <w:tcPr>
            <w:tcW w:w="26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940DC1">
            <w:pPr>
              <w:jc w:val="center"/>
              <w:rPr>
                <w:rFonts w:hint="eastAsia" w:ascii="仿宋_GB2312" w:hAnsi="仿宋_GB2312" w:eastAsia="仿宋_GB2312" w:cs="仿宋_GB2312"/>
                <w:i w:val="0"/>
                <w:iCs w:val="0"/>
                <w:color w:val="000000"/>
                <w:sz w:val="18"/>
                <w:szCs w:val="18"/>
                <w:u w:val="none"/>
              </w:rPr>
            </w:pPr>
          </w:p>
        </w:tc>
        <w:tc>
          <w:tcPr>
            <w:tcW w:w="33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A6A02B8">
            <w:pPr>
              <w:jc w:val="center"/>
              <w:rPr>
                <w:rFonts w:hint="eastAsia" w:ascii="仿宋_GB2312" w:hAnsi="仿宋_GB2312" w:eastAsia="仿宋_GB2312" w:cs="仿宋_GB2312"/>
                <w:i w:val="0"/>
                <w:iCs w:val="0"/>
                <w:color w:val="000000"/>
                <w:sz w:val="18"/>
                <w:szCs w:val="18"/>
                <w:u w:val="none"/>
              </w:rPr>
            </w:pPr>
          </w:p>
        </w:tc>
        <w:tc>
          <w:tcPr>
            <w:tcW w:w="5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4ED1D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34C7F29E">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检定设备数量</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64B7574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&gt;=50台/件</w:t>
            </w: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4D1E2E">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历史标准</w:t>
            </w: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321EDF0F">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50台/件</w:t>
            </w: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167E1F">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8</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1240AEBF">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按照完成比例赋分</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486A61FE">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工作资料</w:t>
            </w: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1A2DF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116台/件</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7D262EB1">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232%</w:t>
            </w: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CD01CB">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0</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A3408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因下属单位涉企改革仪器设备划转，需对增加的设备进行检定，造成指标值偏差较大。改进措施为加强管理，减少偏差。</w:t>
            </w:r>
          </w:p>
        </w:tc>
      </w:tr>
      <w:tr w14:paraId="52B54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26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413D1F">
            <w:pPr>
              <w:jc w:val="center"/>
              <w:rPr>
                <w:rFonts w:hint="eastAsia" w:ascii="仿宋_GB2312" w:hAnsi="仿宋_GB2312" w:eastAsia="仿宋_GB2312" w:cs="仿宋_GB2312"/>
                <w:i w:val="0"/>
                <w:iCs w:val="0"/>
                <w:color w:val="000000"/>
                <w:sz w:val="18"/>
                <w:szCs w:val="18"/>
                <w:u w:val="none"/>
              </w:rPr>
            </w:pPr>
          </w:p>
        </w:tc>
        <w:tc>
          <w:tcPr>
            <w:tcW w:w="33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7D68426">
            <w:pPr>
              <w:jc w:val="center"/>
              <w:rPr>
                <w:rFonts w:hint="eastAsia" w:ascii="仿宋_GB2312" w:hAnsi="仿宋_GB2312" w:eastAsia="仿宋_GB2312" w:cs="仿宋_GB2312"/>
                <w:i w:val="0"/>
                <w:iCs w:val="0"/>
                <w:color w:val="000000"/>
                <w:sz w:val="18"/>
                <w:szCs w:val="18"/>
                <w:u w:val="none"/>
              </w:rPr>
            </w:pPr>
          </w:p>
        </w:tc>
        <w:tc>
          <w:tcPr>
            <w:tcW w:w="58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734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25132C54">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维修检定合格率</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6105241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FE2DB3">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历史标准</w:t>
            </w: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68B1457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90%</w:t>
            </w: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5F5AEB">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4</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78EFDE00">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按照完成比例赋分</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454078B8">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工作资料</w:t>
            </w: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683E2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5B192177">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111.11%</w:t>
            </w: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C4E5F5">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3.56</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31D85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因加强了内部管理，各部门拧成一股绳，效率增加，造成完成值有一定偏差。改进措施：下年度设置绩效目标时结合近三年完成情况科学设置。</w:t>
            </w:r>
          </w:p>
        </w:tc>
      </w:tr>
      <w:tr w14:paraId="1B0D9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2" w:hRule="atLeast"/>
        </w:trPr>
        <w:tc>
          <w:tcPr>
            <w:tcW w:w="26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4F4521">
            <w:pPr>
              <w:jc w:val="center"/>
              <w:rPr>
                <w:rFonts w:hint="eastAsia" w:ascii="仿宋_GB2312" w:hAnsi="仿宋_GB2312" w:eastAsia="仿宋_GB2312" w:cs="仿宋_GB2312"/>
                <w:i w:val="0"/>
                <w:iCs w:val="0"/>
                <w:color w:val="000000"/>
                <w:sz w:val="18"/>
                <w:szCs w:val="18"/>
                <w:u w:val="none"/>
              </w:rPr>
            </w:pPr>
          </w:p>
        </w:tc>
        <w:tc>
          <w:tcPr>
            <w:tcW w:w="33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164F907">
            <w:pPr>
              <w:jc w:val="center"/>
              <w:rPr>
                <w:rFonts w:hint="eastAsia" w:ascii="仿宋_GB2312" w:hAnsi="仿宋_GB2312" w:eastAsia="仿宋_GB2312" w:cs="仿宋_GB2312"/>
                <w:i w:val="0"/>
                <w:iCs w:val="0"/>
                <w:color w:val="000000"/>
                <w:sz w:val="18"/>
                <w:szCs w:val="18"/>
                <w:u w:val="none"/>
              </w:rPr>
            </w:pPr>
          </w:p>
        </w:tc>
        <w:tc>
          <w:tcPr>
            <w:tcW w:w="5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72B38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3D301CF3">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专用材料质量合格率</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19E25A9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CD186A">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历史标准</w:t>
            </w: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4C3A9592">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95%</w:t>
            </w: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0F4AFD">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4</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1F900E48">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按照完成比例赋分</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2AA86CBF">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工作资料</w:t>
            </w: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4210C2">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100%</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784BF101">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105.26%</w:t>
            </w: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0D8FFE">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3.79</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3BEA5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因加强了内部管理，各部门拧成一股绳，效率增加，造成完成值有一定偏差。改进措施：下年度设置绩效目标时结合近三年完成情况科学设置。</w:t>
            </w:r>
          </w:p>
        </w:tc>
      </w:tr>
      <w:tr w14:paraId="54162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6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A50A30F">
            <w:pPr>
              <w:jc w:val="center"/>
              <w:rPr>
                <w:rFonts w:hint="eastAsia" w:ascii="仿宋_GB2312" w:hAnsi="仿宋_GB2312" w:eastAsia="仿宋_GB2312" w:cs="仿宋_GB2312"/>
                <w:i w:val="0"/>
                <w:iCs w:val="0"/>
                <w:color w:val="000000"/>
                <w:sz w:val="18"/>
                <w:szCs w:val="18"/>
                <w:u w:val="none"/>
              </w:rPr>
            </w:pPr>
          </w:p>
        </w:tc>
        <w:tc>
          <w:tcPr>
            <w:tcW w:w="33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C044B42">
            <w:pPr>
              <w:jc w:val="center"/>
              <w:rPr>
                <w:rFonts w:hint="eastAsia" w:ascii="仿宋_GB2312" w:hAnsi="仿宋_GB2312" w:eastAsia="仿宋_GB2312" w:cs="仿宋_GB2312"/>
                <w:i w:val="0"/>
                <w:iCs w:val="0"/>
                <w:color w:val="000000"/>
                <w:sz w:val="18"/>
                <w:szCs w:val="18"/>
                <w:u w:val="none"/>
              </w:rPr>
            </w:pPr>
          </w:p>
        </w:tc>
        <w:tc>
          <w:tcPr>
            <w:tcW w:w="58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8D50F3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28276755">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用材料采购完成及时率</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3DEE14C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863EA7">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历史标准</w:t>
            </w: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464113F8">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95%</w:t>
            </w: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1FE4D4">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8</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1C8FABAF">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按照完成比例赋分</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25D288C5">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工作资料</w:t>
            </w: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A0E428">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98%</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0B5E0784">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103.16%</w:t>
            </w: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CE26B5">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7.75</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6C8154">
            <w:pPr>
              <w:jc w:val="center"/>
              <w:rPr>
                <w:rFonts w:hint="eastAsia" w:ascii="仿宋_GB2312" w:hAnsi="仿宋_GB2312" w:eastAsia="仿宋_GB2312" w:cs="仿宋_GB2312"/>
                <w:b w:val="0"/>
                <w:bCs w:val="0"/>
                <w:i w:val="0"/>
                <w:iCs w:val="0"/>
                <w:color w:val="000000"/>
                <w:sz w:val="18"/>
                <w:szCs w:val="18"/>
                <w:u w:val="none"/>
              </w:rPr>
            </w:pPr>
            <w:r>
              <w:rPr>
                <w:rFonts w:hint="eastAsia" w:ascii="仿宋_GB2312" w:hAnsi="仿宋_GB2312" w:eastAsia="仿宋_GB2312" w:cs="仿宋_GB2312"/>
                <w:b w:val="0"/>
                <w:bCs w:val="0"/>
                <w:i w:val="0"/>
                <w:iCs w:val="0"/>
                <w:color w:val="000000"/>
                <w:sz w:val="18"/>
                <w:szCs w:val="18"/>
                <w:u w:val="none"/>
              </w:rPr>
              <w:t>因加强了内部管理，各部门拧成一股绳，效率增加，造成完成值有一定偏差。改进措施：下年度设置绩效目标时结合近三年完成情况科学设置。</w:t>
            </w:r>
          </w:p>
        </w:tc>
      </w:tr>
      <w:tr w14:paraId="6A75F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2" w:hRule="atLeast"/>
        </w:trPr>
        <w:tc>
          <w:tcPr>
            <w:tcW w:w="26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F50A9AA">
            <w:pPr>
              <w:jc w:val="center"/>
              <w:rPr>
                <w:rFonts w:hint="eastAsia" w:ascii="仿宋_GB2312" w:hAnsi="仿宋_GB2312" w:eastAsia="仿宋_GB2312" w:cs="仿宋_GB2312"/>
                <w:i w:val="0"/>
                <w:iCs w:val="0"/>
                <w:color w:val="000000"/>
                <w:sz w:val="18"/>
                <w:szCs w:val="18"/>
                <w:u w:val="none"/>
              </w:rPr>
            </w:pPr>
          </w:p>
        </w:tc>
        <w:tc>
          <w:tcPr>
            <w:tcW w:w="33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708641A">
            <w:pPr>
              <w:jc w:val="center"/>
              <w:rPr>
                <w:rFonts w:hint="eastAsia" w:ascii="仿宋_GB2312" w:hAnsi="仿宋_GB2312" w:eastAsia="仿宋_GB2312" w:cs="仿宋_GB2312"/>
                <w:i w:val="0"/>
                <w:iCs w:val="0"/>
                <w:color w:val="000000"/>
                <w:sz w:val="18"/>
                <w:szCs w:val="18"/>
                <w:u w:val="none"/>
              </w:rPr>
            </w:pPr>
          </w:p>
        </w:tc>
        <w:tc>
          <w:tcPr>
            <w:tcW w:w="583"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92A3C8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7DB89DDF">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检验检测及时率</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242231A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21DC15">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历史标准</w:t>
            </w: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4ECD15C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cs="仿宋_GB2312"/>
                <w:i w:val="0"/>
                <w:iCs w:val="0"/>
                <w:color w:val="000000"/>
                <w:sz w:val="18"/>
                <w:szCs w:val="18"/>
                <w:u w:val="none"/>
                <w:lang w:val="en-US" w:eastAsia="zh-CN"/>
              </w:rPr>
              <w:t>90</w:t>
            </w:r>
            <w:r>
              <w:rPr>
                <w:rFonts w:hint="eastAsia" w:ascii="仿宋_GB2312" w:hAnsi="仿宋_GB2312" w:eastAsia="仿宋_GB2312" w:cs="仿宋_GB2312"/>
                <w:i w:val="0"/>
                <w:iCs w:val="0"/>
                <w:color w:val="000000"/>
                <w:sz w:val="18"/>
                <w:szCs w:val="18"/>
                <w:u w:val="none"/>
              </w:rPr>
              <w:t>%</w:t>
            </w: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C8C294">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8</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784E4074">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按照完成比例赋分</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5C09D0D9">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工作资料</w:t>
            </w: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A3257A">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100%</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7EE42427">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111.11%</w:t>
            </w: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E99F6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7.11</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F92056">
            <w:pPr>
              <w:jc w:val="center"/>
              <w:rPr>
                <w:rFonts w:hint="eastAsia" w:ascii="仿宋_GB2312" w:hAnsi="仿宋_GB2312" w:eastAsia="仿宋_GB2312" w:cs="仿宋_GB2312"/>
                <w:b w:val="0"/>
                <w:bCs w:val="0"/>
                <w:i w:val="0"/>
                <w:iCs w:val="0"/>
                <w:color w:val="000000"/>
                <w:sz w:val="18"/>
                <w:szCs w:val="18"/>
                <w:u w:val="none"/>
              </w:rPr>
            </w:pPr>
            <w:r>
              <w:rPr>
                <w:rFonts w:hint="eastAsia" w:ascii="仿宋_GB2312" w:hAnsi="仿宋_GB2312" w:eastAsia="仿宋_GB2312" w:cs="仿宋_GB2312"/>
                <w:b w:val="0"/>
                <w:bCs w:val="0"/>
                <w:i w:val="0"/>
                <w:iCs w:val="0"/>
                <w:color w:val="000000"/>
                <w:sz w:val="18"/>
                <w:szCs w:val="18"/>
                <w:u w:val="none"/>
              </w:rPr>
              <w:t>因加强了内部管理，各部门拧成一股绳，效率增加，造成完成值有一定偏差。改进措施：下年度设置绩效目标时结合近三年完成情况科学设置。</w:t>
            </w:r>
          </w:p>
        </w:tc>
      </w:tr>
      <w:tr w14:paraId="5EA62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6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60927E5">
            <w:pPr>
              <w:jc w:val="center"/>
              <w:rPr>
                <w:rFonts w:hint="eastAsia" w:ascii="仿宋_GB2312" w:hAnsi="仿宋_GB2312" w:eastAsia="仿宋_GB2312" w:cs="仿宋_GB2312"/>
                <w:i w:val="0"/>
                <w:iCs w:val="0"/>
                <w:color w:val="000000"/>
                <w:sz w:val="18"/>
                <w:szCs w:val="18"/>
                <w:u w:val="none"/>
              </w:rPr>
            </w:pPr>
          </w:p>
        </w:tc>
        <w:tc>
          <w:tcPr>
            <w:tcW w:w="33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98B634">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58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946872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3A29908E">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监督管理投入成本</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7C14375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&lt;=100万元</w:t>
            </w: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D2CD34">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预算支出标准</w:t>
            </w: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7F627227">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100万元</w:t>
            </w: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73712F">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2A9CED61">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按照完成比例赋分</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31BB6B25">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工作资料</w:t>
            </w: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7828D1">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99.94万元</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2A5BD904">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99.94%</w:t>
            </w: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B5EF60">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9.98</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83BA2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因在开展棉花监督管理工作中受不确定因素影响，造成完成值有一定偏差。改进措施：下年度设置绩效目标时结合近三年完成情况科学设置。</w:t>
            </w:r>
          </w:p>
        </w:tc>
      </w:tr>
      <w:tr w14:paraId="19DB1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6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E72751E">
            <w:pPr>
              <w:jc w:val="center"/>
              <w:rPr>
                <w:rFonts w:hint="eastAsia" w:ascii="仿宋_GB2312" w:hAnsi="仿宋_GB2312" w:eastAsia="仿宋_GB2312" w:cs="仿宋_GB2312"/>
                <w:i w:val="0"/>
                <w:iCs w:val="0"/>
                <w:color w:val="000000"/>
                <w:sz w:val="18"/>
                <w:szCs w:val="18"/>
                <w:u w:val="none"/>
              </w:rPr>
            </w:pPr>
          </w:p>
        </w:tc>
        <w:tc>
          <w:tcPr>
            <w:tcW w:w="33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C66220">
            <w:pPr>
              <w:jc w:val="center"/>
              <w:rPr>
                <w:rFonts w:hint="default" w:ascii="仿宋_GB2312" w:hAnsi="仿宋_GB2312" w:eastAsia="仿宋_GB2312" w:cs="仿宋_GB2312"/>
                <w:i w:val="0"/>
                <w:iCs w:val="0"/>
                <w:color w:val="000000"/>
                <w:sz w:val="18"/>
                <w:szCs w:val="18"/>
                <w:u w:val="none"/>
                <w:lang w:val="en-US" w:eastAsia="zh-CN"/>
              </w:rPr>
            </w:pPr>
          </w:p>
        </w:tc>
        <w:tc>
          <w:tcPr>
            <w:tcW w:w="583"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6BFF8F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6D8D9900">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课题研究投入成本</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304C078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&lt;=25万元</w:t>
            </w: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4006CA">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预算支出标准</w:t>
            </w: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56CE8AD1">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25万元</w:t>
            </w: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13C116">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13E50835">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按照完成比例赋分</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7E219C37">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工作资料</w:t>
            </w: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9EDFB6">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24.58万元</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68A76CD0">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98.32%</w:t>
            </w: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361262">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9.58</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96558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因课题研究进度影响，造成完成值有一定偏差。改进措施：下年度设置绩效目标时结合近三年完成情况科学设置。</w:t>
            </w:r>
          </w:p>
        </w:tc>
      </w:tr>
      <w:tr w14:paraId="323C1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6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107AAA3">
            <w:pPr>
              <w:jc w:val="center"/>
              <w:rPr>
                <w:rFonts w:hint="eastAsia" w:ascii="仿宋_GB2312" w:hAnsi="仿宋_GB2312" w:eastAsia="仿宋_GB2312" w:cs="仿宋_GB2312"/>
                <w:i w:val="0"/>
                <w:iCs w:val="0"/>
                <w:color w:val="000000"/>
                <w:sz w:val="18"/>
                <w:szCs w:val="18"/>
                <w:u w:val="none"/>
              </w:rPr>
            </w:pPr>
          </w:p>
        </w:tc>
        <w:tc>
          <w:tcPr>
            <w:tcW w:w="336" w:type="pct"/>
            <w:tcBorders>
              <w:top w:val="single" w:color="auto" w:sz="4" w:space="0"/>
              <w:left w:val="single" w:color="auto" w:sz="4" w:space="0"/>
              <w:bottom w:val="single" w:color="auto" w:sz="4" w:space="0"/>
              <w:right w:val="single" w:color="auto" w:sz="4" w:space="0"/>
            </w:tcBorders>
            <w:shd w:val="clear" w:color="auto" w:fill="auto"/>
            <w:vAlign w:val="center"/>
          </w:tcPr>
          <w:p w14:paraId="7A21333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583" w:type="pct"/>
            <w:tcBorders>
              <w:top w:val="single" w:color="auto" w:sz="4" w:space="0"/>
              <w:left w:val="single" w:color="auto" w:sz="4" w:space="0"/>
              <w:bottom w:val="single" w:color="auto" w:sz="4" w:space="0"/>
              <w:right w:val="single" w:color="auto" w:sz="4" w:space="0"/>
            </w:tcBorders>
            <w:shd w:val="clear" w:color="auto" w:fill="auto"/>
            <w:vAlign w:val="center"/>
          </w:tcPr>
          <w:p w14:paraId="2EACCEA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p w14:paraId="010297C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p w14:paraId="201DF5F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63FE7E8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结果公示率</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55F9003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7E586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cs="仿宋_GB2312"/>
                <w:i w:val="0"/>
                <w:iCs w:val="0"/>
                <w:color w:val="000000"/>
                <w:sz w:val="18"/>
                <w:szCs w:val="18"/>
                <w:u w:val="none"/>
                <w:lang w:eastAsia="zh-CN"/>
              </w:rPr>
              <w:t>历史标准</w:t>
            </w: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0683796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6E46D7">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20</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0DC716D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41477E36">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工作资料</w:t>
            </w: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302CB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19C626EF">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111.11%</w:t>
            </w: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BB157A">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17.78</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208F8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因受新疆棉原因，造成完成值有一定偏差。改进措施：下年度设置绩效目标时结合近三年完成情况科学设置。</w:t>
            </w:r>
          </w:p>
        </w:tc>
      </w:tr>
      <w:tr w14:paraId="0EE22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6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C3347FA">
            <w:pPr>
              <w:jc w:val="center"/>
              <w:rPr>
                <w:rFonts w:hint="eastAsia" w:ascii="仿宋_GB2312" w:hAnsi="仿宋_GB2312" w:eastAsia="仿宋_GB2312" w:cs="仿宋_GB2312"/>
                <w:i w:val="0"/>
                <w:iCs w:val="0"/>
                <w:color w:val="000000"/>
                <w:sz w:val="18"/>
                <w:szCs w:val="18"/>
                <w:u w:val="none"/>
              </w:rPr>
            </w:pPr>
          </w:p>
        </w:tc>
        <w:tc>
          <w:tcPr>
            <w:tcW w:w="336" w:type="pct"/>
            <w:tcBorders>
              <w:top w:val="single" w:color="auto" w:sz="4" w:space="0"/>
              <w:left w:val="single" w:color="auto" w:sz="4" w:space="0"/>
              <w:bottom w:val="single" w:color="auto" w:sz="4" w:space="0"/>
              <w:right w:val="single" w:color="auto" w:sz="4" w:space="0"/>
            </w:tcBorders>
            <w:shd w:val="clear" w:color="auto" w:fill="auto"/>
            <w:vAlign w:val="center"/>
          </w:tcPr>
          <w:p w14:paraId="193FF99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583" w:type="pct"/>
            <w:tcBorders>
              <w:top w:val="single" w:color="auto" w:sz="4" w:space="0"/>
              <w:left w:val="single" w:color="auto" w:sz="4" w:space="0"/>
              <w:bottom w:val="single" w:color="auto" w:sz="4" w:space="0"/>
              <w:right w:val="single" w:color="auto" w:sz="4" w:space="0"/>
            </w:tcBorders>
            <w:shd w:val="clear" w:color="auto" w:fill="auto"/>
            <w:vAlign w:val="center"/>
          </w:tcPr>
          <w:p w14:paraId="7ADC4A4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5CED2BDD">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客户满意度</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51FE8A8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AC2546">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历史标准</w:t>
            </w: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0C8EA514">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90%</w:t>
            </w: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7F72FD">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7D60731C">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满意度赋分</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1C9D24E3">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cs="仿宋_GB2312"/>
                <w:i w:val="0"/>
                <w:iCs w:val="0"/>
                <w:color w:val="000000"/>
                <w:sz w:val="18"/>
                <w:szCs w:val="18"/>
                <w:u w:val="none"/>
                <w:lang w:eastAsia="zh-CN"/>
              </w:rPr>
              <w:t>工作资料</w:t>
            </w: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81F4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100%</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78A0C5D5">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111.11%</w:t>
            </w: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59D165">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5ED0A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因加强了外部服务，得到各方认可，效率增加，造成指标值有一定偏差。改进措施：下年度设置绩效目标时结合近三年完成情况科学设置。</w:t>
            </w:r>
          </w:p>
        </w:tc>
      </w:tr>
      <w:tr w14:paraId="0601E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1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704DE6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290" w:type="pct"/>
            <w:tcBorders>
              <w:top w:val="single" w:color="auto" w:sz="4" w:space="0"/>
              <w:left w:val="single" w:color="auto" w:sz="4" w:space="0"/>
              <w:bottom w:val="single" w:color="auto" w:sz="4" w:space="0"/>
              <w:right w:val="single" w:color="auto" w:sz="4" w:space="0"/>
            </w:tcBorders>
            <w:shd w:val="clear" w:color="auto" w:fill="auto"/>
            <w:vAlign w:val="center"/>
          </w:tcPr>
          <w:p w14:paraId="1256D080">
            <w:pPr>
              <w:jc w:val="center"/>
              <w:rPr>
                <w:rFonts w:hint="eastAsia" w:ascii="仿宋_GB2312" w:hAnsi="仿宋_GB2312" w:eastAsia="仿宋_GB2312" w:cs="仿宋_GB2312"/>
                <w:i w:val="0"/>
                <w:iCs w:val="0"/>
                <w:color w:val="000000"/>
                <w:sz w:val="18"/>
                <w:szCs w:val="18"/>
                <w:u w:val="none"/>
              </w:rPr>
            </w:pPr>
          </w:p>
        </w:tc>
        <w:tc>
          <w:tcPr>
            <w:tcW w:w="52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396A81">
            <w:pPr>
              <w:rPr>
                <w:rFonts w:hint="eastAsia" w:ascii="仿宋_GB2312" w:hAnsi="仿宋_GB2312" w:eastAsia="仿宋_GB2312" w:cs="仿宋_GB2312"/>
                <w:b/>
                <w:bCs/>
                <w:i w:val="0"/>
                <w:iCs w:val="0"/>
                <w:color w:val="000000"/>
                <w:sz w:val="18"/>
                <w:szCs w:val="18"/>
                <w:u w:val="none"/>
              </w:rPr>
            </w:pPr>
          </w:p>
        </w:tc>
        <w:tc>
          <w:tcPr>
            <w:tcW w:w="230" w:type="pct"/>
            <w:tcBorders>
              <w:top w:val="single" w:color="auto" w:sz="4" w:space="0"/>
              <w:left w:val="single" w:color="auto" w:sz="4" w:space="0"/>
              <w:bottom w:val="single" w:color="auto" w:sz="4" w:space="0"/>
              <w:right w:val="single" w:color="auto" w:sz="4" w:space="0"/>
            </w:tcBorders>
            <w:shd w:val="clear" w:color="auto" w:fill="auto"/>
            <w:vAlign w:val="center"/>
          </w:tcPr>
          <w:p w14:paraId="261590B7">
            <w:pPr>
              <w:jc w:val="center"/>
              <w:rPr>
                <w:rFonts w:hint="eastAsia" w:ascii="仿宋_GB2312" w:hAnsi="仿宋_GB2312" w:eastAsia="仿宋_GB2312" w:cs="仿宋_GB2312"/>
                <w:i w:val="0"/>
                <w:iCs w:val="0"/>
                <w:color w:val="000000"/>
                <w:sz w:val="18"/>
                <w:szCs w:val="18"/>
                <w:u w:val="none"/>
              </w:rPr>
            </w:pPr>
          </w:p>
        </w:tc>
        <w:tc>
          <w:tcPr>
            <w:tcW w:w="4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C69426">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cs="仿宋_GB2312"/>
                <w:i w:val="0"/>
                <w:iCs w:val="0"/>
                <w:color w:val="000000"/>
                <w:sz w:val="18"/>
                <w:szCs w:val="18"/>
                <w:u w:val="none"/>
                <w:lang w:val="en-US" w:eastAsia="zh-CN"/>
              </w:rPr>
              <w:t>100</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2CFE0F91">
            <w:pPr>
              <w:jc w:val="center"/>
              <w:rPr>
                <w:rFonts w:hint="eastAsia" w:ascii="仿宋_GB2312" w:hAnsi="仿宋_GB2312" w:eastAsia="仿宋_GB2312" w:cs="仿宋_GB2312"/>
                <w:i w:val="0"/>
                <w:iCs w:val="0"/>
                <w:color w:val="000000"/>
                <w:sz w:val="18"/>
                <w:szCs w:val="18"/>
                <w:u w:val="none"/>
              </w:rPr>
            </w:pP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14:paraId="09F08C6B">
            <w:pPr>
              <w:rPr>
                <w:rFonts w:hint="eastAsia" w:ascii="仿宋_GB2312" w:hAnsi="仿宋_GB2312" w:eastAsia="仿宋_GB2312" w:cs="仿宋_GB2312"/>
                <w:i w:val="0"/>
                <w:iCs w:val="0"/>
                <w:color w:val="000000"/>
                <w:sz w:val="18"/>
                <w:szCs w:val="18"/>
                <w:u w:val="none"/>
              </w:rPr>
            </w:pPr>
          </w:p>
        </w:tc>
        <w:tc>
          <w:tcPr>
            <w:tcW w:w="3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1F2AC6">
            <w:pPr>
              <w:rPr>
                <w:rFonts w:hint="eastAsia" w:ascii="仿宋_GB2312" w:hAnsi="仿宋_GB2312" w:eastAsia="仿宋_GB2312" w:cs="仿宋_GB2312"/>
                <w:i w:val="0"/>
                <w:iCs w:val="0"/>
                <w:color w:val="000000"/>
                <w:sz w:val="18"/>
                <w:szCs w:val="18"/>
                <w:u w:val="none"/>
              </w:rPr>
            </w:pP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3445427A">
            <w:pPr>
              <w:rPr>
                <w:rFonts w:hint="default" w:ascii="仿宋_GB2312" w:hAnsi="仿宋_GB2312" w:eastAsia="仿宋_GB2312" w:cs="仿宋_GB2312"/>
                <w:i w:val="0"/>
                <w:iCs w:val="0"/>
                <w:color w:val="000000"/>
                <w:sz w:val="18"/>
                <w:szCs w:val="18"/>
                <w:u w:val="none"/>
                <w:lang w:val="en-US" w:eastAsia="zh-CN"/>
              </w:rPr>
            </w:pPr>
          </w:p>
        </w:tc>
        <w:tc>
          <w:tcPr>
            <w:tcW w:w="2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543C4D">
            <w:pPr>
              <w:jc w:val="center"/>
              <w:rPr>
                <w:rFonts w:hint="eastAsia" w:ascii="仿宋_GB2312" w:hAnsi="仿宋_GB2312" w:eastAsia="仿宋_GB2312" w:cs="仿宋_GB2312"/>
                <w:i w:val="0"/>
                <w:iCs w:val="0"/>
                <w:color w:val="000000"/>
                <w:sz w:val="18"/>
                <w:szCs w:val="18"/>
                <w:u w:val="none"/>
              </w:rPr>
            </w:pPr>
          </w:p>
          <w:p w14:paraId="7281C06D">
            <w:pPr>
              <w:rPr>
                <w:rFonts w:hint="default" w:eastAsia="仿宋_GB2312"/>
                <w:lang w:val="en-US" w:eastAsia="zh-CN"/>
              </w:rPr>
            </w:pPr>
            <w:r>
              <w:rPr>
                <w:rFonts w:hint="default" w:ascii="仿宋_GB2312" w:hAnsi="仿宋_GB2312" w:cs="仿宋_GB2312"/>
                <w:color w:val="000000"/>
                <w:sz w:val="18"/>
                <w:szCs w:val="18"/>
                <w:u w:val="none"/>
                <w:lang w:val="en-US" w:eastAsia="zh-CN"/>
              </w:rPr>
              <w:t>87.55</w:t>
            </w:r>
          </w:p>
        </w:tc>
        <w:tc>
          <w:tcPr>
            <w:tcW w:w="4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D4EA06">
            <w:pPr>
              <w:rPr>
                <w:rFonts w:hint="eastAsia" w:ascii="仿宋_GB2312" w:hAnsi="仿宋_GB2312" w:eastAsia="仿宋_GB2312" w:cs="仿宋_GB2312"/>
                <w:i w:val="0"/>
                <w:iCs w:val="0"/>
                <w:color w:val="000000"/>
                <w:sz w:val="18"/>
                <w:szCs w:val="18"/>
                <w:u w:val="none"/>
              </w:rPr>
            </w:pPr>
          </w:p>
        </w:tc>
      </w:tr>
    </w:tbl>
    <w:p w14:paraId="0DC748F8">
      <w:pPr>
        <w:spacing w:line="360" w:lineRule="auto"/>
        <w:rPr>
          <w:rFonts w:hint="eastAsia"/>
          <w:color w:val="auto"/>
          <w:shd w:val="clear" w:color="auto" w:fill="auto"/>
        </w:rPr>
      </w:pPr>
    </w:p>
    <w:sectPr>
      <w:pgSz w:w="16838" w:h="11906" w:orient="landscape"/>
      <w:pgMar w:top="1701"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trackRevisions w:val="1"/>
  <w:documentProtection w:enforcement="0"/>
  <w:defaultTabStop w:val="420"/>
  <w:drawingGridHorizontalSpacing w:val="15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JjMDY4ODEzMDVlM2YxOGE3NjBhMzViNjU0MDI5MzQifQ=="/>
  </w:docVars>
  <w:rsids>
    <w:rsidRoot w:val="00EF3108"/>
    <w:rsid w:val="00016D87"/>
    <w:rsid w:val="00035F66"/>
    <w:rsid w:val="00095887"/>
    <w:rsid w:val="000958B5"/>
    <w:rsid w:val="00096556"/>
    <w:rsid w:val="000C018D"/>
    <w:rsid w:val="000E0D96"/>
    <w:rsid w:val="001D04D5"/>
    <w:rsid w:val="00216C61"/>
    <w:rsid w:val="00366061"/>
    <w:rsid w:val="0039791B"/>
    <w:rsid w:val="00572284"/>
    <w:rsid w:val="005C7C27"/>
    <w:rsid w:val="007A70D7"/>
    <w:rsid w:val="007F0BEB"/>
    <w:rsid w:val="009B498A"/>
    <w:rsid w:val="00B347D9"/>
    <w:rsid w:val="00C81069"/>
    <w:rsid w:val="00CF67E3"/>
    <w:rsid w:val="00D9760A"/>
    <w:rsid w:val="00DB6438"/>
    <w:rsid w:val="00E55B1E"/>
    <w:rsid w:val="00EF3108"/>
    <w:rsid w:val="00F00725"/>
    <w:rsid w:val="00F202C2"/>
    <w:rsid w:val="023C6EFF"/>
    <w:rsid w:val="027009BA"/>
    <w:rsid w:val="02CE2A30"/>
    <w:rsid w:val="09AF6DCF"/>
    <w:rsid w:val="10743DBB"/>
    <w:rsid w:val="13675CA3"/>
    <w:rsid w:val="14A82067"/>
    <w:rsid w:val="15EA54B3"/>
    <w:rsid w:val="16B81FC7"/>
    <w:rsid w:val="1854459C"/>
    <w:rsid w:val="1A8E38DF"/>
    <w:rsid w:val="220118F5"/>
    <w:rsid w:val="22F422EA"/>
    <w:rsid w:val="24BA269A"/>
    <w:rsid w:val="263C2955"/>
    <w:rsid w:val="346911EC"/>
    <w:rsid w:val="354457B6"/>
    <w:rsid w:val="358B7C29"/>
    <w:rsid w:val="3FA628C1"/>
    <w:rsid w:val="403541E0"/>
    <w:rsid w:val="49852467"/>
    <w:rsid w:val="4D535C77"/>
    <w:rsid w:val="4F824C16"/>
    <w:rsid w:val="518E0DE8"/>
    <w:rsid w:val="54E56216"/>
    <w:rsid w:val="55172679"/>
    <w:rsid w:val="6166248C"/>
    <w:rsid w:val="61762DCD"/>
    <w:rsid w:val="65206DF6"/>
    <w:rsid w:val="65411107"/>
    <w:rsid w:val="6CE52E52"/>
    <w:rsid w:val="6EC922AC"/>
    <w:rsid w:val="6FCF4B5E"/>
    <w:rsid w:val="7187734E"/>
    <w:rsid w:val="7250347F"/>
    <w:rsid w:val="74E544F9"/>
    <w:rsid w:val="7DCE67A3"/>
    <w:rsid w:val="7EC45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20"/>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ody Text"/>
    <w:basedOn w:val="1"/>
    <w:link w:val="26"/>
    <w:autoRedefine/>
    <w:semiHidden/>
    <w:unhideWhenUsed/>
    <w:qFormat/>
    <w:uiPriority w:val="99"/>
    <w:pPr>
      <w:spacing w:after="120"/>
    </w:pPr>
  </w:style>
  <w:style w:type="paragraph" w:styleId="6">
    <w:name w:val="Body Text Indent"/>
    <w:basedOn w:val="1"/>
    <w:link w:val="28"/>
    <w:autoRedefine/>
    <w:semiHidden/>
    <w:unhideWhenUsed/>
    <w:qFormat/>
    <w:uiPriority w:val="99"/>
    <w:pPr>
      <w:spacing w:after="120"/>
      <w:ind w:left="420" w:leftChars="200"/>
    </w:pPr>
  </w:style>
  <w:style w:type="paragraph" w:styleId="7">
    <w:name w:val="toc 3"/>
    <w:basedOn w:val="1"/>
    <w:next w:val="1"/>
    <w:autoRedefine/>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link w:val="25"/>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w:basedOn w:val="5"/>
    <w:link w:val="27"/>
    <w:autoRedefine/>
    <w:qFormat/>
    <w:uiPriority w:val="0"/>
    <w:pPr>
      <w:spacing w:after="0"/>
      <w:ind w:firstLine="200" w:firstLineChars="200"/>
    </w:pPr>
    <w:rPr>
      <w:rFonts w:eastAsia="宋体"/>
      <w:sz w:val="21"/>
    </w:rPr>
  </w:style>
  <w:style w:type="paragraph" w:styleId="14">
    <w:name w:val="Body Text First Indent 2"/>
    <w:basedOn w:val="6"/>
    <w:link w:val="29"/>
    <w:autoRedefine/>
    <w:qFormat/>
    <w:uiPriority w:val="0"/>
    <w:pPr>
      <w:ind w:firstLine="420" w:firstLineChars="200"/>
    </w:pPr>
    <w:rPr>
      <w:rFonts w:ascii="Calibri" w:hAnsi="Calibri" w:eastAsia="宋体"/>
      <w:sz w:val="21"/>
    </w:rPr>
  </w:style>
  <w:style w:type="character" w:styleId="17">
    <w:name w:val="Strong"/>
    <w:basedOn w:val="16"/>
    <w:autoRedefine/>
    <w:qFormat/>
    <w:uiPriority w:val="0"/>
    <w:rPr>
      <w:b/>
      <w:bCs/>
    </w:rPr>
  </w:style>
  <w:style w:type="character" w:styleId="18">
    <w:name w:val="Hyperlink"/>
    <w:basedOn w:val="16"/>
    <w:autoRedefine/>
    <w:unhideWhenUsed/>
    <w:qFormat/>
    <w:uiPriority w:val="99"/>
    <w:rPr>
      <w:color w:val="0563C1" w:themeColor="hyperlink"/>
      <w:u w:val="single"/>
      <w14:textFill>
        <w14:solidFill>
          <w14:schemeClr w14:val="hlink"/>
        </w14:solidFill>
      </w14:textFill>
    </w:rPr>
  </w:style>
  <w:style w:type="paragraph" w:styleId="19">
    <w:name w:val="List Paragraph"/>
    <w:basedOn w:val="1"/>
    <w:autoRedefine/>
    <w:qFormat/>
    <w:uiPriority w:val="34"/>
    <w:pPr>
      <w:ind w:firstLine="420" w:firstLineChars="200"/>
    </w:pPr>
  </w:style>
  <w:style w:type="character" w:customStyle="1" w:styleId="20">
    <w:name w:val="标题 1 字符"/>
    <w:basedOn w:val="16"/>
    <w:link w:val="2"/>
    <w:autoRedefine/>
    <w:qFormat/>
    <w:uiPriority w:val="9"/>
    <w:rPr>
      <w:rFonts w:ascii="Times New Roman" w:hAnsi="Times New Roman" w:eastAsia="仿宋_GB2312" w:cs="Times New Roman"/>
      <w:b/>
      <w:bCs/>
      <w:kern w:val="44"/>
      <w:sz w:val="44"/>
      <w:szCs w:val="44"/>
    </w:rPr>
  </w:style>
  <w:style w:type="paragraph" w:customStyle="1" w:styleId="21">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2">
    <w:name w:val="标题 2 字符"/>
    <w:basedOn w:val="16"/>
    <w:link w:val="3"/>
    <w:autoRedefine/>
    <w:qFormat/>
    <w:uiPriority w:val="9"/>
    <w:rPr>
      <w:rFonts w:asciiTheme="majorHAnsi" w:hAnsiTheme="majorHAnsi" w:eastAsiaTheme="majorEastAsia" w:cstheme="majorBidi"/>
      <w:b/>
      <w:bCs/>
      <w:sz w:val="32"/>
      <w:szCs w:val="32"/>
    </w:rPr>
  </w:style>
  <w:style w:type="paragraph" w:customStyle="1" w:styleId="23">
    <w:name w:val="闻政-正文段落文字"/>
    <w:basedOn w:val="1"/>
    <w:link w:val="24"/>
    <w:autoRedefine/>
    <w:qFormat/>
    <w:uiPriority w:val="3"/>
    <w:pPr>
      <w:spacing w:line="500" w:lineRule="exact"/>
      <w:ind w:firstLine="200"/>
    </w:pPr>
    <w:rPr>
      <w:kern w:val="0"/>
      <w:szCs w:val="28"/>
    </w:rPr>
  </w:style>
  <w:style w:type="character" w:customStyle="1" w:styleId="24">
    <w:name w:val="闻政-正文段落文字 Char"/>
    <w:link w:val="23"/>
    <w:autoRedefine/>
    <w:qFormat/>
    <w:uiPriority w:val="3"/>
    <w:rPr>
      <w:rFonts w:ascii="Times New Roman" w:hAnsi="Times New Roman" w:eastAsia="仿宋_GB2312" w:cs="Times New Roman"/>
      <w:kern w:val="0"/>
      <w:sz w:val="30"/>
      <w:szCs w:val="28"/>
    </w:rPr>
  </w:style>
  <w:style w:type="character" w:customStyle="1" w:styleId="25">
    <w:name w:val="标题 字符"/>
    <w:basedOn w:val="16"/>
    <w:link w:val="12"/>
    <w:autoRedefine/>
    <w:qFormat/>
    <w:uiPriority w:val="10"/>
    <w:rPr>
      <w:rFonts w:cs="Times New Roman" w:asciiTheme="majorHAnsi" w:hAnsiTheme="majorHAnsi" w:eastAsiaTheme="majorEastAsia"/>
      <w:b/>
      <w:bCs/>
      <w:kern w:val="28"/>
      <w:sz w:val="32"/>
      <w:szCs w:val="32"/>
    </w:rPr>
  </w:style>
  <w:style w:type="character" w:customStyle="1" w:styleId="26">
    <w:name w:val="正文文本 字符"/>
    <w:basedOn w:val="16"/>
    <w:link w:val="5"/>
    <w:autoRedefine/>
    <w:semiHidden/>
    <w:qFormat/>
    <w:uiPriority w:val="99"/>
    <w:rPr>
      <w:rFonts w:ascii="Times New Roman" w:hAnsi="Times New Roman" w:eastAsia="仿宋_GB2312" w:cs="Times New Roman"/>
      <w:kern w:val="2"/>
      <w:sz w:val="30"/>
      <w:szCs w:val="24"/>
    </w:rPr>
  </w:style>
  <w:style w:type="character" w:customStyle="1" w:styleId="27">
    <w:name w:val="正文首行缩进 字符"/>
    <w:basedOn w:val="26"/>
    <w:link w:val="13"/>
    <w:autoRedefine/>
    <w:qFormat/>
    <w:uiPriority w:val="0"/>
    <w:rPr>
      <w:rFonts w:ascii="Times New Roman" w:hAnsi="Times New Roman" w:eastAsia="宋体" w:cs="Times New Roman"/>
      <w:kern w:val="2"/>
      <w:sz w:val="21"/>
      <w:szCs w:val="24"/>
    </w:rPr>
  </w:style>
  <w:style w:type="character" w:customStyle="1" w:styleId="28">
    <w:name w:val="正文文本缩进 字符"/>
    <w:basedOn w:val="16"/>
    <w:link w:val="6"/>
    <w:autoRedefine/>
    <w:semiHidden/>
    <w:qFormat/>
    <w:uiPriority w:val="99"/>
    <w:rPr>
      <w:rFonts w:ascii="Times New Roman" w:hAnsi="Times New Roman" w:eastAsia="仿宋_GB2312" w:cs="Times New Roman"/>
      <w:kern w:val="2"/>
      <w:sz w:val="30"/>
      <w:szCs w:val="24"/>
    </w:rPr>
  </w:style>
  <w:style w:type="character" w:customStyle="1" w:styleId="29">
    <w:name w:val="正文首行缩进 2 字符"/>
    <w:basedOn w:val="28"/>
    <w:link w:val="14"/>
    <w:autoRedefine/>
    <w:qFormat/>
    <w:uiPriority w:val="0"/>
    <w:rPr>
      <w:rFonts w:ascii="Calibri" w:hAnsi="Calibri" w:eastAsia="宋体" w:cs="Times New Roman"/>
      <w:kern w:val="2"/>
      <w:sz w:val="21"/>
      <w:szCs w:val="24"/>
    </w:rPr>
  </w:style>
  <w:style w:type="character" w:customStyle="1" w:styleId="30">
    <w:name w:val="fontstyle01"/>
    <w:autoRedefine/>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5AE2A-7ECE-4C0D-AAEB-22A9CAEED4FD}">
  <ds:schemaRefs/>
</ds:datastoreItem>
</file>

<file path=docProps/app.xml><?xml version="1.0" encoding="utf-8"?>
<Properties xmlns="http://schemas.openxmlformats.org/officeDocument/2006/extended-properties" xmlns:vt="http://schemas.openxmlformats.org/officeDocument/2006/docPropsVTypes">
  <Template>Normal</Template>
  <Pages>31</Pages>
  <Words>1920</Words>
  <Characters>1964</Characters>
  <Lines>56</Lines>
  <Paragraphs>15</Paragraphs>
  <TotalTime>215</TotalTime>
  <ScaleCrop>false</ScaleCrop>
  <LinksUpToDate>false</LinksUpToDate>
  <CharactersWithSpaces>2495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2021-12-20T08:47:00Z</dcterms:created>
  <dc:creator>翘楚</dc:creator>
  <cp:lastModifiedBy>小锦梨</cp:lastModifiedBy>
  <dcterms:modified xsi:type="dcterms:W3CDTF">2025-03-28T04:35:56Z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90094EC3077B459787F055A33E3ADAF4_13</vt:lpwstr>
  </property>
  <property fmtid="{D5CDD505-2E9C-101B-9397-08002B2CF9AE}" pid="4" name="KSOTemplateDocerSaveRecord">
    <vt:lpwstr>eyJoZGlkIjoiNjY2NzEwZWVhMWZlNDZlMTE3NDBlNzBjOTU5NDMxNTEiLCJ1c2VySWQiOiI2NTM1MTIyMzEifQ==</vt:lpwstr>
  </property>
</Properties>
</file>