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174510">
      <w:pPr>
        <w:spacing w:line="540" w:lineRule="exact"/>
        <w:jc w:val="center"/>
        <w:rPr>
          <w:rFonts w:eastAsia="华文中宋"/>
          <w:b/>
          <w:kern w:val="0"/>
          <w:sz w:val="52"/>
          <w:szCs w:val="52"/>
          <w:highlight w:val="none"/>
        </w:rPr>
      </w:pPr>
    </w:p>
    <w:p w14:paraId="3CD54BDD">
      <w:pPr>
        <w:spacing w:line="540" w:lineRule="exact"/>
        <w:rPr>
          <w:rFonts w:eastAsia="华文中宋"/>
          <w:b/>
          <w:kern w:val="0"/>
          <w:sz w:val="52"/>
          <w:szCs w:val="52"/>
          <w:highlight w:val="none"/>
        </w:rPr>
      </w:pPr>
    </w:p>
    <w:p w14:paraId="038168ED">
      <w:pPr>
        <w:spacing w:line="540" w:lineRule="exact"/>
        <w:jc w:val="center"/>
        <w:rPr>
          <w:rFonts w:eastAsia="华文中宋"/>
          <w:b/>
          <w:kern w:val="0"/>
          <w:sz w:val="52"/>
          <w:szCs w:val="52"/>
          <w:highlight w:val="none"/>
        </w:rPr>
      </w:pPr>
    </w:p>
    <w:p w14:paraId="4A43A3C8">
      <w:pPr>
        <w:spacing w:line="540" w:lineRule="exact"/>
        <w:jc w:val="center"/>
        <w:rPr>
          <w:rFonts w:eastAsia="华文中宋"/>
          <w:b/>
          <w:kern w:val="0"/>
          <w:sz w:val="52"/>
          <w:szCs w:val="52"/>
          <w:highlight w:val="none"/>
        </w:rPr>
      </w:pPr>
    </w:p>
    <w:p w14:paraId="5C55D3F4">
      <w:pPr>
        <w:spacing w:line="540" w:lineRule="exact"/>
        <w:jc w:val="center"/>
        <w:rPr>
          <w:rFonts w:hint="eastAsia" w:ascii="宋体" w:hAnsi="宋体" w:eastAsia="宋体" w:cs="宋体"/>
          <w:b/>
          <w:bCs/>
          <w:kern w:val="0"/>
          <w:sz w:val="48"/>
          <w:szCs w:val="48"/>
          <w:highlight w:val="none"/>
        </w:rPr>
      </w:pPr>
      <w:r>
        <w:rPr>
          <w:rFonts w:hint="eastAsia" w:ascii="宋体" w:hAnsi="宋体" w:eastAsia="宋体" w:cs="宋体"/>
          <w:b/>
          <w:bCs/>
          <w:kern w:val="0"/>
          <w:sz w:val="48"/>
          <w:szCs w:val="48"/>
          <w:highlight w:val="none"/>
        </w:rPr>
        <w:t>项目支出绩效评价</w:t>
      </w:r>
    </w:p>
    <w:p w14:paraId="085B6DA9">
      <w:pPr>
        <w:spacing w:line="540" w:lineRule="exact"/>
        <w:jc w:val="center"/>
        <w:rPr>
          <w:rFonts w:hint="eastAsia" w:ascii="宋体" w:hAnsi="宋体" w:eastAsia="宋体" w:cs="宋体"/>
          <w:b/>
          <w:bCs/>
          <w:kern w:val="0"/>
          <w:sz w:val="48"/>
          <w:szCs w:val="48"/>
          <w:highlight w:val="none"/>
        </w:rPr>
      </w:pPr>
      <w:r>
        <w:rPr>
          <w:rFonts w:hint="eastAsia" w:ascii="宋体" w:hAnsi="宋体" w:eastAsia="宋体" w:cs="宋体"/>
          <w:b/>
          <w:bCs/>
          <w:kern w:val="0"/>
          <w:sz w:val="48"/>
          <w:szCs w:val="48"/>
          <w:highlight w:val="none"/>
        </w:rPr>
        <w:t>报告</w:t>
      </w:r>
    </w:p>
    <w:p w14:paraId="1FCE27C6">
      <w:pPr>
        <w:spacing w:line="540" w:lineRule="exact"/>
        <w:jc w:val="center"/>
        <w:rPr>
          <w:rFonts w:eastAsia="华文中宋"/>
          <w:b/>
          <w:kern w:val="0"/>
          <w:sz w:val="52"/>
          <w:szCs w:val="52"/>
          <w:highlight w:val="none"/>
        </w:rPr>
      </w:pPr>
    </w:p>
    <w:p w14:paraId="047A17F8">
      <w:pPr>
        <w:spacing w:line="540" w:lineRule="exact"/>
        <w:jc w:val="center"/>
        <w:rPr>
          <w:rFonts w:eastAsia="仿宋_GB2312"/>
          <w:kern w:val="0"/>
          <w:sz w:val="36"/>
          <w:szCs w:val="36"/>
          <w:highlight w:val="none"/>
        </w:rPr>
      </w:pPr>
      <w:r>
        <w:rPr>
          <w:rFonts w:eastAsia="仿宋_GB2312"/>
          <w:kern w:val="0"/>
          <w:sz w:val="36"/>
          <w:szCs w:val="36"/>
          <w:highlight w:val="none"/>
        </w:rPr>
        <w:t>（ 20</w:t>
      </w:r>
      <w:r>
        <w:rPr>
          <w:rFonts w:hint="eastAsia" w:eastAsia="仿宋_GB2312"/>
          <w:kern w:val="0"/>
          <w:sz w:val="36"/>
          <w:szCs w:val="36"/>
          <w:highlight w:val="none"/>
          <w:lang w:val="en-US" w:eastAsia="zh-CN"/>
        </w:rPr>
        <w:t>23</w:t>
      </w:r>
      <w:r>
        <w:rPr>
          <w:rFonts w:eastAsia="仿宋_GB2312"/>
          <w:kern w:val="0"/>
          <w:sz w:val="36"/>
          <w:szCs w:val="36"/>
          <w:highlight w:val="none"/>
        </w:rPr>
        <w:t>年度）</w:t>
      </w:r>
    </w:p>
    <w:p w14:paraId="792C4902">
      <w:pPr>
        <w:spacing w:line="540" w:lineRule="exact"/>
        <w:jc w:val="center"/>
        <w:rPr>
          <w:rFonts w:eastAsia="仿宋_GB2312"/>
          <w:kern w:val="0"/>
          <w:sz w:val="30"/>
          <w:szCs w:val="30"/>
          <w:highlight w:val="none"/>
        </w:rPr>
      </w:pPr>
    </w:p>
    <w:p w14:paraId="758BF177">
      <w:pPr>
        <w:spacing w:line="540" w:lineRule="exact"/>
        <w:jc w:val="center"/>
        <w:rPr>
          <w:rFonts w:eastAsia="仿宋_GB2312"/>
          <w:kern w:val="0"/>
          <w:sz w:val="30"/>
          <w:szCs w:val="30"/>
          <w:highlight w:val="none"/>
        </w:rPr>
      </w:pPr>
    </w:p>
    <w:p w14:paraId="0309AC51">
      <w:pPr>
        <w:spacing w:line="540" w:lineRule="exact"/>
        <w:jc w:val="center"/>
        <w:rPr>
          <w:rFonts w:eastAsia="仿宋_GB2312"/>
          <w:kern w:val="0"/>
          <w:sz w:val="30"/>
          <w:szCs w:val="30"/>
          <w:highlight w:val="none"/>
        </w:rPr>
      </w:pPr>
    </w:p>
    <w:p w14:paraId="66D7D15A">
      <w:pPr>
        <w:spacing w:line="540" w:lineRule="exact"/>
        <w:jc w:val="center"/>
        <w:rPr>
          <w:rFonts w:eastAsia="仿宋_GB2312"/>
          <w:kern w:val="0"/>
          <w:sz w:val="30"/>
          <w:szCs w:val="30"/>
          <w:highlight w:val="none"/>
        </w:rPr>
      </w:pPr>
    </w:p>
    <w:p w14:paraId="0BAAB6E1">
      <w:pPr>
        <w:spacing w:line="540" w:lineRule="exact"/>
        <w:rPr>
          <w:rFonts w:eastAsia="仿宋_GB2312"/>
          <w:kern w:val="0"/>
          <w:sz w:val="30"/>
          <w:szCs w:val="30"/>
          <w:highlight w:val="none"/>
        </w:rPr>
      </w:pPr>
    </w:p>
    <w:p w14:paraId="1ED42E59">
      <w:pPr>
        <w:spacing w:line="700" w:lineRule="exact"/>
        <w:ind w:firstLine="1440" w:firstLineChars="400"/>
        <w:jc w:val="left"/>
        <w:rPr>
          <w:rFonts w:hint="eastAsia" w:eastAsia="仿宋_GB2312"/>
          <w:kern w:val="0"/>
          <w:sz w:val="36"/>
          <w:szCs w:val="36"/>
          <w:highlight w:val="none"/>
          <w:lang w:val="en-US" w:eastAsia="zh-CN"/>
        </w:rPr>
      </w:pPr>
      <w:r>
        <w:rPr>
          <w:rFonts w:eastAsia="仿宋_GB2312"/>
          <w:kern w:val="0"/>
          <w:sz w:val="36"/>
          <w:szCs w:val="36"/>
          <w:highlight w:val="none"/>
        </w:rPr>
        <w:t>项目名称：</w:t>
      </w:r>
      <w:r>
        <w:rPr>
          <w:rFonts w:hint="eastAsia" w:eastAsia="仿宋_GB2312"/>
          <w:kern w:val="0"/>
          <w:sz w:val="36"/>
          <w:szCs w:val="36"/>
          <w:highlight w:val="none"/>
          <w:lang w:val="en-US" w:eastAsia="zh-CN"/>
        </w:rPr>
        <w:t>信息化科研项目经费</w:t>
      </w:r>
    </w:p>
    <w:p w14:paraId="38E18C68">
      <w:pPr>
        <w:spacing w:line="700" w:lineRule="exact"/>
        <w:ind w:firstLine="1440" w:firstLineChars="400"/>
        <w:jc w:val="left"/>
        <w:rPr>
          <w:rFonts w:hint="eastAsia" w:eastAsia="仿宋_GB2312"/>
          <w:kern w:val="0"/>
          <w:sz w:val="36"/>
          <w:szCs w:val="36"/>
          <w:highlight w:val="none"/>
          <w:lang w:eastAsia="zh-CN"/>
        </w:rPr>
      </w:pPr>
      <w:r>
        <w:rPr>
          <w:rFonts w:eastAsia="仿宋_GB2312"/>
          <w:kern w:val="0"/>
          <w:sz w:val="36"/>
          <w:szCs w:val="36"/>
          <w:highlight w:val="none"/>
        </w:rPr>
        <w:t>实施单位（公章）：</w:t>
      </w:r>
      <w:r>
        <w:rPr>
          <w:rFonts w:hint="eastAsia" w:eastAsia="仿宋_GB2312"/>
          <w:kern w:val="0"/>
          <w:sz w:val="36"/>
          <w:szCs w:val="36"/>
          <w:highlight w:val="none"/>
          <w:lang w:eastAsia="zh-CN"/>
        </w:rPr>
        <w:t>科技与信息化处</w:t>
      </w:r>
    </w:p>
    <w:p w14:paraId="3D70855C">
      <w:pPr>
        <w:spacing w:line="700" w:lineRule="exact"/>
        <w:ind w:firstLine="1440" w:firstLineChars="400"/>
        <w:jc w:val="left"/>
        <w:rPr>
          <w:rFonts w:hint="default" w:eastAsia="仿宋_GB2312"/>
          <w:kern w:val="0"/>
          <w:sz w:val="36"/>
          <w:szCs w:val="36"/>
          <w:highlight w:val="none"/>
          <w:lang w:val="en-US" w:eastAsia="zh-CN"/>
        </w:rPr>
      </w:pPr>
      <w:r>
        <w:rPr>
          <w:rFonts w:eastAsia="仿宋_GB2312"/>
          <w:kern w:val="0"/>
          <w:sz w:val="36"/>
          <w:szCs w:val="36"/>
          <w:highlight w:val="none"/>
        </w:rPr>
        <w:t>主管部门（公章）：</w:t>
      </w:r>
      <w:r>
        <w:rPr>
          <w:rFonts w:hint="eastAsia" w:eastAsia="仿宋_GB2312"/>
          <w:kern w:val="0"/>
          <w:sz w:val="36"/>
          <w:szCs w:val="36"/>
          <w:highlight w:val="none"/>
          <w:lang w:val="en-US" w:eastAsia="zh-CN"/>
        </w:rPr>
        <w:t>自治区市场监督管理局</w:t>
      </w:r>
    </w:p>
    <w:p w14:paraId="2B60151D">
      <w:pPr>
        <w:spacing w:line="700" w:lineRule="exact"/>
        <w:ind w:firstLine="1440" w:firstLineChars="400"/>
        <w:jc w:val="left"/>
        <w:rPr>
          <w:rFonts w:hint="eastAsia" w:eastAsia="仿宋_GB2312"/>
          <w:kern w:val="0"/>
          <w:sz w:val="36"/>
          <w:szCs w:val="36"/>
          <w:highlight w:val="none"/>
          <w:lang w:eastAsia="zh-CN"/>
        </w:rPr>
      </w:pPr>
      <w:r>
        <w:rPr>
          <w:rFonts w:eastAsia="仿宋_GB2312"/>
          <w:kern w:val="0"/>
          <w:sz w:val="36"/>
          <w:szCs w:val="36"/>
          <w:highlight w:val="none"/>
        </w:rPr>
        <w:t>项目负责人（签章）：</w:t>
      </w:r>
      <w:r>
        <w:rPr>
          <w:rFonts w:hint="eastAsia" w:eastAsia="仿宋_GB2312"/>
          <w:kern w:val="0"/>
          <w:sz w:val="36"/>
          <w:szCs w:val="36"/>
          <w:highlight w:val="none"/>
          <w:lang w:eastAsia="zh-CN"/>
        </w:rPr>
        <w:t>孙智航</w:t>
      </w:r>
    </w:p>
    <w:p w14:paraId="335EB8D4">
      <w:pPr>
        <w:spacing w:line="700" w:lineRule="exact"/>
        <w:ind w:firstLine="1440" w:firstLineChars="400"/>
        <w:jc w:val="left"/>
        <w:rPr>
          <w:rFonts w:hint="eastAsia" w:eastAsia="仿宋_GB2312"/>
          <w:kern w:val="0"/>
          <w:sz w:val="36"/>
          <w:szCs w:val="36"/>
          <w:highlight w:val="none"/>
          <w:lang w:eastAsia="zh-CN"/>
        </w:rPr>
      </w:pPr>
      <w:r>
        <w:rPr>
          <w:rFonts w:eastAsia="仿宋_GB2312"/>
          <w:kern w:val="0"/>
          <w:sz w:val="36"/>
          <w:szCs w:val="36"/>
          <w:highlight w:val="none"/>
        </w:rPr>
        <w:t>填报时间：</w:t>
      </w:r>
      <w:r>
        <w:rPr>
          <w:rFonts w:hint="eastAsia" w:eastAsia="仿宋_GB2312"/>
          <w:kern w:val="0"/>
          <w:sz w:val="36"/>
          <w:szCs w:val="36"/>
          <w:highlight w:val="none"/>
          <w:lang w:val="en-US" w:eastAsia="zh-CN"/>
        </w:rPr>
        <w:t>2024</w:t>
      </w:r>
      <w:r>
        <w:rPr>
          <w:rFonts w:hint="eastAsia" w:eastAsia="仿宋_GB2312"/>
          <w:kern w:val="0"/>
          <w:sz w:val="36"/>
          <w:szCs w:val="36"/>
          <w:highlight w:val="none"/>
          <w:lang w:eastAsia="zh-CN"/>
        </w:rPr>
        <w:t>年</w:t>
      </w:r>
      <w:r>
        <w:rPr>
          <w:rFonts w:hint="eastAsia" w:eastAsia="仿宋_GB2312"/>
          <w:kern w:val="0"/>
          <w:sz w:val="36"/>
          <w:szCs w:val="36"/>
          <w:highlight w:val="none"/>
          <w:lang w:val="en-US" w:eastAsia="zh-CN"/>
        </w:rPr>
        <w:t>3</w:t>
      </w:r>
      <w:r>
        <w:rPr>
          <w:rFonts w:hint="eastAsia" w:eastAsia="仿宋_GB2312"/>
          <w:kern w:val="0"/>
          <w:sz w:val="36"/>
          <w:szCs w:val="36"/>
          <w:highlight w:val="none"/>
          <w:lang w:eastAsia="zh-CN"/>
        </w:rPr>
        <w:t>月</w:t>
      </w:r>
      <w:r>
        <w:rPr>
          <w:rFonts w:hint="eastAsia" w:eastAsia="仿宋_GB2312"/>
          <w:kern w:val="0"/>
          <w:sz w:val="36"/>
          <w:szCs w:val="36"/>
          <w:highlight w:val="none"/>
          <w:lang w:val="en-US" w:eastAsia="zh-CN"/>
        </w:rPr>
        <w:t>25</w:t>
      </w:r>
      <w:r>
        <w:rPr>
          <w:rFonts w:hint="eastAsia" w:eastAsia="仿宋_GB2312"/>
          <w:kern w:val="0"/>
          <w:sz w:val="36"/>
          <w:szCs w:val="36"/>
          <w:highlight w:val="none"/>
          <w:lang w:eastAsia="zh-CN"/>
        </w:rPr>
        <w:t>日</w:t>
      </w:r>
    </w:p>
    <w:p w14:paraId="1BD5A7B2">
      <w:pPr>
        <w:spacing w:line="540" w:lineRule="exact"/>
        <w:jc w:val="center"/>
        <w:rPr>
          <w:rFonts w:eastAsia="仿宋_GB2312"/>
          <w:kern w:val="0"/>
          <w:sz w:val="30"/>
          <w:szCs w:val="30"/>
          <w:highlight w:val="none"/>
        </w:rPr>
      </w:pPr>
    </w:p>
    <w:p w14:paraId="01010827">
      <w:pPr>
        <w:spacing w:line="540" w:lineRule="exact"/>
        <w:rPr>
          <w:rStyle w:val="23"/>
          <w:rFonts w:eastAsia="黑体"/>
          <w:b w:val="0"/>
          <w:spacing w:val="-4"/>
          <w:sz w:val="32"/>
          <w:szCs w:val="32"/>
          <w:highlight w:val="none"/>
        </w:rPr>
      </w:pPr>
    </w:p>
    <w:p w14:paraId="0F51EFA7">
      <w:pPr>
        <w:spacing w:line="540" w:lineRule="exact"/>
        <w:ind w:firstLine="640"/>
        <w:rPr>
          <w:rStyle w:val="23"/>
          <w:rFonts w:eastAsia="黑体"/>
          <w:b w:val="0"/>
          <w:spacing w:val="-4"/>
          <w:sz w:val="32"/>
          <w:szCs w:val="32"/>
          <w:highlight w:val="none"/>
        </w:rPr>
      </w:pPr>
    </w:p>
    <w:p w14:paraId="3566EDD3">
      <w:pPr>
        <w:spacing w:line="600" w:lineRule="exact"/>
        <w:rPr>
          <w:rFonts w:eastAsia="黑体"/>
          <w:bCs/>
          <w:sz w:val="32"/>
          <w:szCs w:val="32"/>
          <w:highlight w:val="none"/>
        </w:rPr>
      </w:pPr>
    </w:p>
    <w:p w14:paraId="648370B2">
      <w:pPr>
        <w:pStyle w:val="2"/>
        <w:rPr>
          <w:highlight w:val="none"/>
        </w:rPr>
      </w:pPr>
    </w:p>
    <w:p w14:paraId="222EFD33">
      <w:pPr>
        <w:spacing w:line="600" w:lineRule="exact"/>
        <w:ind w:firstLine="640" w:firstLineChars="200"/>
        <w:rPr>
          <w:rFonts w:eastAsia="黑体"/>
          <w:bCs/>
          <w:sz w:val="32"/>
          <w:szCs w:val="32"/>
          <w:highlight w:val="none"/>
        </w:rPr>
      </w:pPr>
      <w:r>
        <w:rPr>
          <w:rFonts w:eastAsia="黑体"/>
          <w:bCs/>
          <w:sz w:val="32"/>
          <w:szCs w:val="32"/>
          <w:highlight w:val="none"/>
        </w:rPr>
        <w:t>一、基本情况</w:t>
      </w:r>
    </w:p>
    <w:p w14:paraId="57C8EE6E">
      <w:pPr>
        <w:spacing w:line="600" w:lineRule="exact"/>
        <w:ind w:firstLine="641"/>
        <w:rPr>
          <w:rFonts w:eastAsia="楷体_GB2312"/>
          <w:b/>
          <w:bCs/>
          <w:sz w:val="32"/>
          <w:szCs w:val="32"/>
          <w:highlight w:val="none"/>
        </w:rPr>
      </w:pPr>
      <w:r>
        <w:rPr>
          <w:rFonts w:eastAsia="楷体_GB2312"/>
          <w:b/>
          <w:bCs/>
          <w:sz w:val="32"/>
          <w:szCs w:val="32"/>
          <w:highlight w:val="none"/>
        </w:rPr>
        <w:t>（一）项目概况</w:t>
      </w:r>
    </w:p>
    <w:p w14:paraId="58F6C7F3">
      <w:pPr>
        <w:spacing w:line="600" w:lineRule="exact"/>
        <w:ind w:firstLine="641"/>
        <w:rPr>
          <w:rFonts w:eastAsia="仿宋_GB2312"/>
          <w:b/>
          <w:bCs/>
          <w:sz w:val="32"/>
          <w:szCs w:val="32"/>
          <w:highlight w:val="none"/>
        </w:rPr>
      </w:pPr>
      <w:r>
        <w:rPr>
          <w:rFonts w:eastAsia="仿宋_GB2312"/>
          <w:b/>
          <w:bCs/>
          <w:sz w:val="32"/>
          <w:szCs w:val="32"/>
          <w:highlight w:val="none"/>
        </w:rPr>
        <w:t>1</w:t>
      </w:r>
      <w:r>
        <w:rPr>
          <w:rFonts w:hint="default" w:eastAsia="仿宋_GB2312"/>
          <w:b/>
          <w:bCs/>
          <w:sz w:val="32"/>
          <w:szCs w:val="32"/>
          <w:highlight w:val="none"/>
          <w:lang w:val="en"/>
        </w:rPr>
        <w:t>.</w:t>
      </w:r>
      <w:r>
        <w:rPr>
          <w:rFonts w:eastAsia="仿宋_GB2312"/>
          <w:b/>
          <w:bCs/>
          <w:sz w:val="32"/>
          <w:szCs w:val="32"/>
          <w:highlight w:val="none"/>
        </w:rPr>
        <w:t>项目背景</w:t>
      </w:r>
    </w:p>
    <w:p w14:paraId="7754EAE9">
      <w:pPr>
        <w:pStyle w:val="2"/>
        <w:keepNext w:val="0"/>
        <w:keepLines w:val="0"/>
        <w:pageBreakBefore w:val="0"/>
        <w:widowControl/>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kern w:val="0"/>
          <w:sz w:val="32"/>
          <w:szCs w:val="32"/>
          <w:highlight w:val="none"/>
          <w:lang w:val="en-US" w:eastAsia="zh-CN" w:bidi="ar-SA"/>
        </w:rPr>
      </w:pPr>
      <w:r>
        <w:rPr>
          <w:rFonts w:hint="eastAsia" w:ascii="仿宋_GB2312" w:hAnsi="仿宋_GB2312" w:eastAsia="仿宋_GB2312" w:cs="仿宋_GB2312"/>
          <w:b w:val="0"/>
          <w:bCs w:val="0"/>
          <w:kern w:val="0"/>
          <w:sz w:val="32"/>
          <w:szCs w:val="32"/>
          <w:highlight w:val="none"/>
          <w:lang w:val="en-US" w:eastAsia="zh-CN" w:bidi="ar-SA"/>
        </w:rPr>
        <w:t>为全面贯彻落实《“十四五”市场监管网络安全和信息化建设三年行动计划（2023-2025）》《自治区数字政府改革建设2024年工作要点》部署要求，按照“六讲一争”“严深细实”工作目标，围绕守底线强监管，优服务促发展，全面提升市场监管现代化数智化水平，奋力开创市场监管工作新局面为目标，全面推进“数字政府”改革建设和市场监管总局关于深入推进智慧监管的部署要求，通过强化机制创新、流程再造、资源共享、系统整合、深化应用，统筹推进市场监管数智化建设进程，着力打造“大平台支撑、大数据慧治、大服务惠民、大监管共治”的市场监管信息化创新发展格局，全面提升市场监管现代化水平。</w:t>
      </w:r>
    </w:p>
    <w:p w14:paraId="10D4254C">
      <w:pPr>
        <w:spacing w:line="600" w:lineRule="exact"/>
        <w:ind w:firstLine="641"/>
        <w:rPr>
          <w:rFonts w:ascii="Times New Roman" w:hAnsi="Times New Roman" w:eastAsia="仿宋_GB2312" w:cs="Times New Roman"/>
          <w:b/>
          <w:bCs/>
          <w:kern w:val="2"/>
          <w:sz w:val="32"/>
          <w:szCs w:val="32"/>
          <w:highlight w:val="none"/>
          <w:lang w:val="en-US" w:eastAsia="zh-CN" w:bidi="ar-SA"/>
        </w:rPr>
      </w:pPr>
      <w:r>
        <w:rPr>
          <w:rFonts w:hint="eastAsia" w:ascii="Times New Roman" w:hAnsi="Times New Roman" w:eastAsia="仿宋_GB2312" w:cs="Times New Roman"/>
          <w:b/>
          <w:bCs/>
          <w:kern w:val="2"/>
          <w:sz w:val="32"/>
          <w:szCs w:val="32"/>
          <w:highlight w:val="none"/>
          <w:lang w:val="en-US" w:eastAsia="zh-CN" w:bidi="ar-SA"/>
        </w:rPr>
        <w:t>2.</w:t>
      </w:r>
      <w:r>
        <w:rPr>
          <w:rFonts w:ascii="Times New Roman" w:hAnsi="Times New Roman" w:eastAsia="仿宋_GB2312" w:cs="Times New Roman"/>
          <w:b/>
          <w:bCs/>
          <w:kern w:val="2"/>
          <w:sz w:val="32"/>
          <w:szCs w:val="32"/>
          <w:highlight w:val="none"/>
          <w:lang w:val="en-US" w:eastAsia="zh-CN" w:bidi="ar-SA"/>
        </w:rPr>
        <w:t>项目主要内容</w:t>
      </w:r>
      <w:r>
        <w:rPr>
          <w:rFonts w:hint="eastAsia" w:ascii="Times New Roman" w:hAnsi="Times New Roman" w:eastAsia="仿宋_GB2312" w:cs="Times New Roman"/>
          <w:b/>
          <w:bCs/>
          <w:kern w:val="2"/>
          <w:sz w:val="32"/>
          <w:szCs w:val="32"/>
          <w:highlight w:val="none"/>
          <w:lang w:val="en-US" w:eastAsia="zh-CN" w:bidi="ar-SA"/>
        </w:rPr>
        <w:t>及实施情况</w:t>
      </w:r>
    </w:p>
    <w:p w14:paraId="4504F4AC">
      <w:pPr>
        <w:keepNext w:val="0"/>
        <w:keepLines w:val="0"/>
        <w:pageBreakBefore w:val="0"/>
        <w:widowControl w:val="0"/>
        <w:kinsoku/>
        <w:wordWrap/>
        <w:overflowPunct/>
        <w:topLinePunct w:val="0"/>
        <w:autoSpaceDE/>
        <w:autoSpaceDN/>
        <w:bidi w:val="0"/>
        <w:adjustRightInd/>
        <w:snapToGrid/>
        <w:spacing w:line="560" w:lineRule="exact"/>
        <w:ind w:firstLine="641"/>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kern w:val="0"/>
          <w:sz w:val="32"/>
          <w:szCs w:val="32"/>
          <w:highlight w:val="none"/>
          <w:lang w:val="en-US" w:eastAsia="zh-CN"/>
        </w:rPr>
        <w:t>项目主要内容：加快市场监管数字化转型，聚焦“八大产业集群”发展，支撑构建“数智化”市场监管体系，持续推进智慧监管步伐，全面加强业务与信息化融合推进的系统性、科学性和协调性，</w:t>
      </w:r>
      <w:r>
        <w:rPr>
          <w:rFonts w:hint="eastAsia" w:ascii="仿宋_GB2312" w:hAnsi="仿宋_GB2312" w:eastAsia="仿宋_GB2312" w:cs="仿宋_GB2312"/>
          <w:kern w:val="0"/>
          <w:sz w:val="32"/>
          <w:szCs w:val="32"/>
          <w:highlight w:val="none"/>
        </w:rPr>
        <w:t>完善市场监管</w:t>
      </w:r>
      <w:r>
        <w:rPr>
          <w:rFonts w:hint="eastAsia" w:ascii="仿宋_GB2312" w:hAnsi="仿宋_GB2312" w:eastAsia="仿宋_GB2312" w:cs="仿宋_GB2312"/>
          <w:kern w:val="0"/>
          <w:sz w:val="32"/>
          <w:szCs w:val="32"/>
          <w:highlight w:val="none"/>
          <w:lang w:eastAsia="zh-CN"/>
        </w:rPr>
        <w:t>领域智慧监管的</w:t>
      </w:r>
      <w:r>
        <w:rPr>
          <w:rFonts w:hint="eastAsia" w:ascii="仿宋_GB2312" w:hAnsi="仿宋_GB2312" w:eastAsia="仿宋_GB2312" w:cs="仿宋_GB2312"/>
          <w:kern w:val="0"/>
          <w:sz w:val="32"/>
          <w:szCs w:val="32"/>
          <w:highlight w:val="none"/>
        </w:rPr>
        <w:t>制度</w:t>
      </w:r>
      <w:r>
        <w:rPr>
          <w:rFonts w:hint="eastAsia" w:ascii="仿宋_GB2312" w:hAnsi="仿宋_GB2312" w:eastAsia="仿宋_GB2312" w:cs="仿宋_GB2312"/>
          <w:kern w:val="0"/>
          <w:sz w:val="32"/>
          <w:szCs w:val="32"/>
          <w:highlight w:val="none"/>
          <w:lang w:eastAsia="zh-CN"/>
        </w:rPr>
        <w:t>供给</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val="zh-CN"/>
        </w:rPr>
        <w:t>广泛运用云计算、大数据、人工智能</w:t>
      </w:r>
      <w:r>
        <w:rPr>
          <w:rFonts w:hint="eastAsia" w:ascii="仿宋_GB2312" w:hAnsi="仿宋_GB2312" w:eastAsia="仿宋_GB2312" w:cs="仿宋_GB2312"/>
          <w:kern w:val="0"/>
          <w:sz w:val="32"/>
          <w:szCs w:val="32"/>
          <w:highlight w:val="none"/>
        </w:rPr>
        <w:t>、区块链等现</w:t>
      </w:r>
      <w:r>
        <w:rPr>
          <w:rFonts w:hint="eastAsia" w:ascii="仿宋_GB2312" w:hAnsi="仿宋_GB2312" w:eastAsia="仿宋_GB2312" w:cs="仿宋_GB2312"/>
          <w:kern w:val="0"/>
          <w:sz w:val="32"/>
          <w:szCs w:val="32"/>
          <w:highlight w:val="none"/>
          <w:lang w:val="zh-CN"/>
        </w:rPr>
        <w:t>代技术，</w:t>
      </w:r>
      <w:r>
        <w:rPr>
          <w:rFonts w:hint="eastAsia" w:ascii="仿宋_GB2312" w:hAnsi="仿宋_GB2312" w:eastAsia="仿宋_GB2312" w:cs="仿宋_GB2312"/>
          <w:kern w:val="0"/>
          <w:sz w:val="32"/>
          <w:szCs w:val="32"/>
          <w:highlight w:val="none"/>
        </w:rPr>
        <w:t>通过</w:t>
      </w:r>
      <w:r>
        <w:rPr>
          <w:rFonts w:hint="eastAsia" w:ascii="仿宋_GB2312" w:hAnsi="仿宋_GB2312" w:eastAsia="仿宋_GB2312" w:cs="仿宋_GB2312"/>
          <w:kern w:val="0"/>
          <w:sz w:val="32"/>
          <w:szCs w:val="32"/>
          <w:highlight w:val="none"/>
          <w:lang w:val="zh-CN"/>
        </w:rPr>
        <w:t>强化机制创新、流程再造、业务协同、资源统筹、数据共享、系统整合、安全管控和赋能增效，实现智慧监管</w:t>
      </w:r>
      <w:r>
        <w:rPr>
          <w:rFonts w:hint="eastAsia" w:ascii="仿宋_GB2312" w:hAnsi="仿宋_GB2312" w:eastAsia="仿宋_GB2312" w:cs="仿宋_GB2312"/>
          <w:kern w:val="0"/>
          <w:sz w:val="32"/>
          <w:szCs w:val="32"/>
          <w:highlight w:val="none"/>
          <w:lang w:eastAsia="zh-CN"/>
        </w:rPr>
        <w:t>和</w:t>
      </w:r>
      <w:r>
        <w:rPr>
          <w:rFonts w:hint="eastAsia" w:ascii="仿宋_GB2312" w:hAnsi="仿宋_GB2312" w:eastAsia="仿宋_GB2312" w:cs="仿宋_GB2312"/>
          <w:kern w:val="0"/>
          <w:sz w:val="32"/>
          <w:szCs w:val="32"/>
          <w:highlight w:val="none"/>
          <w:lang w:val="en-US" w:eastAsia="zh-CN"/>
        </w:rPr>
        <w:t>信用监管取得新突破。</w:t>
      </w:r>
    </w:p>
    <w:p w14:paraId="44241B09">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top"/>
        <w:rPr>
          <w:highlight w:val="none"/>
        </w:rPr>
      </w:pPr>
      <w:r>
        <w:rPr>
          <w:rFonts w:eastAsia="仿宋_GB2312"/>
          <w:sz w:val="32"/>
          <w:szCs w:val="32"/>
          <w:highlight w:val="none"/>
        </w:rPr>
        <w:t>项目实施情况：项目目前已经完成实际设立的目标，</w:t>
      </w:r>
      <w:r>
        <w:rPr>
          <w:rFonts w:hint="eastAsia" w:eastAsia="仿宋_GB2312"/>
          <w:sz w:val="32"/>
          <w:szCs w:val="32"/>
          <w:highlight w:val="none"/>
          <w:lang w:eastAsia="zh-CN"/>
        </w:rPr>
        <w:t>已做到</w:t>
      </w:r>
      <w:r>
        <w:rPr>
          <w:rFonts w:hint="eastAsia" w:ascii="仿宋_GB2312" w:hAnsi="仿宋_GB2312" w:eastAsia="仿宋_GB2312" w:cs="仿宋_GB2312"/>
          <w:color w:val="000000"/>
          <w:sz w:val="32"/>
          <w:szCs w:val="32"/>
          <w:highlight w:val="none"/>
          <w:lang w:val="en-US" w:eastAsia="zh-CN"/>
        </w:rPr>
        <w:t>坚守网信底线，保障高水平安全；坚持数字赋能，支撑高效能监管的根本体系；推进数字改革，服务高质量发展，实现市场监管数字化纵深推进、向下生长，有力支撑高效监管和精准监管。</w:t>
      </w:r>
      <w:r>
        <w:rPr>
          <w:rFonts w:eastAsia="仿宋_GB2312"/>
          <w:sz w:val="32"/>
          <w:szCs w:val="32"/>
          <w:highlight w:val="none"/>
        </w:rPr>
        <w:t>项目在实施过程中严格按照目标设立的各阶段任务进行开展工作，在前期立项过程中严格把质量关，建立安全防护机制，保证项目实施各阶段安全顺利进行。</w:t>
      </w:r>
    </w:p>
    <w:p w14:paraId="4104C473">
      <w:pPr>
        <w:spacing w:line="600" w:lineRule="exact"/>
        <w:ind w:firstLine="641"/>
        <w:rPr>
          <w:rFonts w:hint="eastAsia" w:ascii="Times New Roman" w:hAnsi="Times New Roman" w:eastAsia="仿宋_GB2312" w:cs="Times New Roman"/>
          <w:b/>
          <w:bCs/>
          <w:kern w:val="2"/>
          <w:sz w:val="32"/>
          <w:szCs w:val="32"/>
          <w:highlight w:val="none"/>
          <w:lang w:val="en-US" w:eastAsia="zh-CN" w:bidi="ar-SA"/>
        </w:rPr>
      </w:pPr>
      <w:r>
        <w:rPr>
          <w:rFonts w:hint="eastAsia" w:ascii="Times New Roman" w:hAnsi="Times New Roman" w:eastAsia="仿宋_GB2312" w:cs="Times New Roman"/>
          <w:b/>
          <w:bCs/>
          <w:kern w:val="2"/>
          <w:sz w:val="32"/>
          <w:szCs w:val="32"/>
          <w:highlight w:val="none"/>
          <w:lang w:val="en-US" w:eastAsia="zh-CN" w:bidi="ar-SA"/>
        </w:rPr>
        <w:t>3</w:t>
      </w:r>
      <w:r>
        <w:rPr>
          <w:rFonts w:hint="default" w:eastAsia="仿宋_GB2312" w:cs="Times New Roman"/>
          <w:b/>
          <w:bCs/>
          <w:kern w:val="2"/>
          <w:sz w:val="32"/>
          <w:szCs w:val="32"/>
          <w:highlight w:val="none"/>
          <w:lang w:val="en" w:eastAsia="zh-CN" w:bidi="ar-SA"/>
        </w:rPr>
        <w:t>.</w:t>
      </w:r>
      <w:r>
        <w:rPr>
          <w:rFonts w:hint="eastAsia" w:ascii="Times New Roman" w:hAnsi="Times New Roman" w:eastAsia="仿宋_GB2312" w:cs="Times New Roman"/>
          <w:b/>
          <w:bCs/>
          <w:kern w:val="2"/>
          <w:sz w:val="32"/>
          <w:szCs w:val="32"/>
          <w:highlight w:val="none"/>
          <w:lang w:val="en-US" w:eastAsia="zh-CN" w:bidi="ar-SA"/>
        </w:rPr>
        <w:t>资金投入和使用情况</w:t>
      </w:r>
    </w:p>
    <w:p w14:paraId="6CD9818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eastAsia="仿宋_GB2312"/>
          <w:sz w:val="20"/>
          <w:szCs w:val="20"/>
          <w:highlight w:val="none"/>
          <w:lang w:val="en-US" w:eastAsia="zh-CN"/>
        </w:rPr>
      </w:pPr>
      <w:r>
        <w:rPr>
          <w:rFonts w:eastAsia="仿宋_GB2312"/>
          <w:sz w:val="32"/>
          <w:szCs w:val="32"/>
          <w:highlight w:val="none"/>
        </w:rPr>
        <w:t>（1）资金</w:t>
      </w:r>
      <w:r>
        <w:rPr>
          <w:rFonts w:hint="eastAsia" w:eastAsia="仿宋_GB2312"/>
          <w:sz w:val="32"/>
          <w:szCs w:val="32"/>
          <w:highlight w:val="none"/>
          <w:lang w:val="en-US" w:eastAsia="zh-CN"/>
        </w:rPr>
        <w:t>投入情况</w:t>
      </w:r>
    </w:p>
    <w:p w14:paraId="7530EF9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rPr>
      </w:pPr>
      <w:r>
        <w:rPr>
          <w:rFonts w:hint="eastAsia" w:eastAsia="仿宋_GB2312"/>
          <w:sz w:val="32"/>
          <w:szCs w:val="32"/>
          <w:highlight w:val="none"/>
        </w:rPr>
        <w:t>该项目年初预算数</w:t>
      </w:r>
      <w:r>
        <w:rPr>
          <w:rFonts w:hint="eastAsia" w:eastAsia="仿宋_GB2312"/>
          <w:sz w:val="32"/>
          <w:szCs w:val="32"/>
          <w:highlight w:val="none"/>
          <w:lang w:val="en-US" w:eastAsia="zh-CN"/>
        </w:rPr>
        <w:t>2263.2</w:t>
      </w:r>
      <w:r>
        <w:rPr>
          <w:rFonts w:hint="eastAsia" w:eastAsia="仿宋_GB2312"/>
          <w:sz w:val="32"/>
          <w:szCs w:val="32"/>
          <w:highlight w:val="none"/>
        </w:rPr>
        <w:t>万元，全年预算数</w:t>
      </w:r>
      <w:r>
        <w:rPr>
          <w:rFonts w:hint="eastAsia" w:eastAsia="仿宋_GB2312"/>
          <w:sz w:val="32"/>
          <w:szCs w:val="32"/>
          <w:highlight w:val="none"/>
          <w:lang w:val="en-US" w:eastAsia="zh-CN"/>
        </w:rPr>
        <w:t>2263.2</w:t>
      </w:r>
      <w:r>
        <w:rPr>
          <w:rFonts w:hint="eastAsia" w:eastAsia="仿宋_GB2312"/>
          <w:sz w:val="32"/>
          <w:szCs w:val="32"/>
          <w:highlight w:val="none"/>
        </w:rPr>
        <w:t>万元</w:t>
      </w:r>
      <w:r>
        <w:rPr>
          <w:rFonts w:hint="eastAsia" w:eastAsia="仿宋_GB2312"/>
          <w:sz w:val="32"/>
          <w:szCs w:val="32"/>
          <w:highlight w:val="none"/>
          <w:lang w:eastAsia="zh-CN"/>
        </w:rPr>
        <w:t>，</w:t>
      </w:r>
      <w:r>
        <w:rPr>
          <w:rFonts w:hint="eastAsia" w:eastAsia="仿宋_GB2312"/>
          <w:sz w:val="32"/>
          <w:szCs w:val="32"/>
          <w:highlight w:val="none"/>
        </w:rPr>
        <w:t>实际总投入</w:t>
      </w:r>
      <w:r>
        <w:rPr>
          <w:rFonts w:hint="eastAsia" w:eastAsia="仿宋_GB2312"/>
          <w:sz w:val="32"/>
          <w:szCs w:val="32"/>
          <w:highlight w:val="none"/>
          <w:lang w:val="en-US" w:eastAsia="zh-CN"/>
        </w:rPr>
        <w:t>2263.2</w:t>
      </w:r>
      <w:r>
        <w:rPr>
          <w:rFonts w:hint="eastAsia" w:eastAsia="仿宋_GB2312"/>
          <w:sz w:val="32"/>
          <w:szCs w:val="32"/>
          <w:highlight w:val="none"/>
        </w:rPr>
        <w:t>万元，该项目资金已全部落实到位，资金来源为</w:t>
      </w:r>
      <w:r>
        <w:rPr>
          <w:rFonts w:hint="eastAsia" w:eastAsia="仿宋_GB2312"/>
          <w:sz w:val="32"/>
          <w:szCs w:val="32"/>
          <w:highlight w:val="none"/>
          <w:lang w:eastAsia="zh-CN"/>
        </w:rPr>
        <w:t>财政拨款</w:t>
      </w:r>
      <w:r>
        <w:rPr>
          <w:rFonts w:hint="eastAsia" w:eastAsia="仿宋_GB2312"/>
          <w:sz w:val="32"/>
          <w:szCs w:val="32"/>
          <w:highlight w:val="none"/>
        </w:rPr>
        <w:t>。</w:t>
      </w:r>
    </w:p>
    <w:p w14:paraId="1D820D2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highlight w:val="none"/>
        </w:rPr>
      </w:pPr>
      <w:r>
        <w:rPr>
          <w:rFonts w:eastAsia="仿宋_GB2312"/>
          <w:sz w:val="32"/>
          <w:szCs w:val="32"/>
          <w:highlight w:val="none"/>
        </w:rPr>
        <w:t>（2）资金使用情况</w:t>
      </w:r>
      <w:bookmarkStart w:id="0" w:name="page10"/>
      <w:bookmarkEnd w:id="0"/>
    </w:p>
    <w:p w14:paraId="1E9E486A">
      <w:pPr>
        <w:pStyle w:val="2"/>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both"/>
        <w:textAlignment w:val="auto"/>
        <w:rPr>
          <w:rFonts w:ascii="Times New Roman" w:hAnsi="Times New Roman" w:eastAsia="仿宋_GB2312"/>
          <w:b w:val="0"/>
          <w:bCs w:val="0"/>
          <w:kern w:val="2"/>
          <w:highlight w:val="none"/>
        </w:rPr>
      </w:pPr>
      <w:r>
        <w:rPr>
          <w:rFonts w:hint="eastAsia" w:ascii="Times New Roman" w:hAnsi="Times New Roman" w:eastAsia="仿宋_GB2312"/>
          <w:b w:val="0"/>
          <w:bCs w:val="0"/>
          <w:kern w:val="2"/>
          <w:highlight w:val="none"/>
        </w:rPr>
        <w:t>该项目年初预算数</w:t>
      </w:r>
      <w:r>
        <w:rPr>
          <w:rFonts w:hint="eastAsia" w:ascii="Times New Roman" w:hAnsi="Times New Roman" w:eastAsia="仿宋_GB2312"/>
          <w:b w:val="0"/>
          <w:bCs w:val="0"/>
          <w:kern w:val="2"/>
          <w:highlight w:val="none"/>
          <w:lang w:val="en-US" w:eastAsia="zh-CN"/>
        </w:rPr>
        <w:t>2263.2</w:t>
      </w:r>
      <w:r>
        <w:rPr>
          <w:rFonts w:hint="eastAsia" w:ascii="Times New Roman" w:hAnsi="Times New Roman" w:eastAsia="仿宋_GB2312"/>
          <w:b w:val="0"/>
          <w:bCs w:val="0"/>
          <w:kern w:val="2"/>
          <w:highlight w:val="none"/>
        </w:rPr>
        <w:t>万元，全年预算数</w:t>
      </w:r>
      <w:r>
        <w:rPr>
          <w:rFonts w:hint="eastAsia" w:ascii="Times New Roman" w:hAnsi="Times New Roman" w:eastAsia="仿宋_GB2312"/>
          <w:b w:val="0"/>
          <w:bCs w:val="0"/>
          <w:kern w:val="2"/>
          <w:highlight w:val="none"/>
          <w:lang w:val="en-US" w:eastAsia="zh-CN"/>
        </w:rPr>
        <w:t>2263.2</w:t>
      </w:r>
      <w:r>
        <w:rPr>
          <w:rFonts w:hint="eastAsia" w:ascii="Times New Roman" w:hAnsi="Times New Roman" w:eastAsia="仿宋_GB2312"/>
          <w:b w:val="0"/>
          <w:bCs w:val="0"/>
          <w:kern w:val="2"/>
          <w:highlight w:val="none"/>
        </w:rPr>
        <w:t>万元</w:t>
      </w:r>
      <w:r>
        <w:rPr>
          <w:rFonts w:hint="eastAsia" w:ascii="Times New Roman" w:hAnsi="Times New Roman" w:eastAsia="仿宋_GB2312"/>
          <w:b w:val="0"/>
          <w:bCs w:val="0"/>
          <w:kern w:val="2"/>
          <w:highlight w:val="none"/>
          <w:lang w:eastAsia="zh-CN"/>
        </w:rPr>
        <w:t>，</w:t>
      </w:r>
      <w:r>
        <w:rPr>
          <w:rFonts w:hint="eastAsia" w:ascii="Times New Roman" w:hAnsi="Times New Roman" w:eastAsia="仿宋_GB2312"/>
          <w:b w:val="0"/>
          <w:bCs w:val="0"/>
          <w:kern w:val="2"/>
          <w:highlight w:val="none"/>
        </w:rPr>
        <w:t>全年执行数</w:t>
      </w:r>
      <w:r>
        <w:rPr>
          <w:rFonts w:hint="eastAsia" w:ascii="Times New Roman" w:hAnsi="Times New Roman" w:eastAsia="仿宋_GB2312"/>
          <w:b w:val="0"/>
          <w:bCs w:val="0"/>
          <w:kern w:val="2"/>
          <w:highlight w:val="none"/>
          <w:lang w:val="en-US" w:eastAsia="zh-CN"/>
        </w:rPr>
        <w:t>2263.2</w:t>
      </w:r>
      <w:r>
        <w:rPr>
          <w:rFonts w:hint="eastAsia" w:ascii="Times New Roman" w:hAnsi="Times New Roman" w:eastAsia="仿宋_GB2312"/>
          <w:b w:val="0"/>
          <w:bCs w:val="0"/>
          <w:kern w:val="2"/>
          <w:highlight w:val="none"/>
        </w:rPr>
        <w:t>元，预算执行率为</w:t>
      </w:r>
      <w:r>
        <w:rPr>
          <w:rFonts w:hint="eastAsia" w:ascii="Times New Roman" w:hAnsi="Times New Roman" w:eastAsia="仿宋_GB2312"/>
          <w:b w:val="0"/>
          <w:bCs w:val="0"/>
          <w:kern w:val="2"/>
          <w:highlight w:val="none"/>
          <w:lang w:val="en-US" w:eastAsia="zh-CN"/>
        </w:rPr>
        <w:t>100</w:t>
      </w:r>
      <w:r>
        <w:rPr>
          <w:rFonts w:hint="eastAsia" w:ascii="Times New Roman" w:hAnsi="Times New Roman" w:eastAsia="仿宋_GB2312"/>
          <w:b w:val="0"/>
          <w:bCs w:val="0"/>
          <w:kern w:val="2"/>
          <w:highlight w:val="none"/>
        </w:rPr>
        <w:t>%</w:t>
      </w:r>
      <w:r>
        <w:rPr>
          <w:rFonts w:hint="eastAsia" w:ascii="Times New Roman" w:hAnsi="Times New Roman" w:eastAsia="仿宋_GB2312"/>
          <w:b w:val="0"/>
          <w:bCs w:val="0"/>
          <w:kern w:val="2"/>
          <w:highlight w:val="none"/>
          <w:lang w:eastAsia="zh-CN"/>
        </w:rPr>
        <w:t>，该资金</w:t>
      </w:r>
      <w:r>
        <w:rPr>
          <w:rFonts w:hint="eastAsia" w:ascii="Times New Roman" w:hAnsi="Times New Roman" w:eastAsia="仿宋_GB2312"/>
          <w:b w:val="0"/>
          <w:bCs w:val="0"/>
          <w:kern w:val="2"/>
          <w:highlight w:val="none"/>
        </w:rPr>
        <w:t>主要</w:t>
      </w:r>
      <w:r>
        <w:rPr>
          <w:rFonts w:ascii="Times New Roman" w:hAnsi="Times New Roman" w:eastAsia="仿宋_GB2312"/>
          <w:b w:val="0"/>
          <w:bCs w:val="0"/>
          <w:kern w:val="2"/>
          <w:highlight w:val="none"/>
        </w:rPr>
        <w:t>用于</w:t>
      </w:r>
      <w:r>
        <w:rPr>
          <w:rFonts w:hint="eastAsia" w:ascii="Times New Roman" w:hAnsi="Times New Roman" w:eastAsia="仿宋_GB2312"/>
          <w:b w:val="0"/>
          <w:bCs w:val="0"/>
          <w:kern w:val="2"/>
          <w:highlight w:val="none"/>
          <w:lang w:eastAsia="zh-CN"/>
        </w:rPr>
        <w:t>软件升级改造、基础环境运维、线路租用服务、新增项目建设等信息化项目运维，</w:t>
      </w:r>
      <w:r>
        <w:rPr>
          <w:rFonts w:hint="eastAsia" w:ascii="Times New Roman" w:hAnsi="Times New Roman" w:eastAsia="仿宋_GB2312"/>
          <w:b w:val="0"/>
          <w:bCs w:val="0"/>
          <w:kern w:val="2"/>
          <w:highlight w:val="none"/>
          <w:lang w:val="en-US" w:eastAsia="zh-CN"/>
        </w:rPr>
        <w:t>保障各项任务有序推进。其中“互联网+政务”服务系统运维项目投入预算资金352万元；“互联网+信用执法”平台运维服务项目投入预算资金373万元；“互联网+质量提升”运维服务项目投入预算资金35万元；“互联网+消费维权”平台运维服务项目投入预算资金38.9万元；“互联网+综合监管”平台运维服务项目投入预算资金160万元；“互联网+知识产权”平台运维服务项目投入预算资金30万元；基础软硬件运维服务项目，投入预算资金242万元；网络安全运维服务项目投入预算资金185万元；业务专网及IDC资源租用项目投入预算资金565万元；互联网线路及总局专线租用项目，投入预算资金33万元；数据灾备云资源租用项目投入预算资金70万元；数据中心运维服务项目投入预算资金123万元；信息系统运维公共客户服务平台投入预算资金56.8万元。</w:t>
      </w:r>
    </w:p>
    <w:p w14:paraId="6440AD5C">
      <w:pPr>
        <w:spacing w:line="600" w:lineRule="exact"/>
        <w:ind w:firstLine="641"/>
        <w:rPr>
          <w:rFonts w:hint="eastAsia" w:ascii="楷体" w:hAnsi="楷体" w:eastAsia="楷体" w:cs="楷体"/>
          <w:b/>
          <w:bCs/>
          <w:sz w:val="32"/>
          <w:szCs w:val="32"/>
          <w:highlight w:val="none"/>
        </w:rPr>
      </w:pPr>
      <w:r>
        <w:rPr>
          <w:rFonts w:hint="eastAsia" w:ascii="楷体" w:hAnsi="楷体" w:eastAsia="楷体" w:cs="楷体"/>
          <w:b/>
          <w:bCs/>
          <w:sz w:val="32"/>
          <w:szCs w:val="32"/>
          <w:highlight w:val="none"/>
        </w:rPr>
        <w:t>（二）项目绩效目标</w:t>
      </w:r>
    </w:p>
    <w:p w14:paraId="498F5F9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lang w:eastAsia="zh-CN"/>
        </w:rPr>
      </w:pPr>
      <w:r>
        <w:rPr>
          <w:rFonts w:eastAsia="仿宋_GB2312"/>
          <w:sz w:val="32"/>
          <w:szCs w:val="32"/>
          <w:highlight w:val="none"/>
        </w:rPr>
        <w:t>1、总体目标</w:t>
      </w:r>
    </w:p>
    <w:p w14:paraId="313D21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按照《自治区政务信息化建设管理办法》，结合《自治区市场监督管理局信息化项目建设管理办法（试行）》，按照统一规划、集约建设的原则，统筹市场监管云、网、数等信息化软、硬件建设。督促各地市场监管部门重视数字化应用工作，提高地、县两级市场监管局信息化部门工作参与度，依托数字化应用工作层级考核，达到以考促学、以考促用的效果，不断提高干部信息化应用水平和数字化素养能力，全方位加大对“数智化”市场监管建设和各项应用功能的宣传推广。</w:t>
      </w:r>
    </w:p>
    <w:p w14:paraId="1D11462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楷体"/>
          <w:b/>
          <w:spacing w:val="-4"/>
          <w:sz w:val="32"/>
          <w:szCs w:val="32"/>
          <w:highlight w:val="none"/>
        </w:rPr>
      </w:pPr>
      <w:r>
        <w:rPr>
          <w:rFonts w:eastAsia="仿宋_GB2312"/>
          <w:sz w:val="32"/>
          <w:szCs w:val="32"/>
          <w:highlight w:val="none"/>
        </w:rPr>
        <w:t>2、阶段性目标</w:t>
      </w:r>
    </w:p>
    <w:p w14:paraId="5322E1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highlight w:val="none"/>
        </w:rPr>
      </w:pPr>
      <w:r>
        <w:rPr>
          <w:rFonts w:eastAsia="仿宋_GB2312"/>
          <w:sz w:val="32"/>
          <w:szCs w:val="32"/>
          <w:highlight w:val="none"/>
        </w:rPr>
        <w:t>（1）前期准备：通过制定项目实施方案，</w:t>
      </w:r>
      <w:r>
        <w:rPr>
          <w:rFonts w:hint="eastAsia" w:ascii="仿宋_GB2312" w:hAnsi="仿宋_GB2312" w:eastAsia="仿宋_GB2312" w:cs="仿宋_GB2312"/>
          <w:color w:val="000000"/>
          <w:sz w:val="32"/>
          <w:szCs w:val="32"/>
          <w:highlight w:val="none"/>
          <w:lang w:val="en-US" w:eastAsia="zh-CN"/>
        </w:rPr>
        <w:t>规范信息化项目建设管理流程，加强项目事前、事中、事后管理，</w:t>
      </w:r>
      <w:r>
        <w:rPr>
          <w:rFonts w:hint="eastAsia" w:eastAsia="仿宋_GB2312"/>
          <w:sz w:val="32"/>
          <w:szCs w:val="32"/>
          <w:highlight w:val="none"/>
          <w:lang w:eastAsia="zh-CN"/>
        </w:rPr>
        <w:t>整合项目内容，</w:t>
      </w:r>
      <w:r>
        <w:rPr>
          <w:rFonts w:eastAsia="仿宋_GB2312"/>
          <w:sz w:val="32"/>
          <w:szCs w:val="32"/>
          <w:highlight w:val="none"/>
        </w:rPr>
        <w:t>经项目负责人审核通过后，有序开展后续工作。</w:t>
      </w:r>
    </w:p>
    <w:p w14:paraId="5CD3E5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highlight w:val="none"/>
        </w:rPr>
      </w:pPr>
      <w:r>
        <w:rPr>
          <w:rFonts w:eastAsia="仿宋_GB2312"/>
          <w:sz w:val="32"/>
          <w:szCs w:val="32"/>
          <w:highlight w:val="none"/>
        </w:rPr>
        <w:t>（2）组织实施：资金一到位，</w:t>
      </w:r>
      <w:r>
        <w:rPr>
          <w:rFonts w:hint="eastAsia" w:eastAsia="仿宋_GB2312"/>
          <w:sz w:val="32"/>
          <w:szCs w:val="32"/>
          <w:highlight w:val="none"/>
          <w:lang w:eastAsia="zh-CN"/>
        </w:rPr>
        <w:t>对各个项目资金使用进行分类：</w:t>
      </w:r>
      <w:r>
        <w:rPr>
          <w:rFonts w:hint="eastAsia" w:ascii="仿宋_GB2312" w:hAnsi="仿宋_GB2312" w:eastAsia="仿宋_GB2312" w:cs="仿宋_GB2312"/>
          <w:i w:val="0"/>
          <w:caps w:val="0"/>
          <w:color w:val="000000"/>
          <w:spacing w:val="0"/>
          <w:kern w:val="0"/>
          <w:sz w:val="32"/>
          <w:szCs w:val="32"/>
          <w:highlight w:val="none"/>
          <w:shd w:val="clear" w:fill="FFFFFF"/>
          <w:lang w:eastAsia="zh-CN" w:bidi="ar"/>
        </w:rPr>
        <w:t>软件升级改造、基础环境运维、线路租用服务、新增项目建设等方面进行预算评估，</w:t>
      </w:r>
      <w:r>
        <w:rPr>
          <w:rFonts w:eastAsia="仿宋_GB2312"/>
          <w:sz w:val="32"/>
          <w:szCs w:val="32"/>
          <w:highlight w:val="none"/>
        </w:rPr>
        <w:t>立即根据项目要求实施项目</w:t>
      </w:r>
      <w:r>
        <w:rPr>
          <w:rFonts w:hint="eastAsia" w:eastAsia="仿宋_GB2312"/>
          <w:sz w:val="32"/>
          <w:szCs w:val="32"/>
          <w:highlight w:val="none"/>
          <w:lang w:eastAsia="zh-CN"/>
        </w:rPr>
        <w:t>，</w:t>
      </w:r>
      <w:r>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t>保障各项任务有序推进，</w:t>
      </w:r>
      <w:r>
        <w:rPr>
          <w:rFonts w:eastAsia="仿宋_GB2312"/>
          <w:sz w:val="32"/>
          <w:szCs w:val="32"/>
          <w:highlight w:val="none"/>
        </w:rPr>
        <w:t>项目责任人按照项目实施方案要求逐一进行项目部署安排，提高项目质量及效率性。</w:t>
      </w:r>
    </w:p>
    <w:p w14:paraId="777B8ECE">
      <w:pPr>
        <w:pStyle w:val="26"/>
        <w:keepNext w:val="0"/>
        <w:keepLines w:val="0"/>
        <w:pageBreakBefore w:val="0"/>
        <w:widowControl w:val="0"/>
        <w:kinsoku/>
        <w:wordWrap/>
        <w:overflowPunct/>
        <w:topLinePunct w:val="0"/>
        <w:autoSpaceDE/>
        <w:autoSpaceDN/>
        <w:bidi w:val="0"/>
        <w:adjustRightInd/>
        <w:snapToGrid/>
        <w:spacing w:line="560" w:lineRule="exact"/>
        <w:ind w:firstLine="403"/>
        <w:textAlignment w:val="auto"/>
        <w:rPr>
          <w:rFonts w:hint="default"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（3）成果验收：项目完成后，公式项目结果，</w:t>
      </w:r>
      <w:r>
        <w:rPr>
          <w:rStyle w:val="23"/>
          <w:rFonts w:hint="eastAsia" w:ascii="仿宋_GB2312" w:hAnsi="仿宋_GB2312" w:eastAsia="仿宋_GB2312" w:cs="仿宋_GB2312"/>
          <w:b w:val="0"/>
          <w:bCs w:val="0"/>
          <w:spacing w:val="-4"/>
          <w:sz w:val="32"/>
          <w:szCs w:val="32"/>
          <w:highlight w:val="none"/>
        </w:rPr>
        <w:t>完成</w:t>
      </w:r>
      <w:r>
        <w:rPr>
          <w:rStyle w:val="23"/>
          <w:rFonts w:hint="eastAsia" w:ascii="仿宋_GB2312" w:hAnsi="仿宋_GB2312" w:eastAsia="仿宋_GB2312" w:cs="仿宋_GB2312"/>
          <w:b w:val="0"/>
          <w:bCs w:val="0"/>
          <w:spacing w:val="-4"/>
          <w:sz w:val="32"/>
          <w:szCs w:val="32"/>
          <w:highlight w:val="none"/>
          <w:lang w:eastAsia="zh-CN"/>
        </w:rPr>
        <w:t>相应</w:t>
      </w:r>
      <w:r>
        <w:rPr>
          <w:rStyle w:val="23"/>
          <w:rFonts w:hint="eastAsia" w:ascii="仿宋_GB2312" w:hAnsi="仿宋_GB2312" w:eastAsia="仿宋_GB2312" w:cs="仿宋_GB2312"/>
          <w:b w:val="0"/>
          <w:bCs w:val="0"/>
          <w:spacing w:val="-4"/>
          <w:sz w:val="32"/>
          <w:szCs w:val="32"/>
          <w:highlight w:val="none"/>
        </w:rPr>
        <w:t>项目</w:t>
      </w:r>
      <w:r>
        <w:rPr>
          <w:rStyle w:val="23"/>
          <w:rFonts w:hint="eastAsia" w:ascii="仿宋_GB2312" w:hAnsi="仿宋_GB2312" w:eastAsia="仿宋_GB2312" w:cs="仿宋_GB2312"/>
          <w:b w:val="0"/>
          <w:bCs w:val="0"/>
          <w:spacing w:val="-4"/>
          <w:sz w:val="32"/>
          <w:szCs w:val="32"/>
          <w:highlight w:val="none"/>
          <w:lang w:eastAsia="zh-CN"/>
        </w:rPr>
        <w:t>的</w:t>
      </w:r>
      <w:r>
        <w:rPr>
          <w:rStyle w:val="23"/>
          <w:rFonts w:hint="eastAsia" w:ascii="仿宋_GB2312" w:hAnsi="仿宋_GB2312" w:eastAsia="仿宋_GB2312" w:cs="仿宋_GB2312"/>
          <w:b w:val="0"/>
          <w:bCs w:val="0"/>
          <w:spacing w:val="-4"/>
          <w:sz w:val="32"/>
          <w:szCs w:val="32"/>
          <w:highlight w:val="none"/>
        </w:rPr>
        <w:t>验收</w:t>
      </w:r>
      <w:r>
        <w:rPr>
          <w:rStyle w:val="23"/>
          <w:rFonts w:hint="eastAsia" w:ascii="仿宋_GB2312" w:hAnsi="仿宋_GB2312" w:eastAsia="仿宋_GB2312" w:cs="仿宋_GB2312"/>
          <w:b w:val="0"/>
          <w:bCs w:val="0"/>
          <w:spacing w:val="-4"/>
          <w:sz w:val="32"/>
          <w:szCs w:val="32"/>
          <w:highlight w:val="none"/>
          <w:lang w:eastAsia="zh-CN"/>
        </w:rPr>
        <w:t>，包括</w:t>
      </w:r>
      <w:r>
        <w:rPr>
          <w:rFonts w:hint="eastAsia" w:ascii="仿宋_GB2312" w:hAnsi="仿宋_GB2312" w:eastAsia="仿宋_GB2312" w:cs="仿宋_GB2312"/>
          <w:i w:val="0"/>
          <w:caps w:val="0"/>
          <w:color w:val="000000"/>
          <w:spacing w:val="0"/>
          <w:kern w:val="0"/>
          <w:sz w:val="32"/>
          <w:szCs w:val="32"/>
          <w:highlight w:val="none"/>
          <w:shd w:val="clear" w:fill="FFFFFF"/>
          <w:lang w:eastAsia="zh-CN" w:bidi="ar"/>
        </w:rPr>
        <w:t>软件升级改造、基础环境运维、线路租用服务、新增项目建设等项目的实施，及对应的</w:t>
      </w:r>
      <w:r>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t>13项信息化运维项目。</w:t>
      </w:r>
    </w:p>
    <w:p w14:paraId="449BA47E">
      <w:pPr>
        <w:spacing w:line="600" w:lineRule="exact"/>
        <w:ind w:firstLine="640" w:firstLineChars="200"/>
        <w:rPr>
          <w:rFonts w:eastAsia="黑体"/>
          <w:sz w:val="32"/>
          <w:szCs w:val="32"/>
          <w:highlight w:val="none"/>
        </w:rPr>
      </w:pPr>
      <w:r>
        <w:rPr>
          <w:rFonts w:eastAsia="黑体"/>
          <w:sz w:val="32"/>
          <w:szCs w:val="32"/>
          <w:highlight w:val="none"/>
        </w:rPr>
        <w:t>二、绩效评价工作开展情况</w:t>
      </w:r>
    </w:p>
    <w:p w14:paraId="61E9DAB6">
      <w:pPr>
        <w:spacing w:line="600" w:lineRule="exact"/>
        <w:ind w:firstLine="643" w:firstLineChars="200"/>
        <w:rPr>
          <w:rFonts w:eastAsia="楷体_GB2312"/>
          <w:b/>
          <w:bCs/>
          <w:sz w:val="32"/>
          <w:szCs w:val="32"/>
          <w:highlight w:val="none"/>
        </w:rPr>
      </w:pPr>
      <w:r>
        <w:rPr>
          <w:rFonts w:eastAsia="楷体_GB2312"/>
          <w:b/>
          <w:bCs/>
          <w:sz w:val="32"/>
          <w:szCs w:val="32"/>
          <w:highlight w:val="none"/>
        </w:rPr>
        <w:t>（一）绩效评价目的</w:t>
      </w:r>
      <w:r>
        <w:rPr>
          <w:rFonts w:eastAsia="黑体"/>
          <w:sz w:val="32"/>
          <w:szCs w:val="32"/>
          <w:highlight w:val="none"/>
        </w:rPr>
        <w:t>、</w:t>
      </w:r>
      <w:r>
        <w:rPr>
          <w:rFonts w:eastAsia="楷体_GB2312"/>
          <w:b/>
          <w:bCs/>
          <w:sz w:val="32"/>
          <w:szCs w:val="32"/>
          <w:highlight w:val="none"/>
        </w:rPr>
        <w:t>对象和范围</w:t>
      </w:r>
    </w:p>
    <w:p w14:paraId="70A8DBD7">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ascii="Times New Roman" w:hAnsi="Times New Roman" w:eastAsia="仿宋_GB2312"/>
          <w:b w:val="0"/>
          <w:bCs w:val="0"/>
          <w:highlight w:val="none"/>
        </w:rPr>
      </w:pPr>
      <w:r>
        <w:rPr>
          <w:rFonts w:ascii="Times New Roman" w:hAnsi="Times New Roman" w:eastAsia="仿宋_GB2312"/>
          <w:b w:val="0"/>
          <w:bCs w:val="0"/>
          <w:highlight w:val="none"/>
        </w:rPr>
        <w:t>1</w:t>
      </w:r>
      <w:r>
        <w:rPr>
          <w:rFonts w:hint="default" w:ascii="Times New Roman" w:hAnsi="Times New Roman" w:eastAsia="仿宋_GB2312"/>
          <w:b w:val="0"/>
          <w:bCs w:val="0"/>
          <w:highlight w:val="none"/>
          <w:lang w:val="en"/>
        </w:rPr>
        <w:t>.</w:t>
      </w:r>
      <w:r>
        <w:rPr>
          <w:rFonts w:ascii="Times New Roman" w:hAnsi="Times New Roman" w:eastAsia="仿宋_GB2312"/>
          <w:b w:val="0"/>
          <w:bCs w:val="0"/>
          <w:highlight w:val="none"/>
        </w:rPr>
        <w:t>绩效评价的目的</w:t>
      </w:r>
    </w:p>
    <w:p w14:paraId="475BED65">
      <w:pPr>
        <w:pStyle w:val="57"/>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highlight w:val="none"/>
        </w:rPr>
      </w:pPr>
      <w:r>
        <w:rPr>
          <w:rFonts w:eastAsia="仿宋_GB2312"/>
          <w:sz w:val="32"/>
          <w:szCs w:val="32"/>
          <w:highlight w:val="none"/>
        </w:rPr>
        <w:t>运用科学、规范的绩效评价方法，制定统一的评价标准，使财政资金得到事前、事中和事后多方面的控制。通过开展有效的财政支出绩效评价管理，</w:t>
      </w:r>
      <w:r>
        <w:rPr>
          <w:rFonts w:hint="eastAsia" w:eastAsia="仿宋_GB2312"/>
          <w:sz w:val="32"/>
          <w:szCs w:val="32"/>
          <w:highlight w:val="none"/>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r>
        <w:rPr>
          <w:rFonts w:hint="eastAsia" w:eastAsia="仿宋_GB2312"/>
          <w:sz w:val="32"/>
          <w:szCs w:val="32"/>
          <w:highlight w:val="none"/>
          <w:lang w:eastAsia="zh-CN"/>
        </w:rPr>
        <w:t>。</w:t>
      </w:r>
    </w:p>
    <w:p w14:paraId="07AB3548">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ascii="Times New Roman" w:hAnsi="Times New Roman" w:eastAsia="仿宋_GB2312"/>
          <w:b w:val="0"/>
          <w:bCs w:val="0"/>
          <w:highlight w:val="none"/>
        </w:rPr>
      </w:pPr>
      <w:r>
        <w:rPr>
          <w:rFonts w:ascii="Times New Roman" w:hAnsi="Times New Roman" w:eastAsia="仿宋_GB2312"/>
          <w:b w:val="0"/>
          <w:bCs w:val="0"/>
          <w:highlight w:val="none"/>
        </w:rPr>
        <w:t>2</w:t>
      </w:r>
      <w:r>
        <w:rPr>
          <w:rFonts w:hint="default" w:ascii="Times New Roman" w:hAnsi="Times New Roman" w:eastAsia="仿宋_GB2312"/>
          <w:b w:val="0"/>
          <w:bCs w:val="0"/>
          <w:highlight w:val="none"/>
          <w:lang w:val="en"/>
        </w:rPr>
        <w:t>.</w:t>
      </w:r>
      <w:r>
        <w:rPr>
          <w:rFonts w:ascii="Times New Roman" w:hAnsi="Times New Roman" w:eastAsia="仿宋_GB2312"/>
          <w:b w:val="0"/>
          <w:bCs w:val="0"/>
          <w:highlight w:val="none"/>
        </w:rPr>
        <w:t>绩效评价的对象</w:t>
      </w:r>
    </w:p>
    <w:p w14:paraId="0FB836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highlight w:val="none"/>
        </w:rPr>
      </w:pPr>
      <w:r>
        <w:rPr>
          <w:rFonts w:hint="eastAsia" w:eastAsia="仿宋_GB2312"/>
          <w:sz w:val="32"/>
          <w:szCs w:val="32"/>
          <w:highlight w:val="none"/>
        </w:rPr>
        <w:t>202</w:t>
      </w:r>
      <w:r>
        <w:rPr>
          <w:rFonts w:hint="eastAsia" w:eastAsia="仿宋_GB2312"/>
          <w:sz w:val="32"/>
          <w:szCs w:val="32"/>
          <w:highlight w:val="none"/>
          <w:lang w:val="en-US" w:eastAsia="zh-CN"/>
        </w:rPr>
        <w:t>3</w:t>
      </w:r>
      <w:r>
        <w:rPr>
          <w:rFonts w:hint="eastAsia" w:eastAsia="仿宋_GB2312"/>
          <w:sz w:val="32"/>
          <w:szCs w:val="32"/>
          <w:highlight w:val="none"/>
        </w:rPr>
        <w:t>年自治区市场监管局信息化基础运维项目所包含的全部项目</w:t>
      </w:r>
      <w:r>
        <w:rPr>
          <w:rFonts w:hint="eastAsia" w:eastAsia="仿宋_GB2312"/>
          <w:sz w:val="32"/>
          <w:szCs w:val="32"/>
          <w:highlight w:val="none"/>
          <w:lang w:eastAsia="zh-CN"/>
        </w:rPr>
        <w:t>的实施情况以及预算资金使用效益</w:t>
      </w:r>
      <w:r>
        <w:rPr>
          <w:rFonts w:hint="eastAsia" w:eastAsia="仿宋_GB2312"/>
          <w:sz w:val="32"/>
          <w:szCs w:val="32"/>
          <w:highlight w:val="none"/>
        </w:rPr>
        <w:t>。</w:t>
      </w:r>
    </w:p>
    <w:p w14:paraId="439F7FAA">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ascii="Times New Roman" w:hAnsi="Times New Roman" w:eastAsia="仿宋_GB2312"/>
          <w:b w:val="0"/>
          <w:bCs w:val="0"/>
          <w:highlight w:val="none"/>
        </w:rPr>
      </w:pPr>
      <w:r>
        <w:rPr>
          <w:rFonts w:ascii="Times New Roman" w:hAnsi="Times New Roman" w:eastAsia="仿宋_GB2312"/>
          <w:b w:val="0"/>
          <w:bCs w:val="0"/>
          <w:highlight w:val="none"/>
        </w:rPr>
        <w:t>3、绩效评价的范围</w:t>
      </w:r>
    </w:p>
    <w:p w14:paraId="238FD22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结合资金划拨程序、资金管理规范及绩效目标要求等，</w:t>
      </w:r>
      <w:r>
        <w:rPr>
          <w:rFonts w:hint="eastAsia" w:ascii="仿宋_GB2312" w:hAnsi="仿宋_GB2312" w:eastAsia="仿宋_GB2312" w:cs="仿宋_GB2312"/>
          <w:sz w:val="32"/>
          <w:szCs w:val="32"/>
          <w:highlight w:val="none"/>
        </w:rPr>
        <w:t>本次评价从项目决策（包括绩效目标、决策过程）、项目管理（包括项目资金、项目实施）、项目产出（包括项目产出数量、产出质量、产出时效和产出成本）</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项目效益</w:t>
      </w:r>
      <w:r>
        <w:rPr>
          <w:rFonts w:hint="eastAsia" w:ascii="仿宋_GB2312" w:hAnsi="仿宋_GB2312" w:eastAsia="仿宋_GB2312" w:cs="仿宋_GB2312"/>
          <w:sz w:val="32"/>
          <w:szCs w:val="32"/>
          <w:highlight w:val="none"/>
          <w:lang w:eastAsia="zh-CN"/>
        </w:rPr>
        <w:t>（包括项目的满意度）</w:t>
      </w:r>
      <w:r>
        <w:rPr>
          <w:rFonts w:hint="eastAsia" w:ascii="仿宋_GB2312" w:hAnsi="仿宋_GB2312" w:eastAsia="仿宋_GB2312" w:cs="仿宋_GB2312"/>
          <w:sz w:val="32"/>
          <w:szCs w:val="32"/>
          <w:highlight w:val="none"/>
        </w:rPr>
        <w:t>四个维度对202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年自治区市场监管局信息化基础运维项目进行评价，评价核心为专项资金的支出完成情况和效果。</w:t>
      </w:r>
    </w:p>
    <w:p w14:paraId="5212CE10">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highlight w:val="none"/>
        </w:rPr>
      </w:pPr>
      <w:r>
        <w:rPr>
          <w:rFonts w:eastAsia="楷体_GB2312"/>
          <w:b/>
          <w:bCs/>
          <w:sz w:val="32"/>
          <w:szCs w:val="32"/>
          <w:highlight w:val="none"/>
        </w:rPr>
        <w:t>（二）</w:t>
      </w:r>
      <w:r>
        <w:rPr>
          <w:rFonts w:hint="eastAsia" w:ascii="仿宋_GB2312" w:hAnsi="仿宋_GB2312" w:eastAsia="仿宋_GB2312" w:cs="仿宋_GB2312"/>
          <w:b/>
          <w:bCs/>
          <w:sz w:val="32"/>
          <w:szCs w:val="32"/>
          <w:highlight w:val="none"/>
        </w:rPr>
        <w:t>绩效评价原则、评价指标体系（详情见表1）、评价方法、评价标准</w:t>
      </w:r>
    </w:p>
    <w:p w14:paraId="1E2FD98C">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ascii="Times New Roman" w:hAnsi="Times New Roman" w:eastAsia="仿宋_GB2312"/>
          <w:b w:val="0"/>
          <w:bCs w:val="0"/>
          <w:highlight w:val="none"/>
        </w:rPr>
      </w:pPr>
      <w:r>
        <w:rPr>
          <w:rFonts w:ascii="Times New Roman" w:hAnsi="Times New Roman" w:eastAsia="仿宋_GB2312"/>
          <w:b w:val="0"/>
          <w:bCs w:val="0"/>
          <w:highlight w:val="none"/>
        </w:rPr>
        <w:t>1</w:t>
      </w:r>
      <w:r>
        <w:rPr>
          <w:rFonts w:hint="default" w:ascii="Times New Roman" w:hAnsi="Times New Roman" w:eastAsia="仿宋_GB2312"/>
          <w:b w:val="0"/>
          <w:bCs w:val="0"/>
          <w:highlight w:val="none"/>
          <w:lang w:val="en"/>
        </w:rPr>
        <w:t>.</w:t>
      </w:r>
      <w:r>
        <w:rPr>
          <w:rFonts w:ascii="Times New Roman" w:hAnsi="Times New Roman" w:eastAsia="仿宋_GB2312"/>
          <w:b w:val="0"/>
          <w:bCs w:val="0"/>
          <w:highlight w:val="none"/>
        </w:rPr>
        <w:t>绩效评价原则</w:t>
      </w:r>
    </w:p>
    <w:p w14:paraId="0B65A16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olor w:val="000000"/>
          <w:sz w:val="32"/>
          <w:szCs w:val="32"/>
          <w:highlight w:val="none"/>
        </w:rPr>
      </w:pPr>
      <w:r>
        <w:rPr>
          <w:rFonts w:eastAsia="仿宋_GB2312"/>
          <w:color w:val="000000"/>
          <w:sz w:val="32"/>
          <w:szCs w:val="32"/>
          <w:highlight w:val="none"/>
        </w:rPr>
        <w:t>本次项目绩效评价遵循以下基本原则：</w:t>
      </w:r>
    </w:p>
    <w:p w14:paraId="43D18CB5">
      <w:pPr>
        <w:pStyle w:val="2"/>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ascii="Times New Roman" w:hAnsi="Times New Roman" w:eastAsia="仿宋_GB2312"/>
          <w:b w:val="0"/>
          <w:bCs w:val="0"/>
          <w:highlight w:val="none"/>
        </w:rPr>
      </w:pPr>
      <w:r>
        <w:rPr>
          <w:rFonts w:ascii="Times New Roman" w:hAnsi="Times New Roman" w:eastAsia="仿宋_GB2312"/>
          <w:b w:val="0"/>
          <w:bCs w:val="0"/>
          <w:highlight w:val="none"/>
        </w:rPr>
        <w:t>（1）科学公正。绩效评价应当运用科学合理的方法，按照规范的程序，对项目绩效进行客观、公正</w:t>
      </w:r>
      <w:r>
        <w:rPr>
          <w:rFonts w:hint="eastAsia" w:ascii="Times New Roman" w:hAnsi="Times New Roman" w:eastAsia="仿宋_GB2312"/>
          <w:b w:val="0"/>
          <w:bCs w:val="0"/>
          <w:highlight w:val="none"/>
          <w:lang w:eastAsia="zh-CN"/>
        </w:rPr>
        <w:t>地</w:t>
      </w:r>
      <w:r>
        <w:rPr>
          <w:rFonts w:ascii="Times New Roman" w:hAnsi="Times New Roman" w:eastAsia="仿宋_GB2312"/>
          <w:b w:val="0"/>
          <w:bCs w:val="0"/>
          <w:highlight w:val="none"/>
        </w:rPr>
        <w:t>反映。</w:t>
      </w:r>
    </w:p>
    <w:p w14:paraId="6447EA2F">
      <w:pPr>
        <w:pStyle w:val="2"/>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ascii="Times New Roman" w:hAnsi="Times New Roman" w:eastAsia="仿宋_GB2312"/>
          <w:b w:val="0"/>
          <w:bCs w:val="0"/>
          <w:highlight w:val="none"/>
        </w:rPr>
      </w:pPr>
      <w:r>
        <w:rPr>
          <w:rFonts w:ascii="Times New Roman" w:hAnsi="Times New Roman" w:eastAsia="仿宋_GB2312"/>
          <w:b w:val="0"/>
          <w:bCs w:val="0"/>
          <w:highlight w:val="none"/>
        </w:rPr>
        <w:t>（2）统筹兼顾。单位自评、部门评价和财政评价应职责明确，各有侧重，相互衔接。单位自评应由项目单位自主实施，即“谁支出、谁自评”。部门评价和财政评价应在单位自评的基础上开展。</w:t>
      </w:r>
    </w:p>
    <w:p w14:paraId="4AD44F8F">
      <w:pPr>
        <w:pStyle w:val="2"/>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ascii="Times New Roman" w:hAnsi="Times New Roman" w:eastAsia="仿宋_GB2312"/>
          <w:b w:val="0"/>
          <w:bCs w:val="0"/>
          <w:highlight w:val="none"/>
        </w:rPr>
      </w:pPr>
      <w:r>
        <w:rPr>
          <w:rFonts w:ascii="Times New Roman" w:hAnsi="Times New Roman" w:eastAsia="仿宋_GB2312"/>
          <w:b w:val="0"/>
          <w:bCs w:val="0"/>
          <w:highlight w:val="none"/>
        </w:rPr>
        <w:t>（3）激励约束。绩效评价结果应与预算安排、政策调整、改进管理实质性挂钩，体现奖优罚劣和激励相容导向，有效要安排、低效要压减、无效要问责。</w:t>
      </w:r>
    </w:p>
    <w:p w14:paraId="05B89094">
      <w:pPr>
        <w:pStyle w:val="2"/>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ascii="Times New Roman" w:hAnsi="Times New Roman" w:eastAsia="仿宋_GB2312"/>
          <w:b w:val="0"/>
          <w:bCs w:val="0"/>
          <w:highlight w:val="none"/>
        </w:rPr>
      </w:pPr>
      <w:r>
        <w:rPr>
          <w:rFonts w:ascii="Times New Roman" w:hAnsi="Times New Roman" w:eastAsia="仿宋_GB2312"/>
          <w:b w:val="0"/>
          <w:bCs w:val="0"/>
          <w:highlight w:val="none"/>
        </w:rPr>
        <w:t>（4）公开透明。绩效评价结果应依法依规公开，并自觉接受社会监督。</w:t>
      </w:r>
    </w:p>
    <w:p w14:paraId="7E56ED53">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ascii="Times New Roman" w:hAnsi="Times New Roman" w:eastAsia="仿宋_GB2312"/>
          <w:b w:val="0"/>
          <w:bCs w:val="0"/>
          <w:highlight w:val="none"/>
        </w:rPr>
      </w:pPr>
      <w:r>
        <w:rPr>
          <w:rFonts w:ascii="Times New Roman" w:hAnsi="Times New Roman" w:eastAsia="仿宋_GB2312"/>
          <w:b w:val="0"/>
          <w:bCs w:val="0"/>
          <w:highlight w:val="none"/>
        </w:rPr>
        <w:t>2</w:t>
      </w:r>
      <w:r>
        <w:rPr>
          <w:rFonts w:hint="default" w:ascii="Times New Roman" w:hAnsi="Times New Roman" w:eastAsia="仿宋_GB2312"/>
          <w:b w:val="0"/>
          <w:bCs w:val="0"/>
          <w:highlight w:val="none"/>
          <w:lang w:val="en"/>
        </w:rPr>
        <w:t>.</w:t>
      </w:r>
      <w:r>
        <w:rPr>
          <w:rFonts w:ascii="Times New Roman" w:hAnsi="Times New Roman" w:eastAsia="仿宋_GB2312"/>
          <w:b w:val="0"/>
          <w:bCs w:val="0"/>
          <w:highlight w:val="none"/>
        </w:rPr>
        <w:t>评价指标体系</w:t>
      </w:r>
    </w:p>
    <w:p w14:paraId="1AA53250">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color w:val="000000"/>
          <w:spacing w:val="17"/>
          <w:sz w:val="32"/>
          <w:szCs w:val="32"/>
          <w:highlight w:val="none"/>
        </w:rPr>
      </w:pPr>
      <w:r>
        <w:rPr>
          <w:rFonts w:eastAsia="仿宋_GB2312"/>
          <w:color w:val="000000"/>
          <w:spacing w:val="17"/>
          <w:sz w:val="32"/>
          <w:szCs w:val="32"/>
          <w:highlight w:val="none"/>
        </w:rPr>
        <w:t>绩效评价框架是开展绩效评价的核心。绩效评价框架包括评价准则、关键评价问题、评价指标、数据来源、数据收集方法等。指标体系建立过程如下：</w:t>
      </w:r>
    </w:p>
    <w:p w14:paraId="2DB68216">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highlight w:val="none"/>
        </w:rPr>
      </w:pPr>
      <w:r>
        <w:rPr>
          <w:rFonts w:eastAsia="仿宋_GB2312"/>
          <w:color w:val="000000"/>
          <w:spacing w:val="17"/>
          <w:sz w:val="32"/>
          <w:szCs w:val="32"/>
          <w:highlight w:val="none"/>
        </w:rPr>
        <w:t>（1）确定评价指标</w:t>
      </w:r>
    </w:p>
    <w:p w14:paraId="45EB3050">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highlight w:val="none"/>
        </w:rPr>
      </w:pPr>
      <w:r>
        <w:rPr>
          <w:rFonts w:eastAsia="仿宋_GB2312"/>
          <w:color w:val="000000"/>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14:paraId="5A9AA512">
      <w:pPr>
        <w:keepNext w:val="0"/>
        <w:keepLines w:val="0"/>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highlight w:val="none"/>
        </w:rPr>
      </w:pPr>
      <w:r>
        <w:rPr>
          <w:rFonts w:eastAsia="仿宋_GB2312"/>
          <w:color w:val="000000"/>
          <w:spacing w:val="17"/>
          <w:sz w:val="32"/>
          <w:szCs w:val="32"/>
          <w:highlight w:val="none"/>
        </w:rPr>
        <w:t>（2）确定权重</w:t>
      </w:r>
    </w:p>
    <w:p w14:paraId="76DF2488">
      <w:pPr>
        <w:keepNext w:val="0"/>
        <w:keepLines w:val="0"/>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highlight w:val="none"/>
        </w:rPr>
      </w:pPr>
      <w:r>
        <w:rPr>
          <w:rFonts w:eastAsia="仿宋_GB2312"/>
          <w:color w:val="000000"/>
          <w:spacing w:val="17"/>
          <w:sz w:val="32"/>
          <w:szCs w:val="32"/>
          <w:highlight w:val="none"/>
        </w:rPr>
        <w:t>确定各个指标相对于项目总体绩效的权重分值。在绩效评价指标体系中，项目决策权重为</w:t>
      </w:r>
      <w:r>
        <w:rPr>
          <w:rFonts w:hint="eastAsia" w:eastAsia="仿宋_GB2312"/>
          <w:color w:val="000000"/>
          <w:spacing w:val="17"/>
          <w:sz w:val="32"/>
          <w:szCs w:val="32"/>
          <w:highlight w:val="none"/>
          <w:lang w:val="en-US" w:eastAsia="zh-CN"/>
        </w:rPr>
        <w:t>20</w:t>
      </w:r>
      <w:r>
        <w:rPr>
          <w:rFonts w:eastAsia="仿宋_GB2312"/>
          <w:color w:val="000000"/>
          <w:spacing w:val="17"/>
          <w:sz w:val="32"/>
          <w:szCs w:val="32"/>
          <w:highlight w:val="none"/>
        </w:rPr>
        <w:t>分，项目过程权重为</w:t>
      </w:r>
      <w:r>
        <w:rPr>
          <w:rFonts w:hint="eastAsia" w:eastAsia="仿宋_GB2312"/>
          <w:color w:val="000000"/>
          <w:spacing w:val="17"/>
          <w:sz w:val="32"/>
          <w:szCs w:val="32"/>
          <w:highlight w:val="none"/>
          <w:lang w:val="en-US" w:eastAsia="zh-CN"/>
        </w:rPr>
        <w:t>20</w:t>
      </w:r>
      <w:r>
        <w:rPr>
          <w:rFonts w:eastAsia="仿宋_GB2312"/>
          <w:color w:val="000000"/>
          <w:spacing w:val="17"/>
          <w:sz w:val="32"/>
          <w:szCs w:val="32"/>
          <w:highlight w:val="none"/>
        </w:rPr>
        <w:t>分，项目产出权重为</w:t>
      </w:r>
      <w:r>
        <w:rPr>
          <w:rFonts w:hint="eastAsia" w:eastAsia="仿宋_GB2312"/>
          <w:color w:val="000000"/>
          <w:spacing w:val="17"/>
          <w:sz w:val="32"/>
          <w:szCs w:val="32"/>
          <w:highlight w:val="none"/>
          <w:lang w:val="en-US" w:eastAsia="zh-CN"/>
        </w:rPr>
        <w:t>40</w:t>
      </w:r>
      <w:r>
        <w:rPr>
          <w:rFonts w:eastAsia="仿宋_GB2312"/>
          <w:color w:val="000000"/>
          <w:spacing w:val="17"/>
          <w:sz w:val="32"/>
          <w:szCs w:val="32"/>
          <w:highlight w:val="none"/>
        </w:rPr>
        <w:t>分，项目效益权重为</w:t>
      </w:r>
      <w:r>
        <w:rPr>
          <w:rFonts w:hint="eastAsia" w:eastAsia="仿宋_GB2312"/>
          <w:color w:val="000000"/>
          <w:spacing w:val="17"/>
          <w:sz w:val="32"/>
          <w:szCs w:val="32"/>
          <w:highlight w:val="none"/>
          <w:lang w:val="en-US" w:eastAsia="zh-CN"/>
        </w:rPr>
        <w:t>2</w:t>
      </w:r>
      <w:r>
        <w:rPr>
          <w:rFonts w:eastAsia="仿宋_GB2312"/>
          <w:color w:val="000000"/>
          <w:spacing w:val="17"/>
          <w:sz w:val="32"/>
          <w:szCs w:val="32"/>
          <w:highlight w:val="none"/>
        </w:rPr>
        <w:t>0分。</w:t>
      </w:r>
    </w:p>
    <w:p w14:paraId="5CC02460">
      <w:pPr>
        <w:keepNext w:val="0"/>
        <w:keepLines w:val="0"/>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highlight w:val="none"/>
        </w:rPr>
      </w:pPr>
      <w:r>
        <w:rPr>
          <w:rFonts w:eastAsia="仿宋_GB2312"/>
          <w:color w:val="000000"/>
          <w:spacing w:val="17"/>
          <w:sz w:val="32"/>
          <w:szCs w:val="32"/>
          <w:highlight w:val="none"/>
        </w:rPr>
        <w:t>（3）确定指标标准值</w:t>
      </w:r>
    </w:p>
    <w:p w14:paraId="1492A193">
      <w:pPr>
        <w:keepNext w:val="0"/>
        <w:keepLines w:val="0"/>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highlight w:val="none"/>
        </w:rPr>
      </w:pPr>
      <w:r>
        <w:rPr>
          <w:rFonts w:eastAsia="仿宋_GB2312"/>
          <w:color w:val="000000"/>
          <w:spacing w:val="17"/>
          <w:sz w:val="32"/>
          <w:szCs w:val="32"/>
          <w:highlight w:val="none"/>
        </w:rPr>
        <w:t>指标标准值是绩效评价指标的尺度，既要反映同类项目的先进水平，又要符合项目的实际绩效水平。具体采用计划标准等确定此次绩效评价指标标准值。</w:t>
      </w:r>
    </w:p>
    <w:p w14:paraId="6A320371">
      <w:pPr>
        <w:pStyle w:val="2"/>
        <w:keepNext w:val="0"/>
        <w:keepLines w:val="0"/>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ascii="Times New Roman" w:hAnsi="Times New Roman" w:eastAsia="仿宋_GB2312"/>
          <w:b w:val="0"/>
          <w:bCs w:val="0"/>
          <w:color w:val="000000"/>
          <w:spacing w:val="17"/>
          <w:kern w:val="2"/>
          <w:highlight w:val="none"/>
        </w:rPr>
      </w:pPr>
      <w:r>
        <w:rPr>
          <w:rFonts w:ascii="Times New Roman" w:hAnsi="Times New Roman" w:eastAsia="仿宋_GB2312"/>
          <w:b w:val="0"/>
          <w:bCs w:val="0"/>
          <w:color w:val="000000"/>
          <w:spacing w:val="17"/>
          <w:kern w:val="2"/>
          <w:highlight w:val="none"/>
        </w:rPr>
        <w:t>绩效评价总分值100分，根据综合评分结果，评价计分90分</w:t>
      </w:r>
      <w:r>
        <w:rPr>
          <w:rFonts w:hint="eastAsia" w:ascii="Times New Roman" w:hAnsi="Times New Roman" w:eastAsia="仿宋_GB2312"/>
          <w:b w:val="0"/>
          <w:bCs w:val="0"/>
          <w:color w:val="000000"/>
          <w:spacing w:val="17"/>
          <w:kern w:val="2"/>
          <w:highlight w:val="none"/>
          <w:lang w:eastAsia="zh-CN"/>
        </w:rPr>
        <w:t>—</w:t>
      </w:r>
      <w:r>
        <w:rPr>
          <w:rFonts w:ascii="Times New Roman" w:hAnsi="Times New Roman" w:eastAsia="仿宋_GB2312"/>
          <w:b w:val="0"/>
          <w:bCs w:val="0"/>
          <w:color w:val="000000"/>
          <w:spacing w:val="17"/>
          <w:kern w:val="2"/>
          <w:highlight w:val="none"/>
        </w:rPr>
        <w:t>100分（含90分）对应的评分结果级别为优，80</w:t>
      </w:r>
      <w:r>
        <w:rPr>
          <w:rFonts w:hint="eastAsia" w:ascii="Times New Roman" w:hAnsi="Times New Roman" w:eastAsia="仿宋_GB2312"/>
          <w:b w:val="0"/>
          <w:bCs w:val="0"/>
          <w:color w:val="000000"/>
          <w:spacing w:val="17"/>
          <w:kern w:val="2"/>
          <w:highlight w:val="none"/>
          <w:lang w:eastAsia="zh-CN"/>
        </w:rPr>
        <w:t>—</w:t>
      </w:r>
      <w:r>
        <w:rPr>
          <w:rFonts w:ascii="Times New Roman" w:hAnsi="Times New Roman" w:eastAsia="仿宋_GB2312"/>
          <w:b w:val="0"/>
          <w:bCs w:val="0"/>
          <w:color w:val="000000"/>
          <w:spacing w:val="17"/>
          <w:kern w:val="2"/>
          <w:highlight w:val="none"/>
        </w:rPr>
        <w:t>90分（含80分）对应的评分结果级别为良，60</w:t>
      </w:r>
      <w:r>
        <w:rPr>
          <w:rFonts w:hint="eastAsia" w:ascii="Times New Roman" w:hAnsi="Times New Roman" w:eastAsia="仿宋_GB2312"/>
          <w:b w:val="0"/>
          <w:bCs w:val="0"/>
          <w:color w:val="000000"/>
          <w:spacing w:val="17"/>
          <w:kern w:val="2"/>
          <w:highlight w:val="none"/>
          <w:lang w:eastAsia="zh-CN"/>
        </w:rPr>
        <w:t>—</w:t>
      </w:r>
      <w:r>
        <w:rPr>
          <w:rFonts w:ascii="Times New Roman" w:hAnsi="Times New Roman" w:eastAsia="仿宋_GB2312"/>
          <w:b w:val="0"/>
          <w:bCs w:val="0"/>
          <w:color w:val="000000"/>
          <w:spacing w:val="17"/>
          <w:kern w:val="2"/>
          <w:highlight w:val="none"/>
        </w:rPr>
        <w:t>80分（含60分）对应的评分结果级别为中，60分以下对应的评分结果级别为差。</w:t>
      </w:r>
    </w:p>
    <w:p w14:paraId="2CEE08CA">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708" w:firstLineChars="200"/>
        <w:jc w:val="both"/>
        <w:textAlignment w:val="auto"/>
        <w:outlineLvl w:val="9"/>
        <w:rPr>
          <w:highlight w:val="none"/>
        </w:rPr>
      </w:pPr>
      <w:r>
        <w:rPr>
          <w:rFonts w:ascii="Times New Roman" w:hAnsi="Times New Roman" w:eastAsia="仿宋_GB2312"/>
          <w:b w:val="0"/>
          <w:bCs w:val="0"/>
          <w:color w:val="000000"/>
          <w:spacing w:val="17"/>
          <w:highlight w:val="none"/>
        </w:rPr>
        <w:t>具体评价指标体系详情见附件1</w:t>
      </w:r>
    </w:p>
    <w:p w14:paraId="537AD0F0">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ascii="Times New Roman" w:hAnsi="Times New Roman" w:eastAsia="仿宋_GB2312"/>
          <w:b w:val="0"/>
          <w:bCs w:val="0"/>
          <w:highlight w:val="none"/>
        </w:rPr>
      </w:pPr>
      <w:r>
        <w:rPr>
          <w:rFonts w:ascii="Times New Roman" w:hAnsi="Times New Roman" w:eastAsia="仿宋_GB2312"/>
          <w:b w:val="0"/>
          <w:bCs w:val="0"/>
          <w:highlight w:val="none"/>
        </w:rPr>
        <w:t>3、绩效评价方法</w:t>
      </w:r>
    </w:p>
    <w:p w14:paraId="1F49B25E">
      <w:pPr>
        <w:keepNext w:val="0"/>
        <w:keepLines w:val="0"/>
        <w:pageBreakBefore w:val="0"/>
        <w:kinsoku/>
        <w:wordWrap/>
        <w:overflowPunct/>
        <w:topLinePunct w:val="0"/>
        <w:autoSpaceDE/>
        <w:autoSpaceDN/>
        <w:bidi w:val="0"/>
        <w:adjustRightInd/>
        <w:snapToGrid/>
        <w:spacing w:line="560" w:lineRule="exact"/>
        <w:ind w:firstLine="708" w:firstLineChars="200"/>
        <w:textAlignment w:val="auto"/>
        <w:rPr>
          <w:highlight w:val="none"/>
        </w:rPr>
      </w:pPr>
      <w:r>
        <w:rPr>
          <w:rFonts w:eastAsia="仿宋_GB2312"/>
          <w:color w:val="000000"/>
          <w:spacing w:val="17"/>
          <w:sz w:val="32"/>
          <w:szCs w:val="32"/>
          <w:highlight w:val="none"/>
        </w:rPr>
        <w:t>绩效评价从项目决策、项目过程、项目产出、项目效益四个维度进行评价。评价对象为项目目标实施情况，  评价核心为资金的支出完成情况和项目的产出效益。</w:t>
      </w:r>
    </w:p>
    <w:p w14:paraId="75DAE8F9">
      <w:pPr>
        <w:keepNext w:val="0"/>
        <w:keepLines w:val="0"/>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00"/>
          <w:spacing w:val="17"/>
          <w:sz w:val="32"/>
          <w:szCs w:val="32"/>
          <w:highlight w:val="none"/>
          <w:lang w:val="en-US" w:eastAsia="zh-CN"/>
        </w:rPr>
      </w:pPr>
      <w:r>
        <w:rPr>
          <w:rFonts w:hint="eastAsia" w:eastAsia="仿宋_GB2312"/>
          <w:color w:val="000000"/>
          <w:spacing w:val="17"/>
          <w:sz w:val="32"/>
          <w:szCs w:val="32"/>
          <w:highlight w:val="none"/>
          <w:lang w:val="en-US" w:eastAsia="zh-CN"/>
        </w:rPr>
        <w:t>此次</w:t>
      </w:r>
      <w:r>
        <w:rPr>
          <w:rFonts w:hint="eastAsia" w:eastAsia="仿宋_GB2312"/>
          <w:color w:val="000000"/>
          <w:spacing w:val="17"/>
          <w:sz w:val="32"/>
          <w:szCs w:val="32"/>
          <w:highlight w:val="none"/>
          <w:lang w:eastAsia="zh-CN"/>
        </w:rPr>
        <w:t>绩效评价采用定量与定性相结合、书面评价与现场评价相结合的方式，</w:t>
      </w:r>
      <w:r>
        <w:rPr>
          <w:rFonts w:hint="eastAsia" w:eastAsia="仿宋_GB2312"/>
          <w:color w:val="000000"/>
          <w:spacing w:val="17"/>
          <w:sz w:val="32"/>
          <w:szCs w:val="32"/>
          <w:highlight w:val="none"/>
          <w:lang w:val="en-US" w:eastAsia="zh-CN"/>
        </w:rPr>
        <w:t>运用比较法、因素分析等方法进行评价</w:t>
      </w:r>
    </w:p>
    <w:p w14:paraId="1150129F">
      <w:pPr>
        <w:keepNext w:val="0"/>
        <w:keepLines w:val="0"/>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highlight w:val="none"/>
        </w:rPr>
      </w:pPr>
      <w:r>
        <w:rPr>
          <w:rFonts w:eastAsia="仿宋_GB2312"/>
          <w:color w:val="000000"/>
          <w:spacing w:val="17"/>
          <w:sz w:val="32"/>
          <w:szCs w:val="32"/>
          <w:highlight w:val="none"/>
        </w:rPr>
        <w:t>（1）比较法</w:t>
      </w:r>
    </w:p>
    <w:p w14:paraId="6BDFC84E">
      <w:pPr>
        <w:keepNext w:val="0"/>
        <w:keepLines w:val="0"/>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highlight w:val="none"/>
        </w:rPr>
      </w:pPr>
      <w:r>
        <w:rPr>
          <w:rFonts w:eastAsia="仿宋_GB2312"/>
          <w:color w:val="000000"/>
          <w:spacing w:val="17"/>
          <w:sz w:val="32"/>
          <w:szCs w:val="32"/>
          <w:highlight w:val="none"/>
        </w:rPr>
        <w:t>通过对绩效目标与实施效果、历史与当期情况，综合分析绩效目标实现程度。对</w:t>
      </w:r>
      <w:r>
        <w:rPr>
          <w:rFonts w:eastAsia="仿宋_GB2312"/>
          <w:sz w:val="32"/>
          <w:szCs w:val="32"/>
          <w:highlight w:val="none"/>
        </w:rPr>
        <w:t>项目</w:t>
      </w:r>
      <w:r>
        <w:rPr>
          <w:rFonts w:eastAsia="仿宋_GB2312"/>
          <w:color w:val="000000"/>
          <w:spacing w:val="17"/>
          <w:sz w:val="32"/>
          <w:szCs w:val="32"/>
          <w:highlight w:val="none"/>
        </w:rPr>
        <w:t>最终验收情况与年度绩效目标对比、预算资金执行情况等相关因素进行比较。</w:t>
      </w:r>
    </w:p>
    <w:p w14:paraId="5B8FBE8E">
      <w:pPr>
        <w:keepNext w:val="0"/>
        <w:keepLines w:val="0"/>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highlight w:val="none"/>
        </w:rPr>
      </w:pPr>
      <w:r>
        <w:rPr>
          <w:rFonts w:eastAsia="仿宋_GB2312"/>
          <w:color w:val="000000"/>
          <w:spacing w:val="17"/>
          <w:sz w:val="32"/>
          <w:szCs w:val="32"/>
          <w:highlight w:val="none"/>
        </w:rPr>
        <w:t>（2）因素分析法</w:t>
      </w:r>
    </w:p>
    <w:p w14:paraId="79A4C153">
      <w:pPr>
        <w:keepNext w:val="0"/>
        <w:keepLines w:val="0"/>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highlight w:val="none"/>
        </w:rPr>
      </w:pPr>
      <w:r>
        <w:rPr>
          <w:rFonts w:eastAsia="仿宋_GB2312"/>
          <w:color w:val="000000"/>
          <w:spacing w:val="17"/>
          <w:sz w:val="32"/>
          <w:szCs w:val="32"/>
          <w:highlight w:val="none"/>
        </w:rPr>
        <w:t>通过综合分析影响绩效目标实现、实施效果的内外因素，评价绩效目标实现程度。通过对</w:t>
      </w:r>
      <w:r>
        <w:rPr>
          <w:rFonts w:eastAsia="仿宋_GB2312"/>
          <w:sz w:val="32"/>
          <w:szCs w:val="32"/>
          <w:highlight w:val="none"/>
        </w:rPr>
        <w:t>项目</w:t>
      </w:r>
      <w:r>
        <w:rPr>
          <w:rFonts w:eastAsia="仿宋_GB2312"/>
          <w:color w:val="000000"/>
          <w:spacing w:val="17"/>
          <w:sz w:val="32"/>
          <w:szCs w:val="32"/>
          <w:highlight w:val="none"/>
        </w:rPr>
        <w:t>的开展情况、项目产出数量、成本控制、资金拨付文件及自评报告等相关资料的收集和审核，综合分析各因素对绩效目标实现的影响。</w:t>
      </w:r>
    </w:p>
    <w:p w14:paraId="483A35F7">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ascii="Times New Roman" w:hAnsi="Times New Roman" w:eastAsia="仿宋_GB2312"/>
          <w:b w:val="0"/>
          <w:bCs w:val="0"/>
          <w:highlight w:val="none"/>
        </w:rPr>
      </w:pPr>
      <w:r>
        <w:rPr>
          <w:rFonts w:ascii="Times New Roman" w:hAnsi="Times New Roman" w:eastAsia="仿宋_GB2312"/>
          <w:b w:val="0"/>
          <w:bCs w:val="0"/>
          <w:highlight w:val="none"/>
        </w:rPr>
        <w:t>4、评价标准</w:t>
      </w:r>
    </w:p>
    <w:p w14:paraId="3AEBC6BF">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FF0000"/>
          <w:sz w:val="32"/>
          <w:szCs w:val="32"/>
          <w:highlight w:val="none"/>
        </w:rPr>
      </w:pPr>
      <w:r>
        <w:rPr>
          <w:rFonts w:hint="eastAsia" w:ascii="仿宋_GB2312" w:hAnsi="仿宋_GB2312" w:eastAsia="仿宋_GB2312" w:cs="仿宋_GB2312"/>
          <w:sz w:val="32"/>
          <w:szCs w:val="32"/>
          <w:highlight w:val="none"/>
        </w:rPr>
        <w:t>绩效评价标准通常包括计划标准、行业标准、历史标准等，用于对绩效指标完成情况进行比较、分析、评价。本次</w:t>
      </w:r>
      <w:r>
        <w:rPr>
          <w:rFonts w:hint="eastAsia" w:ascii="仿宋_GB2312" w:hAnsi="仿宋_GB2312" w:eastAsia="仿宋_GB2312" w:cs="仿宋_GB2312"/>
          <w:color w:val="auto"/>
          <w:sz w:val="32"/>
          <w:szCs w:val="32"/>
          <w:highlight w:val="none"/>
        </w:rPr>
        <w:t>评价主要采用了</w:t>
      </w:r>
      <w:r>
        <w:rPr>
          <w:rFonts w:hint="eastAsia" w:ascii="仿宋_GB2312" w:hAnsi="仿宋_GB2312" w:eastAsia="仿宋_GB2312" w:cs="仿宋_GB2312"/>
          <w:color w:val="auto"/>
          <w:sz w:val="32"/>
          <w:szCs w:val="32"/>
          <w:highlight w:val="none"/>
          <w:lang w:val="en-US" w:eastAsia="zh-CN"/>
        </w:rPr>
        <w:t>计划标准</w:t>
      </w:r>
    </w:p>
    <w:p w14:paraId="7AEE7028">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bookmarkStart w:id="1" w:name="_Toc31464"/>
      <w:bookmarkStart w:id="2" w:name="_Toc17882"/>
      <w:r>
        <w:rPr>
          <w:rFonts w:hint="eastAsia" w:ascii="仿宋_GB2312" w:hAnsi="仿宋_GB2312" w:eastAsia="仿宋_GB2312" w:cs="仿宋_GB2312"/>
          <w:b/>
          <w:bCs/>
          <w:sz w:val="32"/>
          <w:szCs w:val="32"/>
          <w:highlight w:val="none"/>
        </w:rPr>
        <w:t>计划标准：</w:t>
      </w:r>
      <w:r>
        <w:rPr>
          <w:rFonts w:hint="eastAsia" w:ascii="仿宋_GB2312" w:hAnsi="仿宋_GB2312" w:eastAsia="仿宋_GB2312" w:cs="仿宋_GB2312"/>
          <w:sz w:val="32"/>
          <w:szCs w:val="32"/>
          <w:highlight w:val="none"/>
        </w:rPr>
        <w:t>指以预先制定的目标、计划、预算、定额等作为评价标准。</w:t>
      </w:r>
      <w:bookmarkEnd w:id="1"/>
      <w:bookmarkEnd w:id="2"/>
    </w:p>
    <w:p w14:paraId="6A96054B">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bookmarkStart w:id="3" w:name="_Toc2318"/>
      <w:bookmarkStart w:id="4" w:name="_Toc5633"/>
      <w:r>
        <w:rPr>
          <w:rFonts w:hint="eastAsia" w:ascii="仿宋_GB2312" w:hAnsi="仿宋_GB2312" w:eastAsia="仿宋_GB2312" w:cs="仿宋_GB2312"/>
          <w:b/>
          <w:bCs/>
          <w:sz w:val="32"/>
          <w:szCs w:val="32"/>
          <w:highlight w:val="none"/>
        </w:rPr>
        <w:t>行业标准：</w:t>
      </w:r>
      <w:r>
        <w:rPr>
          <w:rFonts w:hint="eastAsia" w:ascii="仿宋_GB2312" w:hAnsi="仿宋_GB2312" w:eastAsia="仿宋_GB2312" w:cs="仿宋_GB2312"/>
          <w:sz w:val="32"/>
          <w:szCs w:val="32"/>
          <w:highlight w:val="none"/>
        </w:rPr>
        <w:t>指参照国家公布的行业指标数据制定的评价标准。</w:t>
      </w:r>
      <w:bookmarkEnd w:id="3"/>
      <w:bookmarkEnd w:id="4"/>
    </w:p>
    <w:p w14:paraId="56E077F7">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bookmarkStart w:id="5" w:name="_Toc16028"/>
      <w:bookmarkStart w:id="6" w:name="_Toc430"/>
      <w:r>
        <w:rPr>
          <w:rFonts w:hint="eastAsia" w:ascii="仿宋_GB2312" w:hAnsi="仿宋_GB2312" w:eastAsia="仿宋_GB2312" w:cs="仿宋_GB2312"/>
          <w:b/>
          <w:bCs/>
          <w:sz w:val="32"/>
          <w:szCs w:val="32"/>
          <w:highlight w:val="none"/>
        </w:rPr>
        <w:t>历史标准：</w:t>
      </w:r>
      <w:r>
        <w:rPr>
          <w:rFonts w:hint="eastAsia" w:ascii="仿宋_GB2312" w:hAnsi="仿宋_GB2312" w:eastAsia="仿宋_GB2312" w:cs="仿宋_GB2312"/>
          <w:sz w:val="32"/>
          <w:szCs w:val="32"/>
          <w:highlight w:val="none"/>
        </w:rPr>
        <w:t>指参照历史数据制定的评价标准，为体现绩效改进的原则，在可实现的条件下应当确定相对较高的评价标准。</w:t>
      </w:r>
      <w:bookmarkEnd w:id="5"/>
      <w:bookmarkEnd w:id="6"/>
    </w:p>
    <w:p w14:paraId="10A004E3">
      <w:pPr>
        <w:pStyle w:val="2"/>
        <w:keepNext w:val="0"/>
        <w:keepLines w:val="0"/>
        <w:pageBreakBefore w:val="0"/>
        <w:numPr>
          <w:ilvl w:val="0"/>
          <w:numId w:val="1"/>
        </w:numPr>
        <w:kinsoku/>
        <w:wordWrap/>
        <w:overflowPunct/>
        <w:topLinePunct w:val="0"/>
        <w:autoSpaceDE/>
        <w:autoSpaceDN/>
        <w:bidi w:val="0"/>
        <w:adjustRightInd/>
        <w:snapToGrid/>
        <w:spacing w:before="0" w:after="0" w:line="560" w:lineRule="exact"/>
        <w:ind w:firstLine="711" w:firstLineChars="200"/>
        <w:jc w:val="both"/>
        <w:textAlignment w:val="auto"/>
        <w:rPr>
          <w:rFonts w:ascii="楷体" w:hAnsi="楷体" w:eastAsia="楷体" w:cs="楷体"/>
          <w:color w:val="000000"/>
          <w:spacing w:val="17"/>
          <w:highlight w:val="none"/>
        </w:rPr>
      </w:pPr>
      <w:r>
        <w:rPr>
          <w:rFonts w:hint="eastAsia" w:ascii="楷体" w:hAnsi="楷体" w:eastAsia="楷体" w:cs="楷体"/>
          <w:color w:val="000000"/>
          <w:spacing w:val="17"/>
          <w:highlight w:val="none"/>
        </w:rPr>
        <w:t>绩效评价工作过程</w:t>
      </w:r>
    </w:p>
    <w:p w14:paraId="6B87250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eastAsia="仿宋_GB2312"/>
          <w:bCs/>
          <w:sz w:val="32"/>
          <w:szCs w:val="32"/>
          <w:highlight w:val="none"/>
        </w:rPr>
      </w:pPr>
      <w:r>
        <w:rPr>
          <w:rFonts w:hint="default" w:eastAsia="仿宋_GB2312"/>
          <w:bCs/>
          <w:sz w:val="32"/>
          <w:szCs w:val="32"/>
          <w:highlight w:val="none"/>
          <w:lang w:val="en"/>
        </w:rPr>
        <w:t>1.</w:t>
      </w:r>
      <w:r>
        <w:rPr>
          <w:rFonts w:hint="eastAsia" w:eastAsia="仿宋_GB2312"/>
          <w:bCs/>
          <w:sz w:val="32"/>
          <w:szCs w:val="32"/>
          <w:highlight w:val="none"/>
        </w:rPr>
        <w:t>前期准备。首先成立评价工作组，开展前期调研；其次明确项目绩效目标，设计绩效评价指标体系并确定绩效评价方法；接着确定现场和非现场评价范围，设计资料清单；最后制定评价实施方案并进行论证。</w:t>
      </w:r>
    </w:p>
    <w:p w14:paraId="1CE5D1D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150"/>
        <w:textAlignment w:val="auto"/>
        <w:rPr>
          <w:rFonts w:hint="default" w:eastAsia="仿宋_GB2312"/>
          <w:bCs/>
          <w:sz w:val="32"/>
          <w:szCs w:val="32"/>
          <w:highlight w:val="none"/>
          <w:lang w:val="en"/>
        </w:rPr>
      </w:pPr>
      <w:r>
        <w:rPr>
          <w:rFonts w:hint="default" w:eastAsia="仿宋_GB2312"/>
          <w:bCs/>
          <w:sz w:val="32"/>
          <w:szCs w:val="32"/>
          <w:highlight w:val="none"/>
          <w:lang w:val="en"/>
        </w:rPr>
        <w:t>2.</w:t>
      </w:r>
      <w:r>
        <w:rPr>
          <w:rFonts w:hint="eastAsia" w:eastAsia="仿宋_GB2312"/>
          <w:bCs/>
          <w:sz w:val="32"/>
          <w:szCs w:val="32"/>
          <w:highlight w:val="none"/>
        </w:rPr>
        <w:t>组织实施。制定绩效评价工作方案，具体包括项目概况、评价思路、方法手段、组织实施、进度安排等。收集项目立项依据、相关会议纪要、实施方案、财政资金分配方案、支付管理情况等相关评价资料并进行梳理。</w:t>
      </w:r>
      <w:r>
        <w:rPr>
          <w:rFonts w:hint="default" w:eastAsia="仿宋_GB2312"/>
          <w:bCs/>
          <w:sz w:val="32"/>
          <w:szCs w:val="32"/>
          <w:highlight w:val="none"/>
          <w:lang w:val="en"/>
        </w:rPr>
        <w:t xml:space="preserve">  </w:t>
      </w:r>
    </w:p>
    <w:p w14:paraId="3447E32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150"/>
        <w:textAlignment w:val="auto"/>
        <w:rPr>
          <w:sz w:val="32"/>
          <w:szCs w:val="32"/>
          <w:highlight w:val="none"/>
        </w:rPr>
      </w:pPr>
      <w:r>
        <w:rPr>
          <w:rFonts w:hint="default" w:eastAsia="仿宋_GB2312"/>
          <w:bCs/>
          <w:sz w:val="32"/>
          <w:szCs w:val="32"/>
          <w:highlight w:val="none"/>
          <w:lang w:val="en"/>
        </w:rPr>
        <w:t>3.</w:t>
      </w:r>
      <w:r>
        <w:rPr>
          <w:rFonts w:hint="eastAsia" w:eastAsia="仿宋_GB2312"/>
          <w:bCs/>
          <w:sz w:val="32"/>
          <w:szCs w:val="32"/>
          <w:highlight w:val="none"/>
        </w:rPr>
        <w:t>分析评价。根据收集梳理的资料围绕项目立项、资金落实、业务管理、财务管理、项目产出、项目效益等内容，对照已确定的绩效评价指标进行详细全面的分析评价，逐项打分并形成绩效评价最终结果。</w:t>
      </w:r>
    </w:p>
    <w:p w14:paraId="7014CB5A">
      <w:pPr>
        <w:keepNext w:val="0"/>
        <w:keepLines w:val="0"/>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eastAsia="黑体"/>
          <w:sz w:val="32"/>
          <w:szCs w:val="32"/>
          <w:highlight w:val="none"/>
        </w:rPr>
      </w:pPr>
      <w:r>
        <w:rPr>
          <w:rFonts w:eastAsia="黑体"/>
          <w:sz w:val="32"/>
          <w:szCs w:val="32"/>
          <w:highlight w:val="none"/>
        </w:rPr>
        <w:t>综合评价情况及评价结论（附相关评分表）</w:t>
      </w:r>
    </w:p>
    <w:p w14:paraId="19CA22CF">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highlight w:val="none"/>
          <w:lang w:val="en-US" w:eastAsia="zh-CN"/>
        </w:rPr>
      </w:pPr>
      <w:r>
        <w:rPr>
          <w:rFonts w:hint="eastAsia" w:ascii="Times New Roman" w:hAnsi="Times New Roman" w:eastAsia="楷体_GB2312"/>
          <w:highlight w:val="none"/>
          <w:lang w:eastAsia="zh-CN"/>
        </w:rPr>
        <w:t>（</w:t>
      </w:r>
      <w:r>
        <w:rPr>
          <w:rFonts w:hint="eastAsia" w:ascii="Times New Roman" w:hAnsi="Times New Roman" w:eastAsia="楷体_GB2312"/>
          <w:highlight w:val="none"/>
          <w:lang w:val="en-US" w:eastAsia="zh-CN"/>
        </w:rPr>
        <w:t>一</w:t>
      </w:r>
      <w:r>
        <w:rPr>
          <w:rFonts w:hint="eastAsia" w:ascii="Times New Roman" w:hAnsi="Times New Roman" w:eastAsia="楷体_GB2312"/>
          <w:highlight w:val="none"/>
          <w:lang w:eastAsia="zh-CN"/>
        </w:rPr>
        <w:t>）</w:t>
      </w:r>
      <w:r>
        <w:rPr>
          <w:rFonts w:hint="eastAsia" w:ascii="Times New Roman" w:hAnsi="Times New Roman" w:eastAsia="楷体_GB2312"/>
          <w:highlight w:val="none"/>
          <w:lang w:val="en-US" w:eastAsia="zh-CN"/>
        </w:rPr>
        <w:t>评价情况</w:t>
      </w:r>
    </w:p>
    <w:p w14:paraId="3AA2BFE3">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Times New Roman" w:hAnsi="Times New Roman" w:eastAsia="仿宋_GB2312" w:cs="Times New Roman"/>
          <w:b w:val="0"/>
          <w:bCs w:val="0"/>
          <w:kern w:val="28"/>
          <w:sz w:val="32"/>
          <w:szCs w:val="32"/>
          <w:highlight w:val="none"/>
          <w:lang w:val="en-US" w:eastAsia="zh-CN" w:bidi="ar-SA"/>
        </w:rPr>
      </w:pPr>
      <w:r>
        <w:rPr>
          <w:rFonts w:hint="eastAsia" w:ascii="Times New Roman" w:hAnsi="Times New Roman" w:eastAsia="仿宋_GB2312" w:cs="Times New Roman"/>
          <w:b w:val="0"/>
          <w:bCs w:val="0"/>
          <w:kern w:val="28"/>
          <w:sz w:val="32"/>
          <w:szCs w:val="32"/>
          <w:highlight w:val="none"/>
          <w:lang w:val="en-US" w:eastAsia="zh-CN" w:bidi="ar-SA"/>
        </w:rPr>
        <w:t>项目总体组织规范，在项目实施过</w:t>
      </w:r>
      <w:r>
        <w:rPr>
          <w:rFonts w:hint="eastAsia" w:eastAsia="仿宋_GB2312" w:cs="Times New Roman"/>
          <w:b w:val="0"/>
          <w:bCs w:val="0"/>
          <w:kern w:val="28"/>
          <w:sz w:val="32"/>
          <w:szCs w:val="32"/>
          <w:highlight w:val="none"/>
          <w:lang w:val="en-US" w:eastAsia="zh-CN" w:bidi="ar-SA"/>
        </w:rPr>
        <w:t>程中</w:t>
      </w:r>
      <w:r>
        <w:rPr>
          <w:rFonts w:hint="eastAsia" w:ascii="Times New Roman" w:hAnsi="Times New Roman" w:eastAsia="仿宋_GB2312" w:cs="Times New Roman"/>
          <w:b w:val="0"/>
          <w:bCs w:val="0"/>
          <w:kern w:val="28"/>
          <w:sz w:val="32"/>
          <w:szCs w:val="32"/>
          <w:highlight w:val="none"/>
          <w:lang w:val="en-US" w:eastAsia="zh-CN" w:bidi="ar-SA"/>
        </w:rPr>
        <w:t>做到认真履职，监督到位。按照相关制度的要求，项目负责人对项目绩效监控执行情况进行跟踪监督，有效完成了本项目的工作目标，确保资金使用安全和最大效益</w:t>
      </w:r>
      <w:r>
        <w:rPr>
          <w:rFonts w:hint="eastAsia" w:eastAsia="仿宋_GB2312" w:cs="Times New Roman"/>
          <w:b w:val="0"/>
          <w:bCs w:val="0"/>
          <w:kern w:val="28"/>
          <w:sz w:val="32"/>
          <w:szCs w:val="32"/>
          <w:highlight w:val="none"/>
          <w:lang w:val="en-US" w:eastAsia="zh-CN" w:bidi="ar-SA"/>
        </w:rPr>
        <w:t>地</w:t>
      </w:r>
      <w:r>
        <w:rPr>
          <w:rFonts w:hint="eastAsia" w:ascii="Times New Roman" w:hAnsi="Times New Roman" w:eastAsia="仿宋_GB2312" w:cs="Times New Roman"/>
          <w:b w:val="0"/>
          <w:bCs w:val="0"/>
          <w:kern w:val="28"/>
          <w:sz w:val="32"/>
          <w:szCs w:val="32"/>
          <w:highlight w:val="none"/>
          <w:lang w:val="en-US" w:eastAsia="zh-CN" w:bidi="ar-SA"/>
        </w:rPr>
        <w:t>发挥，保障项目如期按要求完成。规范了项目档案资料的整理。项目的实施达到</w:t>
      </w:r>
      <w:r>
        <w:rPr>
          <w:rFonts w:hint="eastAsia" w:eastAsia="仿宋_GB2312" w:cs="Times New Roman"/>
          <w:b w:val="0"/>
          <w:bCs w:val="0"/>
          <w:kern w:val="28"/>
          <w:sz w:val="32"/>
          <w:szCs w:val="32"/>
          <w:highlight w:val="none"/>
          <w:lang w:val="en-US" w:eastAsia="zh-CN" w:bidi="ar-SA"/>
        </w:rPr>
        <w:t>了</w:t>
      </w:r>
      <w:r>
        <w:rPr>
          <w:rFonts w:hint="eastAsia" w:ascii="Times New Roman" w:hAnsi="Times New Roman" w:eastAsia="仿宋_GB2312" w:cs="Times New Roman"/>
          <w:b w:val="0"/>
          <w:bCs w:val="0"/>
          <w:kern w:val="28"/>
          <w:sz w:val="32"/>
          <w:szCs w:val="32"/>
          <w:highlight w:val="none"/>
          <w:lang w:val="en-US" w:eastAsia="zh-CN" w:bidi="ar-SA"/>
        </w:rPr>
        <w:t>项目预期效果。</w:t>
      </w:r>
    </w:p>
    <w:p w14:paraId="278243E1">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s="Times New Roman"/>
          <w:highlight w:val="none"/>
          <w:lang w:val="en-US" w:eastAsia="zh-CN"/>
        </w:rPr>
      </w:pPr>
      <w:r>
        <w:rPr>
          <w:rFonts w:hint="eastAsia" w:ascii="Times New Roman" w:hAnsi="Times New Roman" w:eastAsia="楷体_GB2312" w:cs="Times New Roman"/>
          <w:highlight w:val="none"/>
          <w:lang w:eastAsia="zh-CN"/>
        </w:rPr>
        <w:t>（</w:t>
      </w:r>
      <w:r>
        <w:rPr>
          <w:rFonts w:hint="eastAsia" w:ascii="Times New Roman" w:hAnsi="Times New Roman" w:eastAsia="楷体_GB2312" w:cs="Times New Roman"/>
          <w:highlight w:val="none"/>
          <w:lang w:val="en-US" w:eastAsia="zh-CN"/>
        </w:rPr>
        <w:t>二</w:t>
      </w:r>
      <w:r>
        <w:rPr>
          <w:rFonts w:hint="eastAsia" w:ascii="Times New Roman" w:hAnsi="Times New Roman" w:eastAsia="楷体_GB2312" w:cs="Times New Roman"/>
          <w:highlight w:val="none"/>
          <w:lang w:eastAsia="zh-CN"/>
        </w:rPr>
        <w:t>）</w:t>
      </w:r>
      <w:r>
        <w:rPr>
          <w:rFonts w:hint="eastAsia" w:ascii="Times New Roman" w:hAnsi="Times New Roman" w:eastAsia="楷体_GB2312" w:cs="Times New Roman"/>
          <w:highlight w:val="none"/>
          <w:lang w:val="en-US" w:eastAsia="zh-CN"/>
        </w:rPr>
        <w:t>评价结论</w:t>
      </w:r>
    </w:p>
    <w:p w14:paraId="0CE5EBA3">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运用绩效评价组制定的评价指标体系以及财政部《项目支出绩效评价管理办法》（财预〔2020〕10号）文件的评分标准，通过数据采集、问卷调查及访谈等方式，</w:t>
      </w:r>
      <w:r>
        <w:rPr>
          <w:rFonts w:ascii="Times New Roman" w:hAnsi="Times New Roman" w:eastAsia="仿宋_GB2312"/>
          <w:b w:val="0"/>
          <w:bCs w:val="0"/>
          <w:highlight w:val="none"/>
        </w:rPr>
        <w:t>对</w:t>
      </w:r>
      <w:r>
        <w:rPr>
          <w:rFonts w:hint="eastAsia" w:ascii="Times New Roman" w:hAnsi="Times New Roman" w:eastAsia="仿宋_GB2312"/>
          <w:b w:val="0"/>
          <w:bCs w:val="0"/>
          <w:highlight w:val="none"/>
        </w:rPr>
        <w:t>202</w:t>
      </w:r>
      <w:r>
        <w:rPr>
          <w:rFonts w:hint="eastAsia" w:ascii="Times New Roman" w:hAnsi="Times New Roman" w:eastAsia="仿宋_GB2312"/>
          <w:b w:val="0"/>
          <w:bCs w:val="0"/>
          <w:highlight w:val="none"/>
          <w:lang w:val="en-US" w:eastAsia="zh-CN"/>
        </w:rPr>
        <w:t>3</w:t>
      </w:r>
      <w:r>
        <w:rPr>
          <w:rFonts w:hint="eastAsia" w:ascii="Times New Roman" w:hAnsi="Times New Roman" w:eastAsia="仿宋_GB2312"/>
          <w:b w:val="0"/>
          <w:bCs w:val="0"/>
          <w:highlight w:val="none"/>
        </w:rPr>
        <w:t>年自治区市场监管局信息化基础运维</w:t>
      </w:r>
      <w:r>
        <w:rPr>
          <w:rFonts w:hint="eastAsia" w:ascii="Times New Roman" w:hAnsi="Times New Roman" w:eastAsia="仿宋_GB2312"/>
          <w:b w:val="0"/>
          <w:bCs w:val="0"/>
          <w:highlight w:val="none"/>
          <w:lang w:eastAsia="zh-CN"/>
        </w:rPr>
        <w:t>项目进行</w:t>
      </w:r>
      <w:r>
        <w:rPr>
          <w:rFonts w:ascii="Times New Roman" w:hAnsi="Times New Roman" w:eastAsia="仿宋_GB2312"/>
          <w:b w:val="0"/>
          <w:bCs w:val="0"/>
          <w:highlight w:val="none"/>
        </w:rPr>
        <w:t>客观评价，</w:t>
      </w:r>
      <w:r>
        <w:rPr>
          <w:rFonts w:hint="eastAsia" w:ascii="Times New Roman" w:hAnsi="Times New Roman" w:eastAsia="仿宋_GB2312"/>
          <w:b w:val="0"/>
          <w:bCs w:val="0"/>
          <w:highlight w:val="none"/>
        </w:rPr>
        <w:t>最终评分结果：总得分为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分，属于“优”。其中，项目决策类指标权重为20分，得分为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%。项目过程类指标权重为20分，得分为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%。项目产出类指标权重为40分，得分为</w:t>
      </w:r>
      <w:r>
        <w:rPr>
          <w:rFonts w:hint="eastAsia" w:ascii="Times New Roman" w:hAnsi="Times New Roman" w:eastAsia="仿宋_GB2312"/>
          <w:b w:val="0"/>
          <w:bCs w:val="0"/>
          <w:highlight w:val="none"/>
          <w:lang w:val="en-US" w:eastAsia="zh-CN"/>
        </w:rPr>
        <w:t>40</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%。项目效益类指标权重为20分，得分为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%。具体打分情况详见：</w:t>
      </w:r>
      <w:r>
        <w:rPr>
          <w:rFonts w:hint="eastAsia" w:ascii="Times New Roman" w:hAnsi="Times New Roman" w:eastAsia="仿宋_GB2312"/>
          <w:b w:val="0"/>
          <w:bCs w:val="0"/>
          <w:highlight w:val="none"/>
          <w:lang w:eastAsia="zh-CN"/>
        </w:rPr>
        <w:t>表</w:t>
      </w:r>
      <w:r>
        <w:rPr>
          <w:rFonts w:hint="eastAsia" w:ascii="Times New Roman" w:hAnsi="Times New Roman" w:eastAsia="仿宋_GB2312"/>
          <w:b w:val="0"/>
          <w:bCs w:val="0"/>
          <w:highlight w:val="none"/>
        </w:rPr>
        <w:t>1综合评分表</w:t>
      </w:r>
      <w:r>
        <w:rPr>
          <w:rFonts w:hint="eastAsia" w:ascii="Times New Roman" w:hAnsi="Times New Roman" w:eastAsia="仿宋_GB2312"/>
          <w:b w:val="0"/>
          <w:bCs w:val="0"/>
          <w:highlight w:val="none"/>
          <w:lang w:eastAsia="zh-CN"/>
        </w:rPr>
        <w:t>。</w:t>
      </w:r>
    </w:p>
    <w:p w14:paraId="0B1DE05E">
      <w:pPr>
        <w:pStyle w:val="2"/>
        <w:widowControl w:val="0"/>
        <w:spacing w:before="0" w:after="0" w:line="560" w:lineRule="exact"/>
        <w:ind w:firstLine="602" w:firstLineChars="200"/>
        <w:jc w:val="center"/>
        <w:outlineLvl w:val="9"/>
        <w:rPr>
          <w:rFonts w:ascii="Times New Roman" w:hAnsi="Times New Roman" w:eastAsia="仿宋_GB2312"/>
          <w:sz w:val="30"/>
          <w:szCs w:val="30"/>
          <w:highlight w:val="none"/>
        </w:rPr>
      </w:pPr>
      <w:r>
        <w:rPr>
          <w:rFonts w:ascii="Times New Roman" w:hAnsi="Times New Roman" w:eastAsia="仿宋_GB2312"/>
          <w:sz w:val="30"/>
          <w:szCs w:val="30"/>
          <w:highlight w:val="none"/>
        </w:rPr>
        <w:t>表1综合评分表</w:t>
      </w:r>
    </w:p>
    <w:p w14:paraId="075061A6">
      <w:pPr>
        <w:rPr>
          <w:highlight w:val="none"/>
        </w:rPr>
      </w:pPr>
    </w:p>
    <w:tbl>
      <w:tblPr>
        <w:tblStyle w:val="21"/>
        <w:tblpPr w:leftFromText="180" w:rightFromText="180" w:vertAnchor="text" w:horzAnchor="page" w:tblpX="1698" w:tblpY="-67"/>
        <w:tblOverlap w:val="never"/>
        <w:tblW w:w="927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0"/>
        <w:gridCol w:w="662"/>
        <w:gridCol w:w="1038"/>
        <w:gridCol w:w="1952"/>
        <w:gridCol w:w="727"/>
        <w:gridCol w:w="1044"/>
        <w:gridCol w:w="924"/>
        <w:gridCol w:w="1215"/>
        <w:gridCol w:w="960"/>
      </w:tblGrid>
      <w:tr w14:paraId="522933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blHeader/>
        </w:trPr>
        <w:tc>
          <w:tcPr>
            <w:tcW w:w="750" w:type="dxa"/>
            <w:shd w:val="clear" w:color="auto" w:fill="BFBFBF"/>
            <w:vAlign w:val="center"/>
          </w:tcPr>
          <w:p w14:paraId="67C0EA7E">
            <w:pPr>
              <w:widowControl/>
              <w:spacing w:line="0" w:lineRule="atLeast"/>
              <w:rPr>
                <w:b/>
                <w:bCs/>
                <w:color w:val="000000"/>
                <w:kern w:val="0"/>
                <w:sz w:val="22"/>
                <w:szCs w:val="22"/>
                <w:highlight w:val="none"/>
              </w:rPr>
            </w:pPr>
            <w:r>
              <w:rPr>
                <w:b/>
                <w:bCs/>
                <w:color w:val="000000"/>
                <w:kern w:val="0"/>
                <w:sz w:val="22"/>
                <w:szCs w:val="22"/>
                <w:highlight w:val="none"/>
              </w:rPr>
              <w:t>一级指标</w:t>
            </w:r>
          </w:p>
        </w:tc>
        <w:tc>
          <w:tcPr>
            <w:tcW w:w="662" w:type="dxa"/>
            <w:shd w:val="clear" w:color="auto" w:fill="BFBFBF"/>
            <w:vAlign w:val="center"/>
          </w:tcPr>
          <w:p w14:paraId="685DC10C">
            <w:pPr>
              <w:widowControl/>
              <w:spacing w:line="0" w:lineRule="atLeast"/>
              <w:jc w:val="center"/>
              <w:rPr>
                <w:b/>
                <w:bCs/>
                <w:color w:val="000000"/>
                <w:kern w:val="0"/>
                <w:sz w:val="22"/>
                <w:szCs w:val="22"/>
                <w:highlight w:val="none"/>
              </w:rPr>
            </w:pPr>
            <w:r>
              <w:rPr>
                <w:b/>
                <w:bCs/>
                <w:color w:val="000000"/>
                <w:kern w:val="0"/>
                <w:sz w:val="22"/>
                <w:szCs w:val="22"/>
                <w:highlight w:val="none"/>
              </w:rPr>
              <w:t>分值</w:t>
            </w:r>
          </w:p>
        </w:tc>
        <w:tc>
          <w:tcPr>
            <w:tcW w:w="1038" w:type="dxa"/>
            <w:shd w:val="clear" w:color="auto" w:fill="BFBFBF"/>
            <w:vAlign w:val="center"/>
          </w:tcPr>
          <w:p w14:paraId="4A5BD1DB">
            <w:pPr>
              <w:widowControl/>
              <w:spacing w:line="0" w:lineRule="atLeast"/>
              <w:jc w:val="center"/>
              <w:rPr>
                <w:b/>
                <w:bCs/>
                <w:color w:val="000000"/>
                <w:kern w:val="0"/>
                <w:sz w:val="22"/>
                <w:szCs w:val="22"/>
                <w:highlight w:val="none"/>
              </w:rPr>
            </w:pPr>
            <w:r>
              <w:rPr>
                <w:b/>
                <w:bCs/>
                <w:color w:val="000000"/>
                <w:kern w:val="0"/>
                <w:sz w:val="22"/>
                <w:szCs w:val="22"/>
                <w:highlight w:val="none"/>
              </w:rPr>
              <w:t>二级指标</w:t>
            </w:r>
          </w:p>
        </w:tc>
        <w:tc>
          <w:tcPr>
            <w:tcW w:w="1952" w:type="dxa"/>
            <w:shd w:val="clear" w:color="auto" w:fill="BFBFBF"/>
            <w:vAlign w:val="center"/>
          </w:tcPr>
          <w:p w14:paraId="6E1F697B">
            <w:pPr>
              <w:widowControl/>
              <w:spacing w:line="0" w:lineRule="atLeast"/>
              <w:jc w:val="center"/>
              <w:rPr>
                <w:b/>
                <w:bCs/>
                <w:color w:val="000000"/>
                <w:kern w:val="0"/>
                <w:sz w:val="22"/>
                <w:szCs w:val="22"/>
                <w:highlight w:val="none"/>
              </w:rPr>
            </w:pPr>
            <w:r>
              <w:rPr>
                <w:b/>
                <w:bCs/>
                <w:color w:val="000000"/>
                <w:kern w:val="0"/>
                <w:sz w:val="22"/>
                <w:szCs w:val="22"/>
                <w:highlight w:val="none"/>
              </w:rPr>
              <w:t>三级指标</w:t>
            </w:r>
          </w:p>
        </w:tc>
        <w:tc>
          <w:tcPr>
            <w:tcW w:w="727" w:type="dxa"/>
            <w:shd w:val="clear" w:color="auto" w:fill="BFBFBF"/>
            <w:vAlign w:val="center"/>
          </w:tcPr>
          <w:p w14:paraId="030ACCBC">
            <w:pPr>
              <w:widowControl/>
              <w:spacing w:line="0" w:lineRule="atLeast"/>
              <w:jc w:val="center"/>
              <w:rPr>
                <w:b/>
                <w:bCs/>
                <w:color w:val="000000"/>
                <w:kern w:val="0"/>
                <w:sz w:val="22"/>
                <w:szCs w:val="22"/>
                <w:highlight w:val="none"/>
              </w:rPr>
            </w:pPr>
            <w:r>
              <w:rPr>
                <w:b/>
                <w:bCs/>
                <w:color w:val="000000"/>
                <w:kern w:val="0"/>
                <w:sz w:val="22"/>
                <w:szCs w:val="22"/>
                <w:highlight w:val="none"/>
              </w:rPr>
              <w:t>权重</w:t>
            </w:r>
          </w:p>
        </w:tc>
        <w:tc>
          <w:tcPr>
            <w:tcW w:w="1044" w:type="dxa"/>
            <w:shd w:val="clear" w:color="auto" w:fill="BFBFBF"/>
            <w:vAlign w:val="center"/>
          </w:tcPr>
          <w:p w14:paraId="70946F9F">
            <w:pPr>
              <w:widowControl/>
              <w:tabs>
                <w:tab w:val="left" w:pos="1333"/>
                <w:tab w:val="center" w:pos="3623"/>
              </w:tabs>
              <w:spacing w:line="0" w:lineRule="atLeast"/>
              <w:jc w:val="center"/>
              <w:rPr>
                <w:b/>
                <w:bCs/>
                <w:color w:val="000000"/>
                <w:kern w:val="0"/>
                <w:sz w:val="22"/>
                <w:szCs w:val="22"/>
                <w:highlight w:val="none"/>
              </w:rPr>
            </w:pPr>
            <w:r>
              <w:rPr>
                <w:b/>
                <w:bCs/>
                <w:color w:val="000000"/>
                <w:kern w:val="0"/>
                <w:sz w:val="22"/>
                <w:szCs w:val="22"/>
                <w:highlight w:val="none"/>
              </w:rPr>
              <w:t>目标值</w:t>
            </w:r>
          </w:p>
        </w:tc>
        <w:tc>
          <w:tcPr>
            <w:tcW w:w="924" w:type="dxa"/>
            <w:shd w:val="clear" w:color="auto" w:fill="BFBFBF"/>
            <w:vAlign w:val="center"/>
          </w:tcPr>
          <w:p w14:paraId="5CFC4717">
            <w:pPr>
              <w:widowControl/>
              <w:tabs>
                <w:tab w:val="left" w:pos="1333"/>
                <w:tab w:val="center" w:pos="3623"/>
              </w:tabs>
              <w:spacing w:line="0" w:lineRule="atLeast"/>
              <w:jc w:val="center"/>
              <w:rPr>
                <w:b/>
                <w:bCs/>
                <w:color w:val="000000"/>
                <w:kern w:val="0"/>
                <w:sz w:val="22"/>
                <w:szCs w:val="22"/>
                <w:highlight w:val="none"/>
              </w:rPr>
            </w:pPr>
            <w:r>
              <w:rPr>
                <w:b/>
                <w:bCs/>
                <w:color w:val="000000"/>
                <w:kern w:val="0"/>
                <w:sz w:val="22"/>
                <w:szCs w:val="22"/>
                <w:highlight w:val="none"/>
              </w:rPr>
              <w:t>业绩值</w:t>
            </w:r>
          </w:p>
        </w:tc>
        <w:tc>
          <w:tcPr>
            <w:tcW w:w="1215" w:type="dxa"/>
            <w:shd w:val="clear" w:color="auto" w:fill="BFBFBF"/>
            <w:vAlign w:val="center"/>
          </w:tcPr>
          <w:p w14:paraId="06D5718B">
            <w:pPr>
              <w:widowControl/>
              <w:tabs>
                <w:tab w:val="left" w:pos="1333"/>
                <w:tab w:val="center" w:pos="3623"/>
              </w:tabs>
              <w:spacing w:line="0" w:lineRule="atLeast"/>
              <w:jc w:val="center"/>
              <w:rPr>
                <w:b/>
                <w:bCs/>
                <w:color w:val="000000"/>
                <w:kern w:val="0"/>
                <w:sz w:val="22"/>
                <w:szCs w:val="22"/>
                <w:highlight w:val="none"/>
              </w:rPr>
            </w:pPr>
            <w:r>
              <w:rPr>
                <w:b/>
                <w:bCs/>
                <w:color w:val="000000"/>
                <w:kern w:val="0"/>
                <w:sz w:val="22"/>
                <w:szCs w:val="22"/>
                <w:highlight w:val="none"/>
              </w:rPr>
              <w:t>得分率</w:t>
            </w:r>
          </w:p>
        </w:tc>
        <w:tc>
          <w:tcPr>
            <w:tcW w:w="960" w:type="dxa"/>
            <w:shd w:val="clear" w:color="auto" w:fill="BFBFBF"/>
            <w:vAlign w:val="center"/>
          </w:tcPr>
          <w:p w14:paraId="4A7CED38">
            <w:pPr>
              <w:widowControl/>
              <w:tabs>
                <w:tab w:val="left" w:pos="1333"/>
                <w:tab w:val="center" w:pos="3623"/>
              </w:tabs>
              <w:spacing w:line="0" w:lineRule="atLeast"/>
              <w:jc w:val="center"/>
              <w:rPr>
                <w:b/>
                <w:bCs/>
                <w:color w:val="000000"/>
                <w:kern w:val="0"/>
                <w:sz w:val="22"/>
                <w:szCs w:val="22"/>
                <w:highlight w:val="none"/>
              </w:rPr>
            </w:pPr>
            <w:r>
              <w:rPr>
                <w:b/>
                <w:bCs/>
                <w:color w:val="000000"/>
                <w:kern w:val="0"/>
                <w:sz w:val="22"/>
                <w:szCs w:val="22"/>
                <w:highlight w:val="none"/>
              </w:rPr>
              <w:t>得分</w:t>
            </w:r>
          </w:p>
        </w:tc>
      </w:tr>
      <w:tr w14:paraId="2F4191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750" w:type="dxa"/>
            <w:vMerge w:val="restart"/>
            <w:shd w:val="clear" w:color="auto" w:fill="FFFFFF"/>
            <w:vAlign w:val="center"/>
          </w:tcPr>
          <w:p w14:paraId="4BEF82F2">
            <w:pPr>
              <w:widowControl/>
              <w:spacing w:line="0" w:lineRule="atLeast"/>
              <w:jc w:val="center"/>
              <w:rPr>
                <w:color w:val="000000"/>
                <w:kern w:val="0"/>
                <w:sz w:val="22"/>
                <w:szCs w:val="22"/>
                <w:highlight w:val="none"/>
              </w:rPr>
            </w:pPr>
            <w:r>
              <w:rPr>
                <w:rFonts w:hint="eastAsia"/>
                <w:color w:val="000000"/>
                <w:kern w:val="0"/>
                <w:sz w:val="22"/>
                <w:szCs w:val="22"/>
                <w:highlight w:val="none"/>
                <w:lang w:eastAsia="zh-CN"/>
              </w:rPr>
              <w:t>项目</w:t>
            </w:r>
            <w:r>
              <w:rPr>
                <w:color w:val="000000"/>
                <w:kern w:val="0"/>
                <w:sz w:val="22"/>
                <w:szCs w:val="22"/>
                <w:highlight w:val="none"/>
              </w:rPr>
              <w:t>决策</w:t>
            </w:r>
          </w:p>
        </w:tc>
        <w:tc>
          <w:tcPr>
            <w:tcW w:w="662" w:type="dxa"/>
            <w:vMerge w:val="restart"/>
            <w:shd w:val="clear" w:color="auto" w:fill="FFFFFF"/>
            <w:vAlign w:val="center"/>
          </w:tcPr>
          <w:p w14:paraId="1E91315E">
            <w:pPr>
              <w:widowControl/>
              <w:spacing w:line="0" w:lineRule="atLeast"/>
              <w:jc w:val="center"/>
              <w:rPr>
                <w:color w:val="000000"/>
                <w:kern w:val="0"/>
                <w:sz w:val="22"/>
                <w:szCs w:val="22"/>
                <w:highlight w:val="none"/>
              </w:rPr>
            </w:pPr>
            <w:r>
              <w:rPr>
                <w:rFonts w:hint="eastAsia"/>
                <w:kern w:val="0"/>
                <w:sz w:val="22"/>
                <w:szCs w:val="22"/>
                <w:highlight w:val="none"/>
              </w:rPr>
              <w:t>20</w:t>
            </w:r>
            <w:r>
              <w:rPr>
                <w:kern w:val="0"/>
                <w:sz w:val="22"/>
                <w:szCs w:val="22"/>
                <w:highlight w:val="none"/>
              </w:rPr>
              <w:t>分</w:t>
            </w:r>
          </w:p>
        </w:tc>
        <w:tc>
          <w:tcPr>
            <w:tcW w:w="1038" w:type="dxa"/>
            <w:vMerge w:val="restart"/>
            <w:shd w:val="clear" w:color="auto" w:fill="FFFFFF"/>
            <w:vAlign w:val="center"/>
          </w:tcPr>
          <w:p w14:paraId="0E648F23">
            <w:pPr>
              <w:widowControl/>
              <w:spacing w:line="0" w:lineRule="atLeast"/>
              <w:jc w:val="center"/>
              <w:rPr>
                <w:color w:val="000000"/>
                <w:kern w:val="0"/>
                <w:sz w:val="22"/>
                <w:szCs w:val="22"/>
                <w:highlight w:val="none"/>
              </w:rPr>
            </w:pPr>
            <w:r>
              <w:rPr>
                <w:color w:val="000000"/>
                <w:kern w:val="0"/>
                <w:sz w:val="22"/>
                <w:szCs w:val="22"/>
                <w:highlight w:val="none"/>
              </w:rPr>
              <w:t>项目立项</w:t>
            </w:r>
          </w:p>
        </w:tc>
        <w:tc>
          <w:tcPr>
            <w:tcW w:w="1952" w:type="dxa"/>
            <w:shd w:val="clear" w:color="auto" w:fill="FFFFFF"/>
            <w:vAlign w:val="center"/>
          </w:tcPr>
          <w:p w14:paraId="6FE21F17">
            <w:pPr>
              <w:widowControl/>
              <w:spacing w:line="0" w:lineRule="atLeast"/>
              <w:jc w:val="center"/>
              <w:rPr>
                <w:color w:val="000000"/>
                <w:kern w:val="0"/>
                <w:sz w:val="22"/>
                <w:szCs w:val="22"/>
                <w:highlight w:val="none"/>
              </w:rPr>
            </w:pPr>
            <w:r>
              <w:rPr>
                <w:color w:val="000000"/>
                <w:kern w:val="0"/>
                <w:sz w:val="22"/>
                <w:szCs w:val="22"/>
                <w:highlight w:val="none"/>
              </w:rPr>
              <w:t>立项依据</w:t>
            </w:r>
          </w:p>
          <w:p w14:paraId="11EB42DD">
            <w:pPr>
              <w:widowControl/>
              <w:spacing w:line="0" w:lineRule="atLeast"/>
              <w:jc w:val="center"/>
              <w:rPr>
                <w:color w:val="000000"/>
                <w:kern w:val="0"/>
                <w:sz w:val="22"/>
                <w:szCs w:val="22"/>
                <w:highlight w:val="none"/>
              </w:rPr>
            </w:pPr>
            <w:r>
              <w:rPr>
                <w:color w:val="000000"/>
                <w:kern w:val="0"/>
                <w:sz w:val="22"/>
                <w:szCs w:val="22"/>
                <w:highlight w:val="none"/>
              </w:rPr>
              <w:t>充分性</w:t>
            </w:r>
          </w:p>
        </w:tc>
        <w:tc>
          <w:tcPr>
            <w:tcW w:w="727" w:type="dxa"/>
            <w:shd w:val="clear" w:color="auto" w:fill="FFFFFF"/>
            <w:vAlign w:val="center"/>
          </w:tcPr>
          <w:p w14:paraId="16295282">
            <w:pPr>
              <w:widowControl/>
              <w:spacing w:line="0" w:lineRule="atLeast"/>
              <w:jc w:val="center"/>
              <w:rPr>
                <w:color w:val="000000"/>
                <w:kern w:val="0"/>
                <w:sz w:val="22"/>
                <w:szCs w:val="22"/>
                <w:highlight w:val="none"/>
              </w:rPr>
            </w:pPr>
            <w:r>
              <w:rPr>
                <w:rFonts w:hint="eastAsia"/>
                <w:color w:val="000000"/>
                <w:kern w:val="0"/>
                <w:sz w:val="22"/>
                <w:szCs w:val="22"/>
                <w:highlight w:val="none"/>
              </w:rPr>
              <w:t>3</w:t>
            </w:r>
          </w:p>
        </w:tc>
        <w:tc>
          <w:tcPr>
            <w:tcW w:w="1044" w:type="dxa"/>
            <w:shd w:val="clear" w:color="auto" w:fill="FFFFFF"/>
            <w:vAlign w:val="center"/>
          </w:tcPr>
          <w:p w14:paraId="6CD4B478">
            <w:pPr>
              <w:widowControl/>
              <w:spacing w:line="0" w:lineRule="atLeast"/>
              <w:jc w:val="center"/>
              <w:rPr>
                <w:color w:val="000000"/>
                <w:kern w:val="0"/>
                <w:sz w:val="22"/>
                <w:szCs w:val="22"/>
                <w:highlight w:val="none"/>
              </w:rPr>
            </w:pPr>
            <w:r>
              <w:rPr>
                <w:color w:val="000000"/>
                <w:kern w:val="0"/>
                <w:sz w:val="22"/>
                <w:szCs w:val="22"/>
                <w:highlight w:val="none"/>
              </w:rPr>
              <w:t>充分</w:t>
            </w:r>
          </w:p>
        </w:tc>
        <w:tc>
          <w:tcPr>
            <w:tcW w:w="924" w:type="dxa"/>
            <w:shd w:val="clear" w:color="auto" w:fill="FFFFFF"/>
            <w:vAlign w:val="center"/>
          </w:tcPr>
          <w:p w14:paraId="73012088">
            <w:pPr>
              <w:widowControl/>
              <w:spacing w:line="0" w:lineRule="atLeast"/>
              <w:jc w:val="center"/>
              <w:rPr>
                <w:color w:val="000000"/>
                <w:kern w:val="0"/>
                <w:sz w:val="22"/>
                <w:szCs w:val="22"/>
                <w:highlight w:val="none"/>
              </w:rPr>
            </w:pPr>
            <w:r>
              <w:rPr>
                <w:color w:val="000000"/>
                <w:kern w:val="0"/>
                <w:sz w:val="22"/>
                <w:szCs w:val="22"/>
                <w:highlight w:val="none"/>
              </w:rPr>
              <w:t>充分</w:t>
            </w:r>
          </w:p>
        </w:tc>
        <w:tc>
          <w:tcPr>
            <w:tcW w:w="1215" w:type="dxa"/>
            <w:shd w:val="clear" w:color="auto" w:fill="FFFFFF"/>
            <w:vAlign w:val="center"/>
          </w:tcPr>
          <w:p w14:paraId="1FBB4A07">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auto" w:fill="FFFFFF"/>
            <w:vAlign w:val="center"/>
          </w:tcPr>
          <w:p w14:paraId="3F604D9B">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14:paraId="38520B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750" w:type="dxa"/>
            <w:vMerge w:val="continue"/>
            <w:shd w:val="clear" w:color="auto" w:fill="FFFFFF"/>
            <w:vAlign w:val="center"/>
          </w:tcPr>
          <w:p w14:paraId="588C5368">
            <w:pPr>
              <w:spacing w:line="0" w:lineRule="atLeast"/>
              <w:jc w:val="center"/>
              <w:rPr>
                <w:color w:val="000000"/>
                <w:kern w:val="0"/>
                <w:sz w:val="22"/>
                <w:szCs w:val="22"/>
                <w:highlight w:val="none"/>
              </w:rPr>
            </w:pPr>
          </w:p>
        </w:tc>
        <w:tc>
          <w:tcPr>
            <w:tcW w:w="662" w:type="dxa"/>
            <w:vMerge w:val="continue"/>
            <w:shd w:val="clear" w:color="auto" w:fill="FFFFFF"/>
            <w:vAlign w:val="center"/>
          </w:tcPr>
          <w:p w14:paraId="0C90E1BC">
            <w:pPr>
              <w:widowControl/>
              <w:spacing w:line="0" w:lineRule="atLeast"/>
              <w:jc w:val="center"/>
              <w:rPr>
                <w:color w:val="000000"/>
                <w:kern w:val="0"/>
                <w:sz w:val="22"/>
                <w:szCs w:val="22"/>
                <w:highlight w:val="none"/>
              </w:rPr>
            </w:pPr>
          </w:p>
        </w:tc>
        <w:tc>
          <w:tcPr>
            <w:tcW w:w="1038" w:type="dxa"/>
            <w:vMerge w:val="continue"/>
            <w:shd w:val="clear" w:color="auto" w:fill="FFFFFF"/>
            <w:vAlign w:val="center"/>
          </w:tcPr>
          <w:p w14:paraId="63D3862F">
            <w:pPr>
              <w:widowControl/>
              <w:spacing w:line="0" w:lineRule="atLeast"/>
              <w:jc w:val="center"/>
              <w:rPr>
                <w:color w:val="000000"/>
                <w:kern w:val="0"/>
                <w:sz w:val="22"/>
                <w:szCs w:val="22"/>
                <w:highlight w:val="none"/>
              </w:rPr>
            </w:pPr>
          </w:p>
        </w:tc>
        <w:tc>
          <w:tcPr>
            <w:tcW w:w="1952" w:type="dxa"/>
            <w:shd w:val="clear" w:color="auto" w:fill="FFFFFF"/>
            <w:vAlign w:val="center"/>
          </w:tcPr>
          <w:p w14:paraId="6520BF9F">
            <w:pPr>
              <w:widowControl/>
              <w:spacing w:line="0" w:lineRule="atLeast"/>
              <w:jc w:val="center"/>
              <w:rPr>
                <w:color w:val="000000"/>
                <w:kern w:val="0"/>
                <w:sz w:val="22"/>
                <w:szCs w:val="22"/>
                <w:highlight w:val="none"/>
              </w:rPr>
            </w:pPr>
            <w:r>
              <w:rPr>
                <w:color w:val="000000"/>
                <w:kern w:val="0"/>
                <w:sz w:val="22"/>
                <w:szCs w:val="22"/>
                <w:highlight w:val="none"/>
              </w:rPr>
              <w:t>立项程序</w:t>
            </w:r>
          </w:p>
          <w:p w14:paraId="3F76E980">
            <w:pPr>
              <w:widowControl/>
              <w:spacing w:line="0" w:lineRule="atLeast"/>
              <w:jc w:val="center"/>
              <w:rPr>
                <w:color w:val="000000"/>
                <w:kern w:val="0"/>
                <w:sz w:val="22"/>
                <w:szCs w:val="22"/>
                <w:highlight w:val="none"/>
              </w:rPr>
            </w:pPr>
            <w:r>
              <w:rPr>
                <w:color w:val="000000"/>
                <w:kern w:val="0"/>
                <w:sz w:val="22"/>
                <w:szCs w:val="22"/>
                <w:highlight w:val="none"/>
              </w:rPr>
              <w:t>规范性</w:t>
            </w:r>
          </w:p>
        </w:tc>
        <w:tc>
          <w:tcPr>
            <w:tcW w:w="727" w:type="dxa"/>
            <w:shd w:val="clear" w:color="auto" w:fill="FFFFFF"/>
            <w:vAlign w:val="center"/>
          </w:tcPr>
          <w:p w14:paraId="4E141C0E">
            <w:pPr>
              <w:widowControl/>
              <w:spacing w:line="0" w:lineRule="atLeast"/>
              <w:jc w:val="center"/>
              <w:rPr>
                <w:color w:val="000000"/>
                <w:kern w:val="0"/>
                <w:sz w:val="22"/>
                <w:szCs w:val="22"/>
                <w:highlight w:val="none"/>
              </w:rPr>
            </w:pPr>
            <w:r>
              <w:rPr>
                <w:rFonts w:hint="eastAsia"/>
                <w:color w:val="000000"/>
                <w:kern w:val="0"/>
                <w:sz w:val="22"/>
                <w:szCs w:val="22"/>
                <w:highlight w:val="none"/>
              </w:rPr>
              <w:t>3</w:t>
            </w:r>
          </w:p>
        </w:tc>
        <w:tc>
          <w:tcPr>
            <w:tcW w:w="1044" w:type="dxa"/>
            <w:shd w:val="clear" w:color="auto" w:fill="FFFFFF"/>
            <w:vAlign w:val="center"/>
          </w:tcPr>
          <w:p w14:paraId="605C9E8D">
            <w:pPr>
              <w:widowControl/>
              <w:spacing w:line="0" w:lineRule="atLeast"/>
              <w:jc w:val="center"/>
              <w:rPr>
                <w:color w:val="000000"/>
                <w:kern w:val="0"/>
                <w:sz w:val="22"/>
                <w:szCs w:val="22"/>
                <w:highlight w:val="none"/>
              </w:rPr>
            </w:pPr>
            <w:r>
              <w:rPr>
                <w:color w:val="000000"/>
                <w:kern w:val="0"/>
                <w:sz w:val="22"/>
                <w:szCs w:val="22"/>
                <w:highlight w:val="none"/>
              </w:rPr>
              <w:t>规范</w:t>
            </w:r>
          </w:p>
        </w:tc>
        <w:tc>
          <w:tcPr>
            <w:tcW w:w="924" w:type="dxa"/>
            <w:shd w:val="clear" w:color="auto" w:fill="FFFFFF"/>
            <w:vAlign w:val="center"/>
          </w:tcPr>
          <w:p w14:paraId="5B2CA13E">
            <w:pPr>
              <w:widowControl/>
              <w:spacing w:line="0" w:lineRule="atLeast"/>
              <w:jc w:val="center"/>
              <w:rPr>
                <w:color w:val="000000"/>
                <w:kern w:val="0"/>
                <w:sz w:val="22"/>
                <w:szCs w:val="22"/>
                <w:highlight w:val="none"/>
              </w:rPr>
            </w:pPr>
            <w:r>
              <w:rPr>
                <w:color w:val="000000"/>
                <w:kern w:val="0"/>
                <w:sz w:val="22"/>
                <w:szCs w:val="22"/>
                <w:highlight w:val="none"/>
              </w:rPr>
              <w:t>规范</w:t>
            </w:r>
          </w:p>
        </w:tc>
        <w:tc>
          <w:tcPr>
            <w:tcW w:w="1215" w:type="dxa"/>
            <w:shd w:val="clear" w:color="auto" w:fill="FFFFFF"/>
            <w:vAlign w:val="center"/>
          </w:tcPr>
          <w:p w14:paraId="7BDCFA99">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auto" w:fill="FFFFFF"/>
            <w:vAlign w:val="center"/>
          </w:tcPr>
          <w:p w14:paraId="53A5D8AB">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14:paraId="42339D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750" w:type="dxa"/>
            <w:vMerge w:val="continue"/>
            <w:shd w:val="clear" w:color="auto" w:fill="FFFFFF"/>
            <w:vAlign w:val="center"/>
          </w:tcPr>
          <w:p w14:paraId="5112EE48">
            <w:pPr>
              <w:spacing w:line="0" w:lineRule="atLeast"/>
              <w:jc w:val="center"/>
              <w:rPr>
                <w:color w:val="000000"/>
                <w:kern w:val="0"/>
                <w:sz w:val="22"/>
                <w:szCs w:val="22"/>
                <w:highlight w:val="none"/>
              </w:rPr>
            </w:pPr>
          </w:p>
        </w:tc>
        <w:tc>
          <w:tcPr>
            <w:tcW w:w="662" w:type="dxa"/>
            <w:vMerge w:val="continue"/>
            <w:shd w:val="clear" w:color="auto" w:fill="FFFFFF"/>
            <w:vAlign w:val="center"/>
          </w:tcPr>
          <w:p w14:paraId="7896EFD4">
            <w:pPr>
              <w:widowControl/>
              <w:spacing w:line="0" w:lineRule="atLeast"/>
              <w:jc w:val="center"/>
              <w:rPr>
                <w:color w:val="000000"/>
                <w:kern w:val="0"/>
                <w:sz w:val="22"/>
                <w:szCs w:val="22"/>
                <w:highlight w:val="none"/>
              </w:rPr>
            </w:pPr>
          </w:p>
        </w:tc>
        <w:tc>
          <w:tcPr>
            <w:tcW w:w="1038" w:type="dxa"/>
            <w:vMerge w:val="restart"/>
            <w:shd w:val="clear" w:color="auto" w:fill="FFFFFF"/>
            <w:vAlign w:val="center"/>
          </w:tcPr>
          <w:p w14:paraId="30DDF9F6">
            <w:pPr>
              <w:widowControl/>
              <w:spacing w:line="0" w:lineRule="atLeast"/>
              <w:jc w:val="center"/>
              <w:rPr>
                <w:color w:val="000000"/>
                <w:kern w:val="0"/>
                <w:sz w:val="22"/>
                <w:szCs w:val="22"/>
                <w:highlight w:val="none"/>
              </w:rPr>
            </w:pPr>
            <w:r>
              <w:rPr>
                <w:color w:val="000000"/>
                <w:kern w:val="0"/>
                <w:sz w:val="22"/>
                <w:szCs w:val="22"/>
                <w:highlight w:val="none"/>
              </w:rPr>
              <w:t>绩效目标</w:t>
            </w:r>
          </w:p>
        </w:tc>
        <w:tc>
          <w:tcPr>
            <w:tcW w:w="1952" w:type="dxa"/>
            <w:shd w:val="clear" w:color="auto" w:fill="FFFFFF"/>
            <w:vAlign w:val="center"/>
          </w:tcPr>
          <w:p w14:paraId="45F46E62">
            <w:pPr>
              <w:widowControl/>
              <w:spacing w:line="0" w:lineRule="atLeast"/>
              <w:jc w:val="center"/>
              <w:rPr>
                <w:color w:val="000000"/>
                <w:kern w:val="0"/>
                <w:sz w:val="22"/>
                <w:szCs w:val="22"/>
                <w:highlight w:val="none"/>
              </w:rPr>
            </w:pPr>
            <w:r>
              <w:rPr>
                <w:color w:val="000000"/>
                <w:kern w:val="0"/>
                <w:sz w:val="22"/>
                <w:szCs w:val="22"/>
                <w:highlight w:val="none"/>
              </w:rPr>
              <w:t>绩效目标</w:t>
            </w:r>
          </w:p>
          <w:p w14:paraId="3F786F37">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727" w:type="dxa"/>
            <w:shd w:val="clear" w:color="000000" w:fill="FFFFFF"/>
            <w:vAlign w:val="center"/>
          </w:tcPr>
          <w:p w14:paraId="017D7537">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000000" w:fill="FFFFFF"/>
            <w:vAlign w:val="center"/>
          </w:tcPr>
          <w:p w14:paraId="3BE67D73">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924" w:type="dxa"/>
            <w:shd w:val="clear" w:color="000000" w:fill="FFFFFF"/>
            <w:vAlign w:val="center"/>
          </w:tcPr>
          <w:p w14:paraId="33F8D1ED">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1215" w:type="dxa"/>
            <w:shd w:val="clear" w:color="000000" w:fill="FFFFFF"/>
            <w:vAlign w:val="center"/>
          </w:tcPr>
          <w:p w14:paraId="2BDF2A34">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000000" w:fill="FFFFFF"/>
            <w:vAlign w:val="center"/>
          </w:tcPr>
          <w:p w14:paraId="24D61AEC">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14:paraId="36043B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750" w:type="dxa"/>
            <w:vMerge w:val="continue"/>
            <w:shd w:val="clear" w:color="auto" w:fill="FFFFFF"/>
            <w:vAlign w:val="center"/>
          </w:tcPr>
          <w:p w14:paraId="4C75D173">
            <w:pPr>
              <w:widowControl/>
              <w:spacing w:line="0" w:lineRule="atLeast"/>
              <w:jc w:val="center"/>
              <w:rPr>
                <w:color w:val="000000"/>
                <w:kern w:val="0"/>
                <w:sz w:val="22"/>
                <w:szCs w:val="22"/>
                <w:highlight w:val="none"/>
              </w:rPr>
            </w:pPr>
          </w:p>
        </w:tc>
        <w:tc>
          <w:tcPr>
            <w:tcW w:w="662" w:type="dxa"/>
            <w:vMerge w:val="continue"/>
            <w:shd w:val="clear" w:color="auto" w:fill="FFFFFF"/>
            <w:vAlign w:val="center"/>
          </w:tcPr>
          <w:p w14:paraId="0311E12C">
            <w:pPr>
              <w:widowControl/>
              <w:spacing w:line="0" w:lineRule="atLeast"/>
              <w:jc w:val="center"/>
              <w:rPr>
                <w:color w:val="000000"/>
                <w:kern w:val="0"/>
                <w:sz w:val="22"/>
                <w:szCs w:val="22"/>
                <w:highlight w:val="none"/>
              </w:rPr>
            </w:pPr>
          </w:p>
        </w:tc>
        <w:tc>
          <w:tcPr>
            <w:tcW w:w="1038" w:type="dxa"/>
            <w:vMerge w:val="continue"/>
            <w:shd w:val="clear" w:color="auto" w:fill="FFFFFF"/>
            <w:vAlign w:val="center"/>
          </w:tcPr>
          <w:p w14:paraId="5458F85F">
            <w:pPr>
              <w:widowControl/>
              <w:spacing w:line="0" w:lineRule="atLeast"/>
              <w:jc w:val="center"/>
              <w:rPr>
                <w:color w:val="000000"/>
                <w:kern w:val="0"/>
                <w:sz w:val="22"/>
                <w:szCs w:val="22"/>
                <w:highlight w:val="none"/>
              </w:rPr>
            </w:pPr>
          </w:p>
        </w:tc>
        <w:tc>
          <w:tcPr>
            <w:tcW w:w="1952" w:type="dxa"/>
            <w:shd w:val="clear" w:color="auto" w:fill="FFFFFF"/>
            <w:vAlign w:val="center"/>
          </w:tcPr>
          <w:p w14:paraId="420BB5CA">
            <w:pPr>
              <w:widowControl/>
              <w:spacing w:line="0" w:lineRule="atLeast"/>
              <w:jc w:val="center"/>
              <w:rPr>
                <w:color w:val="000000"/>
                <w:kern w:val="0"/>
                <w:sz w:val="22"/>
                <w:szCs w:val="22"/>
                <w:highlight w:val="none"/>
              </w:rPr>
            </w:pPr>
            <w:r>
              <w:rPr>
                <w:color w:val="000000"/>
                <w:kern w:val="0"/>
                <w:sz w:val="22"/>
                <w:szCs w:val="22"/>
                <w:highlight w:val="none"/>
              </w:rPr>
              <w:t>绩效指标</w:t>
            </w:r>
          </w:p>
          <w:p w14:paraId="173038A4">
            <w:pPr>
              <w:widowControl/>
              <w:spacing w:line="0" w:lineRule="atLeast"/>
              <w:jc w:val="center"/>
              <w:rPr>
                <w:color w:val="000000"/>
                <w:kern w:val="0"/>
                <w:sz w:val="22"/>
                <w:szCs w:val="22"/>
                <w:highlight w:val="none"/>
              </w:rPr>
            </w:pPr>
            <w:r>
              <w:rPr>
                <w:color w:val="000000"/>
                <w:kern w:val="0"/>
                <w:sz w:val="22"/>
                <w:szCs w:val="22"/>
                <w:highlight w:val="none"/>
              </w:rPr>
              <w:t>明确性</w:t>
            </w:r>
          </w:p>
        </w:tc>
        <w:tc>
          <w:tcPr>
            <w:tcW w:w="727" w:type="dxa"/>
            <w:shd w:val="clear" w:color="000000" w:fill="FFFFFF"/>
            <w:vAlign w:val="center"/>
          </w:tcPr>
          <w:p w14:paraId="287C1B7A">
            <w:pPr>
              <w:widowControl/>
              <w:spacing w:line="0" w:lineRule="atLeast"/>
              <w:jc w:val="center"/>
              <w:rPr>
                <w:color w:val="000000"/>
                <w:kern w:val="0"/>
                <w:sz w:val="22"/>
                <w:szCs w:val="22"/>
                <w:highlight w:val="none"/>
              </w:rPr>
            </w:pPr>
            <w:r>
              <w:rPr>
                <w:rFonts w:hint="eastAsia"/>
                <w:color w:val="000000"/>
                <w:kern w:val="0"/>
                <w:sz w:val="22"/>
                <w:szCs w:val="22"/>
                <w:highlight w:val="none"/>
              </w:rPr>
              <w:t>3</w:t>
            </w:r>
          </w:p>
        </w:tc>
        <w:tc>
          <w:tcPr>
            <w:tcW w:w="1044" w:type="dxa"/>
            <w:shd w:val="clear" w:color="000000" w:fill="FFFFFF"/>
            <w:vAlign w:val="center"/>
          </w:tcPr>
          <w:p w14:paraId="3DA13BB7">
            <w:pPr>
              <w:widowControl/>
              <w:spacing w:line="0" w:lineRule="atLeast"/>
              <w:jc w:val="center"/>
              <w:rPr>
                <w:color w:val="000000"/>
                <w:kern w:val="0"/>
                <w:sz w:val="22"/>
                <w:szCs w:val="22"/>
                <w:highlight w:val="none"/>
              </w:rPr>
            </w:pPr>
            <w:r>
              <w:rPr>
                <w:color w:val="000000"/>
                <w:kern w:val="0"/>
                <w:sz w:val="22"/>
                <w:szCs w:val="22"/>
                <w:highlight w:val="none"/>
              </w:rPr>
              <w:t>明确</w:t>
            </w:r>
          </w:p>
        </w:tc>
        <w:tc>
          <w:tcPr>
            <w:tcW w:w="924" w:type="dxa"/>
            <w:shd w:val="clear" w:color="000000" w:fill="FFFFFF"/>
            <w:vAlign w:val="center"/>
          </w:tcPr>
          <w:p w14:paraId="0F7F055F">
            <w:pPr>
              <w:widowControl/>
              <w:spacing w:line="0" w:lineRule="atLeast"/>
              <w:jc w:val="center"/>
              <w:rPr>
                <w:color w:val="000000"/>
                <w:kern w:val="0"/>
                <w:sz w:val="22"/>
                <w:szCs w:val="22"/>
                <w:highlight w:val="none"/>
              </w:rPr>
            </w:pPr>
            <w:r>
              <w:rPr>
                <w:color w:val="000000"/>
                <w:kern w:val="0"/>
                <w:sz w:val="22"/>
                <w:szCs w:val="22"/>
                <w:highlight w:val="none"/>
              </w:rPr>
              <w:t>明确</w:t>
            </w:r>
          </w:p>
        </w:tc>
        <w:tc>
          <w:tcPr>
            <w:tcW w:w="1215" w:type="dxa"/>
            <w:shd w:val="clear" w:color="000000" w:fill="FFFFFF"/>
            <w:vAlign w:val="center"/>
          </w:tcPr>
          <w:p w14:paraId="294C23A8">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000000" w:fill="FFFFFF"/>
            <w:vAlign w:val="center"/>
          </w:tcPr>
          <w:p w14:paraId="37D3BD92">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14:paraId="352C8E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750" w:type="dxa"/>
            <w:vMerge w:val="continue"/>
            <w:shd w:val="clear" w:color="auto" w:fill="FFFFFF"/>
            <w:vAlign w:val="center"/>
          </w:tcPr>
          <w:p w14:paraId="036351CB">
            <w:pPr>
              <w:spacing w:line="0" w:lineRule="atLeast"/>
              <w:jc w:val="center"/>
              <w:rPr>
                <w:color w:val="000000"/>
                <w:kern w:val="0"/>
                <w:sz w:val="22"/>
                <w:szCs w:val="22"/>
                <w:highlight w:val="none"/>
              </w:rPr>
            </w:pPr>
          </w:p>
        </w:tc>
        <w:tc>
          <w:tcPr>
            <w:tcW w:w="662" w:type="dxa"/>
            <w:vMerge w:val="continue"/>
            <w:shd w:val="clear" w:color="auto" w:fill="FFFFFF"/>
            <w:vAlign w:val="center"/>
          </w:tcPr>
          <w:p w14:paraId="0C270545">
            <w:pPr>
              <w:spacing w:line="0" w:lineRule="atLeast"/>
              <w:jc w:val="center"/>
              <w:rPr>
                <w:color w:val="000000"/>
                <w:kern w:val="0"/>
                <w:sz w:val="22"/>
                <w:szCs w:val="22"/>
                <w:highlight w:val="none"/>
              </w:rPr>
            </w:pPr>
          </w:p>
        </w:tc>
        <w:tc>
          <w:tcPr>
            <w:tcW w:w="1038" w:type="dxa"/>
            <w:vMerge w:val="restart"/>
            <w:shd w:val="clear" w:color="auto" w:fill="FFFFFF"/>
            <w:vAlign w:val="center"/>
          </w:tcPr>
          <w:p w14:paraId="5E6FED8E">
            <w:pPr>
              <w:widowControl/>
              <w:spacing w:line="0" w:lineRule="atLeast"/>
              <w:jc w:val="center"/>
              <w:rPr>
                <w:color w:val="000000"/>
                <w:kern w:val="0"/>
                <w:sz w:val="22"/>
                <w:szCs w:val="22"/>
                <w:highlight w:val="none"/>
              </w:rPr>
            </w:pPr>
            <w:r>
              <w:rPr>
                <w:color w:val="000000"/>
                <w:kern w:val="0"/>
                <w:sz w:val="22"/>
                <w:szCs w:val="22"/>
                <w:highlight w:val="none"/>
              </w:rPr>
              <w:t>资金投入</w:t>
            </w:r>
          </w:p>
        </w:tc>
        <w:tc>
          <w:tcPr>
            <w:tcW w:w="1952" w:type="dxa"/>
            <w:shd w:val="clear" w:color="auto" w:fill="FFFFFF"/>
            <w:vAlign w:val="center"/>
          </w:tcPr>
          <w:p w14:paraId="7B7806B5">
            <w:pPr>
              <w:widowControl/>
              <w:spacing w:line="0" w:lineRule="atLeast"/>
              <w:jc w:val="center"/>
              <w:rPr>
                <w:color w:val="000000"/>
                <w:kern w:val="0"/>
                <w:sz w:val="22"/>
                <w:szCs w:val="22"/>
                <w:highlight w:val="none"/>
              </w:rPr>
            </w:pPr>
            <w:r>
              <w:rPr>
                <w:color w:val="000000"/>
                <w:kern w:val="0"/>
                <w:sz w:val="22"/>
                <w:szCs w:val="22"/>
                <w:highlight w:val="none"/>
              </w:rPr>
              <w:t>预算编制</w:t>
            </w:r>
          </w:p>
          <w:p w14:paraId="66EF154F">
            <w:pPr>
              <w:widowControl/>
              <w:spacing w:line="0" w:lineRule="atLeast"/>
              <w:jc w:val="center"/>
              <w:rPr>
                <w:color w:val="000000"/>
                <w:kern w:val="0"/>
                <w:sz w:val="22"/>
                <w:szCs w:val="22"/>
                <w:highlight w:val="none"/>
              </w:rPr>
            </w:pPr>
            <w:r>
              <w:rPr>
                <w:color w:val="000000"/>
                <w:kern w:val="0"/>
                <w:sz w:val="22"/>
                <w:szCs w:val="22"/>
                <w:highlight w:val="none"/>
              </w:rPr>
              <w:t>科学性</w:t>
            </w:r>
          </w:p>
        </w:tc>
        <w:tc>
          <w:tcPr>
            <w:tcW w:w="727" w:type="dxa"/>
            <w:shd w:val="clear" w:color="auto" w:fill="FFFFFF"/>
            <w:vAlign w:val="center"/>
          </w:tcPr>
          <w:p w14:paraId="7C3C52C4">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auto" w:fill="FFFFFF"/>
            <w:vAlign w:val="center"/>
          </w:tcPr>
          <w:p w14:paraId="4BE2C467">
            <w:pPr>
              <w:widowControl/>
              <w:spacing w:line="0" w:lineRule="atLeast"/>
              <w:jc w:val="center"/>
              <w:rPr>
                <w:color w:val="000000"/>
                <w:kern w:val="0"/>
                <w:sz w:val="22"/>
                <w:szCs w:val="22"/>
                <w:highlight w:val="none"/>
              </w:rPr>
            </w:pPr>
            <w:r>
              <w:rPr>
                <w:color w:val="000000"/>
                <w:kern w:val="0"/>
                <w:sz w:val="22"/>
                <w:szCs w:val="22"/>
                <w:highlight w:val="none"/>
              </w:rPr>
              <w:t>科学</w:t>
            </w:r>
          </w:p>
        </w:tc>
        <w:tc>
          <w:tcPr>
            <w:tcW w:w="924" w:type="dxa"/>
            <w:shd w:val="clear" w:color="auto" w:fill="FFFFFF"/>
            <w:vAlign w:val="center"/>
          </w:tcPr>
          <w:p w14:paraId="38E4AFA1">
            <w:pPr>
              <w:widowControl/>
              <w:spacing w:line="0" w:lineRule="atLeast"/>
              <w:jc w:val="center"/>
              <w:rPr>
                <w:color w:val="000000"/>
                <w:kern w:val="0"/>
                <w:sz w:val="22"/>
                <w:szCs w:val="22"/>
                <w:highlight w:val="none"/>
              </w:rPr>
            </w:pPr>
            <w:r>
              <w:rPr>
                <w:color w:val="000000"/>
                <w:kern w:val="0"/>
                <w:sz w:val="22"/>
                <w:szCs w:val="22"/>
                <w:highlight w:val="none"/>
              </w:rPr>
              <w:t>科学</w:t>
            </w:r>
          </w:p>
        </w:tc>
        <w:tc>
          <w:tcPr>
            <w:tcW w:w="1215" w:type="dxa"/>
            <w:shd w:val="clear" w:color="auto" w:fill="FFFFFF"/>
            <w:vAlign w:val="center"/>
          </w:tcPr>
          <w:p w14:paraId="260FEC31">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auto" w:fill="FFFFFF"/>
            <w:vAlign w:val="center"/>
          </w:tcPr>
          <w:p w14:paraId="520EC621">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14:paraId="0BF482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750" w:type="dxa"/>
            <w:vMerge w:val="continue"/>
            <w:shd w:val="clear" w:color="auto" w:fill="FFFFFF"/>
            <w:vAlign w:val="center"/>
          </w:tcPr>
          <w:p w14:paraId="2339E3F5">
            <w:pPr>
              <w:widowControl/>
              <w:spacing w:line="0" w:lineRule="atLeast"/>
              <w:jc w:val="center"/>
              <w:rPr>
                <w:color w:val="000000"/>
                <w:kern w:val="0"/>
                <w:sz w:val="22"/>
                <w:szCs w:val="22"/>
                <w:highlight w:val="none"/>
              </w:rPr>
            </w:pPr>
          </w:p>
        </w:tc>
        <w:tc>
          <w:tcPr>
            <w:tcW w:w="662" w:type="dxa"/>
            <w:vMerge w:val="continue"/>
            <w:shd w:val="clear" w:color="auto" w:fill="FFFFFF"/>
            <w:vAlign w:val="center"/>
          </w:tcPr>
          <w:p w14:paraId="7C6D478E">
            <w:pPr>
              <w:widowControl/>
              <w:spacing w:line="0" w:lineRule="atLeast"/>
              <w:jc w:val="center"/>
              <w:rPr>
                <w:color w:val="000000"/>
                <w:kern w:val="0"/>
                <w:sz w:val="22"/>
                <w:szCs w:val="22"/>
                <w:highlight w:val="none"/>
              </w:rPr>
            </w:pPr>
          </w:p>
        </w:tc>
        <w:tc>
          <w:tcPr>
            <w:tcW w:w="1038" w:type="dxa"/>
            <w:vMerge w:val="continue"/>
            <w:shd w:val="clear" w:color="auto" w:fill="FFFFFF"/>
            <w:vAlign w:val="center"/>
          </w:tcPr>
          <w:p w14:paraId="3ACF8786">
            <w:pPr>
              <w:widowControl/>
              <w:spacing w:line="0" w:lineRule="atLeast"/>
              <w:jc w:val="center"/>
              <w:rPr>
                <w:color w:val="000000"/>
                <w:kern w:val="0"/>
                <w:sz w:val="22"/>
                <w:szCs w:val="22"/>
                <w:highlight w:val="none"/>
              </w:rPr>
            </w:pPr>
          </w:p>
        </w:tc>
        <w:tc>
          <w:tcPr>
            <w:tcW w:w="1952" w:type="dxa"/>
            <w:shd w:val="clear" w:color="auto" w:fill="FFFFFF"/>
            <w:vAlign w:val="center"/>
          </w:tcPr>
          <w:p w14:paraId="153FDC18">
            <w:pPr>
              <w:widowControl/>
              <w:spacing w:line="0" w:lineRule="atLeast"/>
              <w:jc w:val="center"/>
              <w:rPr>
                <w:color w:val="000000"/>
                <w:kern w:val="0"/>
                <w:sz w:val="22"/>
                <w:szCs w:val="22"/>
                <w:highlight w:val="none"/>
              </w:rPr>
            </w:pPr>
            <w:r>
              <w:rPr>
                <w:color w:val="000000"/>
                <w:kern w:val="0"/>
                <w:sz w:val="22"/>
                <w:szCs w:val="22"/>
                <w:highlight w:val="none"/>
              </w:rPr>
              <w:t>资金分配</w:t>
            </w:r>
          </w:p>
          <w:p w14:paraId="1E64105F">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727" w:type="dxa"/>
            <w:shd w:val="clear" w:color="auto" w:fill="FFFFFF"/>
            <w:vAlign w:val="center"/>
          </w:tcPr>
          <w:p w14:paraId="57FF14DB">
            <w:pPr>
              <w:widowControl/>
              <w:spacing w:line="0" w:lineRule="atLeast"/>
              <w:jc w:val="center"/>
              <w:rPr>
                <w:color w:val="000000"/>
                <w:kern w:val="0"/>
                <w:sz w:val="22"/>
                <w:szCs w:val="22"/>
                <w:highlight w:val="none"/>
              </w:rPr>
            </w:pPr>
            <w:r>
              <w:rPr>
                <w:rFonts w:hint="eastAsia"/>
                <w:color w:val="000000"/>
                <w:kern w:val="0"/>
                <w:sz w:val="22"/>
                <w:szCs w:val="22"/>
                <w:highlight w:val="none"/>
              </w:rPr>
              <w:t>3</w:t>
            </w:r>
          </w:p>
        </w:tc>
        <w:tc>
          <w:tcPr>
            <w:tcW w:w="1044" w:type="dxa"/>
            <w:shd w:val="clear" w:color="auto" w:fill="FFFFFF"/>
            <w:vAlign w:val="center"/>
          </w:tcPr>
          <w:p w14:paraId="64664123">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924" w:type="dxa"/>
            <w:shd w:val="clear" w:color="auto" w:fill="FFFFFF"/>
            <w:vAlign w:val="center"/>
          </w:tcPr>
          <w:p w14:paraId="4D7FFCC1">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1215" w:type="dxa"/>
            <w:shd w:val="clear" w:color="auto" w:fill="FFFFFF"/>
            <w:vAlign w:val="center"/>
          </w:tcPr>
          <w:p w14:paraId="7A808F73">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auto" w:fill="FFFFFF"/>
            <w:vAlign w:val="center"/>
          </w:tcPr>
          <w:p w14:paraId="593AC818">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14:paraId="2B9416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750" w:type="dxa"/>
            <w:vMerge w:val="restart"/>
            <w:shd w:val="clear" w:color="auto" w:fill="FFFFFF"/>
            <w:vAlign w:val="center"/>
          </w:tcPr>
          <w:p w14:paraId="55F0F520">
            <w:pPr>
              <w:spacing w:line="0" w:lineRule="atLeast"/>
              <w:jc w:val="center"/>
              <w:rPr>
                <w:color w:val="000000"/>
                <w:kern w:val="0"/>
                <w:sz w:val="22"/>
                <w:szCs w:val="22"/>
                <w:highlight w:val="none"/>
              </w:rPr>
            </w:pPr>
            <w:r>
              <w:rPr>
                <w:rFonts w:hint="eastAsia"/>
                <w:color w:val="000000"/>
                <w:kern w:val="0"/>
                <w:sz w:val="22"/>
                <w:szCs w:val="22"/>
                <w:highlight w:val="none"/>
                <w:lang w:eastAsia="zh-CN"/>
              </w:rPr>
              <w:t>项目</w:t>
            </w:r>
            <w:r>
              <w:rPr>
                <w:color w:val="000000"/>
                <w:kern w:val="0"/>
                <w:sz w:val="22"/>
                <w:szCs w:val="22"/>
                <w:highlight w:val="none"/>
              </w:rPr>
              <w:t>过程</w:t>
            </w:r>
          </w:p>
          <w:p w14:paraId="29EE4682">
            <w:pPr>
              <w:spacing w:line="0" w:lineRule="atLeast"/>
              <w:jc w:val="center"/>
              <w:rPr>
                <w:color w:val="000000"/>
                <w:kern w:val="0"/>
                <w:sz w:val="22"/>
                <w:szCs w:val="22"/>
                <w:highlight w:val="none"/>
              </w:rPr>
            </w:pPr>
          </w:p>
        </w:tc>
        <w:tc>
          <w:tcPr>
            <w:tcW w:w="662" w:type="dxa"/>
            <w:vMerge w:val="restart"/>
            <w:shd w:val="clear" w:color="auto" w:fill="FFFFFF"/>
            <w:vAlign w:val="center"/>
          </w:tcPr>
          <w:p w14:paraId="5810C7C1">
            <w:pPr>
              <w:widowControl/>
              <w:spacing w:line="0" w:lineRule="atLeast"/>
              <w:jc w:val="center"/>
              <w:rPr>
                <w:color w:val="000000"/>
                <w:kern w:val="0"/>
                <w:sz w:val="22"/>
                <w:szCs w:val="22"/>
                <w:highlight w:val="none"/>
              </w:rPr>
            </w:pPr>
            <w:r>
              <w:rPr>
                <w:rFonts w:hint="eastAsia"/>
                <w:kern w:val="0"/>
                <w:sz w:val="22"/>
                <w:szCs w:val="22"/>
                <w:highlight w:val="none"/>
              </w:rPr>
              <w:t>20</w:t>
            </w:r>
            <w:r>
              <w:rPr>
                <w:kern w:val="0"/>
                <w:sz w:val="22"/>
                <w:szCs w:val="22"/>
                <w:highlight w:val="none"/>
              </w:rPr>
              <w:t>分</w:t>
            </w:r>
          </w:p>
        </w:tc>
        <w:tc>
          <w:tcPr>
            <w:tcW w:w="1038" w:type="dxa"/>
            <w:vMerge w:val="restart"/>
            <w:shd w:val="clear" w:color="auto" w:fill="FFFFFF"/>
            <w:vAlign w:val="center"/>
          </w:tcPr>
          <w:p w14:paraId="2B07BE64">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1952" w:type="dxa"/>
            <w:shd w:val="clear" w:color="auto" w:fill="FFFFFF"/>
            <w:vAlign w:val="center"/>
          </w:tcPr>
          <w:p w14:paraId="0DF1D8C9">
            <w:pPr>
              <w:widowControl/>
              <w:spacing w:line="0" w:lineRule="atLeast"/>
              <w:jc w:val="center"/>
              <w:rPr>
                <w:color w:val="000000"/>
                <w:kern w:val="0"/>
                <w:sz w:val="22"/>
                <w:szCs w:val="22"/>
                <w:highlight w:val="none"/>
              </w:rPr>
            </w:pPr>
            <w:r>
              <w:rPr>
                <w:color w:val="000000"/>
                <w:kern w:val="0"/>
                <w:sz w:val="22"/>
                <w:szCs w:val="22"/>
                <w:highlight w:val="none"/>
              </w:rPr>
              <w:t>资金到位率</w:t>
            </w:r>
          </w:p>
        </w:tc>
        <w:tc>
          <w:tcPr>
            <w:tcW w:w="727" w:type="dxa"/>
            <w:shd w:val="clear" w:color="000000" w:fill="FFFFFF"/>
            <w:vAlign w:val="center"/>
          </w:tcPr>
          <w:p w14:paraId="19DEFF75">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000000" w:fill="FFFFFF"/>
            <w:vAlign w:val="center"/>
          </w:tcPr>
          <w:p w14:paraId="0E09D83A">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14:paraId="4452ED87">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14:paraId="0860C4A0">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000000" w:fill="FFFFFF"/>
            <w:vAlign w:val="center"/>
          </w:tcPr>
          <w:p w14:paraId="236E590F">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14:paraId="024293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750" w:type="dxa"/>
            <w:vMerge w:val="continue"/>
            <w:shd w:val="clear" w:color="auto" w:fill="FFFFFF"/>
            <w:vAlign w:val="center"/>
          </w:tcPr>
          <w:p w14:paraId="74C960FF">
            <w:pPr>
              <w:spacing w:line="0" w:lineRule="atLeast"/>
              <w:jc w:val="center"/>
              <w:rPr>
                <w:color w:val="000000"/>
                <w:kern w:val="0"/>
                <w:sz w:val="22"/>
                <w:szCs w:val="22"/>
                <w:highlight w:val="none"/>
              </w:rPr>
            </w:pPr>
          </w:p>
        </w:tc>
        <w:tc>
          <w:tcPr>
            <w:tcW w:w="662" w:type="dxa"/>
            <w:vMerge w:val="continue"/>
            <w:shd w:val="clear" w:color="auto" w:fill="FFFFFF"/>
            <w:vAlign w:val="center"/>
          </w:tcPr>
          <w:p w14:paraId="716B1B0F">
            <w:pPr>
              <w:spacing w:line="0" w:lineRule="atLeast"/>
              <w:jc w:val="center"/>
              <w:rPr>
                <w:color w:val="000000"/>
                <w:kern w:val="0"/>
                <w:sz w:val="22"/>
                <w:szCs w:val="22"/>
                <w:highlight w:val="none"/>
              </w:rPr>
            </w:pPr>
          </w:p>
        </w:tc>
        <w:tc>
          <w:tcPr>
            <w:tcW w:w="1038" w:type="dxa"/>
            <w:vMerge w:val="continue"/>
            <w:shd w:val="clear" w:color="auto" w:fill="FFFFFF"/>
            <w:vAlign w:val="center"/>
          </w:tcPr>
          <w:p w14:paraId="0FA8C9C3">
            <w:pPr>
              <w:spacing w:line="0" w:lineRule="atLeast"/>
              <w:jc w:val="center"/>
              <w:rPr>
                <w:color w:val="000000"/>
                <w:kern w:val="0"/>
                <w:sz w:val="22"/>
                <w:szCs w:val="22"/>
                <w:highlight w:val="none"/>
              </w:rPr>
            </w:pPr>
          </w:p>
        </w:tc>
        <w:tc>
          <w:tcPr>
            <w:tcW w:w="1952" w:type="dxa"/>
            <w:shd w:val="clear" w:color="auto" w:fill="FFFFFF"/>
            <w:vAlign w:val="center"/>
          </w:tcPr>
          <w:p w14:paraId="010C33F0">
            <w:pPr>
              <w:widowControl/>
              <w:spacing w:line="0" w:lineRule="atLeast"/>
              <w:jc w:val="center"/>
              <w:rPr>
                <w:color w:val="000000"/>
                <w:kern w:val="0"/>
                <w:sz w:val="22"/>
                <w:szCs w:val="22"/>
                <w:highlight w:val="none"/>
              </w:rPr>
            </w:pPr>
            <w:r>
              <w:rPr>
                <w:color w:val="000000"/>
                <w:kern w:val="0"/>
                <w:sz w:val="22"/>
                <w:szCs w:val="22"/>
                <w:highlight w:val="none"/>
              </w:rPr>
              <w:t>预算执行率</w:t>
            </w:r>
          </w:p>
        </w:tc>
        <w:tc>
          <w:tcPr>
            <w:tcW w:w="727" w:type="dxa"/>
            <w:shd w:val="clear" w:color="auto" w:fill="FFFFFF"/>
            <w:vAlign w:val="center"/>
          </w:tcPr>
          <w:p w14:paraId="158100B7">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auto" w:fill="FFFFFF"/>
            <w:vAlign w:val="center"/>
          </w:tcPr>
          <w:p w14:paraId="11024E29">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auto" w:fill="FFFFFF"/>
            <w:vAlign w:val="center"/>
          </w:tcPr>
          <w:p w14:paraId="2FD62751">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auto" w:fill="FFFFFF"/>
            <w:vAlign w:val="center"/>
          </w:tcPr>
          <w:p w14:paraId="5425F622">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auto" w:fill="FFFFFF"/>
            <w:vAlign w:val="center"/>
          </w:tcPr>
          <w:p w14:paraId="4C3C75CD">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14:paraId="46AF13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750" w:type="dxa"/>
            <w:vMerge w:val="continue"/>
            <w:shd w:val="clear" w:color="auto" w:fill="FFFFFF"/>
            <w:vAlign w:val="center"/>
          </w:tcPr>
          <w:p w14:paraId="00F38B19">
            <w:pPr>
              <w:spacing w:line="0" w:lineRule="atLeast"/>
              <w:jc w:val="center"/>
              <w:rPr>
                <w:color w:val="000000"/>
                <w:kern w:val="0"/>
                <w:sz w:val="22"/>
                <w:szCs w:val="22"/>
                <w:highlight w:val="none"/>
              </w:rPr>
            </w:pPr>
          </w:p>
        </w:tc>
        <w:tc>
          <w:tcPr>
            <w:tcW w:w="662" w:type="dxa"/>
            <w:vMerge w:val="continue"/>
            <w:shd w:val="clear" w:color="auto" w:fill="FFFFFF"/>
            <w:vAlign w:val="center"/>
          </w:tcPr>
          <w:p w14:paraId="3960BAB8">
            <w:pPr>
              <w:widowControl/>
              <w:spacing w:line="0" w:lineRule="atLeast"/>
              <w:jc w:val="center"/>
              <w:rPr>
                <w:color w:val="000000"/>
                <w:kern w:val="0"/>
                <w:sz w:val="22"/>
                <w:szCs w:val="22"/>
                <w:highlight w:val="none"/>
              </w:rPr>
            </w:pPr>
          </w:p>
        </w:tc>
        <w:tc>
          <w:tcPr>
            <w:tcW w:w="1038" w:type="dxa"/>
            <w:shd w:val="clear" w:color="auto" w:fill="FFFFFF"/>
            <w:vAlign w:val="center"/>
          </w:tcPr>
          <w:p w14:paraId="6F166113">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1952" w:type="dxa"/>
            <w:shd w:val="clear" w:color="auto" w:fill="FFFFFF"/>
            <w:vAlign w:val="center"/>
          </w:tcPr>
          <w:p w14:paraId="0D4F8172">
            <w:pPr>
              <w:widowControl/>
              <w:spacing w:line="0" w:lineRule="atLeast"/>
              <w:jc w:val="center"/>
              <w:rPr>
                <w:color w:val="000000"/>
                <w:kern w:val="0"/>
                <w:sz w:val="22"/>
                <w:szCs w:val="22"/>
                <w:highlight w:val="none"/>
              </w:rPr>
            </w:pPr>
            <w:r>
              <w:rPr>
                <w:color w:val="000000"/>
                <w:kern w:val="0"/>
                <w:sz w:val="22"/>
                <w:szCs w:val="22"/>
                <w:highlight w:val="none"/>
              </w:rPr>
              <w:t>资金使用</w:t>
            </w:r>
          </w:p>
          <w:p w14:paraId="4358D736">
            <w:pPr>
              <w:widowControl/>
              <w:spacing w:line="0" w:lineRule="atLeast"/>
              <w:jc w:val="center"/>
              <w:rPr>
                <w:color w:val="000000"/>
                <w:kern w:val="0"/>
                <w:sz w:val="22"/>
                <w:szCs w:val="22"/>
                <w:highlight w:val="none"/>
              </w:rPr>
            </w:pPr>
            <w:r>
              <w:rPr>
                <w:color w:val="000000"/>
                <w:kern w:val="0"/>
                <w:sz w:val="22"/>
                <w:szCs w:val="22"/>
                <w:highlight w:val="none"/>
              </w:rPr>
              <w:t>合规性</w:t>
            </w:r>
          </w:p>
        </w:tc>
        <w:tc>
          <w:tcPr>
            <w:tcW w:w="727" w:type="dxa"/>
            <w:shd w:val="clear" w:color="000000" w:fill="FFFFFF"/>
            <w:vAlign w:val="center"/>
          </w:tcPr>
          <w:p w14:paraId="33C45325">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000000" w:fill="FFFFFF"/>
            <w:vAlign w:val="center"/>
          </w:tcPr>
          <w:p w14:paraId="61A32131">
            <w:pPr>
              <w:widowControl/>
              <w:spacing w:line="0" w:lineRule="atLeast"/>
              <w:jc w:val="center"/>
              <w:rPr>
                <w:color w:val="000000"/>
                <w:kern w:val="0"/>
                <w:sz w:val="22"/>
                <w:szCs w:val="22"/>
                <w:highlight w:val="none"/>
              </w:rPr>
            </w:pPr>
            <w:r>
              <w:rPr>
                <w:color w:val="000000"/>
                <w:kern w:val="0"/>
                <w:sz w:val="22"/>
                <w:szCs w:val="22"/>
                <w:highlight w:val="none"/>
              </w:rPr>
              <w:t>合格</w:t>
            </w:r>
          </w:p>
        </w:tc>
        <w:tc>
          <w:tcPr>
            <w:tcW w:w="924" w:type="dxa"/>
            <w:shd w:val="clear" w:color="000000" w:fill="FFFFFF"/>
            <w:vAlign w:val="center"/>
          </w:tcPr>
          <w:p w14:paraId="1337EF59">
            <w:pPr>
              <w:widowControl/>
              <w:spacing w:line="0" w:lineRule="atLeast"/>
              <w:jc w:val="center"/>
              <w:rPr>
                <w:color w:val="000000"/>
                <w:kern w:val="0"/>
                <w:sz w:val="22"/>
                <w:szCs w:val="22"/>
                <w:highlight w:val="none"/>
              </w:rPr>
            </w:pPr>
            <w:r>
              <w:rPr>
                <w:color w:val="000000"/>
                <w:kern w:val="0"/>
                <w:sz w:val="22"/>
                <w:szCs w:val="22"/>
                <w:highlight w:val="none"/>
              </w:rPr>
              <w:t>合格</w:t>
            </w:r>
          </w:p>
        </w:tc>
        <w:tc>
          <w:tcPr>
            <w:tcW w:w="1215" w:type="dxa"/>
            <w:shd w:val="clear" w:color="000000" w:fill="FFFFFF"/>
            <w:vAlign w:val="center"/>
          </w:tcPr>
          <w:p w14:paraId="62D90AEF">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000000" w:fill="FFFFFF"/>
            <w:vAlign w:val="center"/>
          </w:tcPr>
          <w:p w14:paraId="6C5F51B7">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14:paraId="4AB875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750" w:type="dxa"/>
            <w:vMerge w:val="continue"/>
            <w:shd w:val="clear" w:color="auto" w:fill="FFFFFF"/>
            <w:vAlign w:val="center"/>
          </w:tcPr>
          <w:p w14:paraId="25128B4F">
            <w:pPr>
              <w:spacing w:line="0" w:lineRule="atLeast"/>
              <w:jc w:val="center"/>
              <w:rPr>
                <w:color w:val="000000"/>
                <w:kern w:val="0"/>
                <w:sz w:val="22"/>
                <w:szCs w:val="22"/>
                <w:highlight w:val="none"/>
              </w:rPr>
            </w:pPr>
          </w:p>
        </w:tc>
        <w:tc>
          <w:tcPr>
            <w:tcW w:w="662" w:type="dxa"/>
            <w:vMerge w:val="continue"/>
            <w:shd w:val="clear" w:color="auto" w:fill="FFFFFF"/>
            <w:vAlign w:val="center"/>
          </w:tcPr>
          <w:p w14:paraId="58112193">
            <w:pPr>
              <w:spacing w:line="0" w:lineRule="atLeast"/>
              <w:jc w:val="center"/>
              <w:rPr>
                <w:color w:val="000000"/>
                <w:kern w:val="0"/>
                <w:sz w:val="22"/>
                <w:szCs w:val="22"/>
                <w:highlight w:val="none"/>
              </w:rPr>
            </w:pPr>
          </w:p>
        </w:tc>
        <w:tc>
          <w:tcPr>
            <w:tcW w:w="1038" w:type="dxa"/>
            <w:vMerge w:val="restart"/>
            <w:shd w:val="clear" w:color="auto" w:fill="FFFFFF"/>
            <w:vAlign w:val="center"/>
          </w:tcPr>
          <w:p w14:paraId="38B55D12">
            <w:pPr>
              <w:widowControl/>
              <w:spacing w:line="0" w:lineRule="atLeast"/>
              <w:jc w:val="center"/>
              <w:rPr>
                <w:color w:val="000000"/>
                <w:kern w:val="0"/>
                <w:sz w:val="22"/>
                <w:szCs w:val="22"/>
                <w:highlight w:val="none"/>
              </w:rPr>
            </w:pPr>
            <w:r>
              <w:rPr>
                <w:color w:val="000000"/>
                <w:kern w:val="0"/>
                <w:sz w:val="22"/>
                <w:szCs w:val="22"/>
                <w:highlight w:val="none"/>
              </w:rPr>
              <w:t>组织实施</w:t>
            </w:r>
          </w:p>
        </w:tc>
        <w:tc>
          <w:tcPr>
            <w:tcW w:w="1952" w:type="dxa"/>
            <w:shd w:val="clear" w:color="auto" w:fill="FFFFFF"/>
            <w:vAlign w:val="center"/>
          </w:tcPr>
          <w:p w14:paraId="74B2771E">
            <w:pPr>
              <w:widowControl/>
              <w:spacing w:line="0" w:lineRule="atLeast"/>
              <w:jc w:val="center"/>
              <w:rPr>
                <w:color w:val="000000"/>
                <w:kern w:val="0"/>
                <w:sz w:val="22"/>
                <w:szCs w:val="22"/>
                <w:highlight w:val="none"/>
              </w:rPr>
            </w:pPr>
            <w:r>
              <w:rPr>
                <w:color w:val="000000"/>
                <w:kern w:val="0"/>
                <w:sz w:val="22"/>
                <w:szCs w:val="22"/>
                <w:highlight w:val="none"/>
              </w:rPr>
              <w:t>管理制度</w:t>
            </w:r>
          </w:p>
          <w:p w14:paraId="0B3D26CE">
            <w:pPr>
              <w:widowControl/>
              <w:spacing w:line="0" w:lineRule="atLeast"/>
              <w:jc w:val="center"/>
              <w:rPr>
                <w:color w:val="000000"/>
                <w:kern w:val="0"/>
                <w:sz w:val="22"/>
                <w:szCs w:val="22"/>
                <w:highlight w:val="none"/>
              </w:rPr>
            </w:pPr>
            <w:r>
              <w:rPr>
                <w:color w:val="000000"/>
                <w:kern w:val="0"/>
                <w:sz w:val="22"/>
                <w:szCs w:val="22"/>
                <w:highlight w:val="none"/>
              </w:rPr>
              <w:t>健全性</w:t>
            </w:r>
          </w:p>
        </w:tc>
        <w:tc>
          <w:tcPr>
            <w:tcW w:w="727" w:type="dxa"/>
            <w:shd w:val="clear" w:color="000000" w:fill="FFFFFF"/>
            <w:vAlign w:val="center"/>
          </w:tcPr>
          <w:p w14:paraId="38E16052">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000000" w:fill="FFFFFF"/>
            <w:vAlign w:val="center"/>
          </w:tcPr>
          <w:p w14:paraId="09AE60F9">
            <w:pPr>
              <w:widowControl/>
              <w:spacing w:line="0" w:lineRule="atLeast"/>
              <w:jc w:val="center"/>
              <w:rPr>
                <w:color w:val="000000"/>
                <w:kern w:val="0"/>
                <w:sz w:val="22"/>
                <w:szCs w:val="22"/>
                <w:highlight w:val="none"/>
              </w:rPr>
            </w:pPr>
            <w:r>
              <w:rPr>
                <w:color w:val="000000"/>
                <w:kern w:val="0"/>
                <w:sz w:val="22"/>
                <w:szCs w:val="22"/>
                <w:highlight w:val="none"/>
              </w:rPr>
              <w:t>健全</w:t>
            </w:r>
          </w:p>
        </w:tc>
        <w:tc>
          <w:tcPr>
            <w:tcW w:w="924" w:type="dxa"/>
            <w:shd w:val="clear" w:color="000000" w:fill="FFFFFF"/>
            <w:vAlign w:val="center"/>
          </w:tcPr>
          <w:p w14:paraId="2437E6E9">
            <w:pPr>
              <w:widowControl/>
              <w:spacing w:line="0" w:lineRule="atLeast"/>
              <w:jc w:val="center"/>
              <w:rPr>
                <w:color w:val="000000"/>
                <w:kern w:val="0"/>
                <w:sz w:val="22"/>
                <w:szCs w:val="22"/>
                <w:highlight w:val="none"/>
              </w:rPr>
            </w:pPr>
            <w:r>
              <w:rPr>
                <w:color w:val="000000"/>
                <w:kern w:val="0"/>
                <w:sz w:val="22"/>
                <w:szCs w:val="22"/>
                <w:highlight w:val="none"/>
              </w:rPr>
              <w:t>健全</w:t>
            </w:r>
          </w:p>
        </w:tc>
        <w:tc>
          <w:tcPr>
            <w:tcW w:w="1215" w:type="dxa"/>
            <w:shd w:val="clear" w:color="000000" w:fill="FFFFFF"/>
            <w:vAlign w:val="center"/>
          </w:tcPr>
          <w:p w14:paraId="7EBB121E">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000000" w:fill="FFFFFF"/>
            <w:vAlign w:val="center"/>
          </w:tcPr>
          <w:p w14:paraId="27519D65">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14:paraId="33A9DC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750" w:type="dxa"/>
            <w:vMerge w:val="continue"/>
            <w:shd w:val="clear" w:color="auto" w:fill="FFFFFF"/>
            <w:vAlign w:val="center"/>
          </w:tcPr>
          <w:p w14:paraId="5C1BD8CC">
            <w:pPr>
              <w:widowControl/>
              <w:spacing w:line="0" w:lineRule="atLeast"/>
              <w:jc w:val="center"/>
              <w:rPr>
                <w:color w:val="000000"/>
                <w:kern w:val="0"/>
                <w:sz w:val="22"/>
                <w:szCs w:val="22"/>
                <w:highlight w:val="none"/>
              </w:rPr>
            </w:pPr>
          </w:p>
        </w:tc>
        <w:tc>
          <w:tcPr>
            <w:tcW w:w="662" w:type="dxa"/>
            <w:vMerge w:val="continue"/>
            <w:shd w:val="clear" w:color="auto" w:fill="FFFFFF"/>
            <w:vAlign w:val="center"/>
          </w:tcPr>
          <w:p w14:paraId="13C14D8E">
            <w:pPr>
              <w:widowControl/>
              <w:spacing w:line="0" w:lineRule="atLeast"/>
              <w:jc w:val="center"/>
              <w:rPr>
                <w:color w:val="000000"/>
                <w:kern w:val="0"/>
                <w:sz w:val="22"/>
                <w:szCs w:val="22"/>
                <w:highlight w:val="none"/>
              </w:rPr>
            </w:pPr>
          </w:p>
        </w:tc>
        <w:tc>
          <w:tcPr>
            <w:tcW w:w="1038" w:type="dxa"/>
            <w:vMerge w:val="continue"/>
            <w:shd w:val="clear" w:color="auto" w:fill="FFFFFF"/>
            <w:vAlign w:val="center"/>
          </w:tcPr>
          <w:p w14:paraId="2CBF38DA">
            <w:pPr>
              <w:widowControl/>
              <w:spacing w:line="0" w:lineRule="atLeast"/>
              <w:jc w:val="center"/>
              <w:rPr>
                <w:color w:val="000000"/>
                <w:kern w:val="0"/>
                <w:sz w:val="22"/>
                <w:szCs w:val="22"/>
                <w:highlight w:val="none"/>
              </w:rPr>
            </w:pPr>
          </w:p>
        </w:tc>
        <w:tc>
          <w:tcPr>
            <w:tcW w:w="1952" w:type="dxa"/>
            <w:shd w:val="clear" w:color="auto" w:fill="FFFFFF"/>
            <w:vAlign w:val="center"/>
          </w:tcPr>
          <w:p w14:paraId="2783E20C">
            <w:pPr>
              <w:widowControl/>
              <w:spacing w:line="0" w:lineRule="atLeast"/>
              <w:jc w:val="center"/>
              <w:rPr>
                <w:color w:val="000000"/>
                <w:kern w:val="0"/>
                <w:sz w:val="22"/>
                <w:szCs w:val="22"/>
                <w:highlight w:val="none"/>
              </w:rPr>
            </w:pPr>
            <w:r>
              <w:rPr>
                <w:color w:val="000000"/>
                <w:kern w:val="0"/>
                <w:sz w:val="22"/>
                <w:szCs w:val="22"/>
                <w:highlight w:val="none"/>
              </w:rPr>
              <w:t>制度执行</w:t>
            </w:r>
          </w:p>
          <w:p w14:paraId="1248AD34">
            <w:pPr>
              <w:widowControl/>
              <w:spacing w:line="0" w:lineRule="atLeast"/>
              <w:jc w:val="center"/>
              <w:rPr>
                <w:color w:val="000000"/>
                <w:kern w:val="0"/>
                <w:sz w:val="22"/>
                <w:szCs w:val="22"/>
                <w:highlight w:val="none"/>
              </w:rPr>
            </w:pPr>
            <w:r>
              <w:rPr>
                <w:color w:val="000000"/>
                <w:kern w:val="0"/>
                <w:sz w:val="22"/>
                <w:szCs w:val="22"/>
                <w:highlight w:val="none"/>
              </w:rPr>
              <w:t>有效性</w:t>
            </w:r>
          </w:p>
        </w:tc>
        <w:tc>
          <w:tcPr>
            <w:tcW w:w="727" w:type="dxa"/>
            <w:shd w:val="clear" w:color="000000" w:fill="FFFFFF"/>
            <w:vAlign w:val="center"/>
          </w:tcPr>
          <w:p w14:paraId="3767C27C">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000000" w:fill="FFFFFF"/>
            <w:vAlign w:val="center"/>
          </w:tcPr>
          <w:p w14:paraId="1A81D767">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924" w:type="dxa"/>
            <w:shd w:val="clear" w:color="000000" w:fill="FFFFFF"/>
            <w:vAlign w:val="center"/>
          </w:tcPr>
          <w:p w14:paraId="42B2F4CD">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1215" w:type="dxa"/>
            <w:shd w:val="clear" w:color="000000" w:fill="FFFFFF"/>
            <w:vAlign w:val="center"/>
          </w:tcPr>
          <w:p w14:paraId="6ED05085">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000000" w:fill="FFFFFF"/>
            <w:vAlign w:val="center"/>
          </w:tcPr>
          <w:p w14:paraId="78CD9977">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14:paraId="791A55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750" w:type="dxa"/>
            <w:vMerge w:val="restart"/>
            <w:shd w:val="clear" w:color="auto" w:fill="FFFFFF"/>
            <w:vAlign w:val="center"/>
          </w:tcPr>
          <w:p w14:paraId="754DF2D8">
            <w:pPr>
              <w:widowControl/>
              <w:spacing w:line="0" w:lineRule="atLeast"/>
              <w:jc w:val="center"/>
              <w:rPr>
                <w:color w:val="000000"/>
                <w:kern w:val="0"/>
                <w:sz w:val="22"/>
                <w:szCs w:val="22"/>
                <w:highlight w:val="none"/>
              </w:rPr>
            </w:pPr>
            <w:r>
              <w:rPr>
                <w:rFonts w:hint="eastAsia"/>
                <w:color w:val="000000"/>
                <w:kern w:val="0"/>
                <w:sz w:val="22"/>
                <w:szCs w:val="22"/>
                <w:highlight w:val="none"/>
                <w:lang w:eastAsia="zh-CN"/>
              </w:rPr>
              <w:t>项目</w:t>
            </w:r>
            <w:r>
              <w:rPr>
                <w:color w:val="000000"/>
                <w:kern w:val="0"/>
                <w:sz w:val="22"/>
                <w:szCs w:val="22"/>
                <w:highlight w:val="none"/>
              </w:rPr>
              <w:t>产出</w:t>
            </w:r>
          </w:p>
        </w:tc>
        <w:tc>
          <w:tcPr>
            <w:tcW w:w="662" w:type="dxa"/>
            <w:vMerge w:val="restart"/>
            <w:shd w:val="clear" w:color="auto" w:fill="FFFFFF"/>
            <w:vAlign w:val="center"/>
          </w:tcPr>
          <w:p w14:paraId="6B136170">
            <w:pPr>
              <w:widowControl/>
              <w:spacing w:line="0" w:lineRule="atLeast"/>
              <w:jc w:val="center"/>
              <w:rPr>
                <w:color w:val="000000"/>
                <w:kern w:val="0"/>
                <w:sz w:val="22"/>
                <w:szCs w:val="22"/>
                <w:highlight w:val="none"/>
              </w:rPr>
            </w:pPr>
            <w:r>
              <w:rPr>
                <w:rFonts w:hint="eastAsia"/>
                <w:kern w:val="0"/>
                <w:sz w:val="22"/>
                <w:szCs w:val="22"/>
                <w:highlight w:val="none"/>
              </w:rPr>
              <w:t>40</w:t>
            </w:r>
            <w:r>
              <w:rPr>
                <w:kern w:val="0"/>
                <w:sz w:val="22"/>
                <w:szCs w:val="22"/>
                <w:highlight w:val="none"/>
              </w:rPr>
              <w:t>分</w:t>
            </w:r>
          </w:p>
        </w:tc>
        <w:tc>
          <w:tcPr>
            <w:tcW w:w="1038" w:type="dxa"/>
            <w:shd w:val="clear" w:color="auto" w:fill="FFFFFF"/>
            <w:vAlign w:val="center"/>
          </w:tcPr>
          <w:p w14:paraId="25D80D11">
            <w:pPr>
              <w:widowControl/>
              <w:spacing w:line="0" w:lineRule="atLeast"/>
              <w:jc w:val="center"/>
              <w:rPr>
                <w:color w:val="000000"/>
                <w:kern w:val="0"/>
                <w:sz w:val="22"/>
                <w:szCs w:val="22"/>
                <w:highlight w:val="none"/>
              </w:rPr>
            </w:pPr>
            <w:r>
              <w:rPr>
                <w:color w:val="000000"/>
                <w:kern w:val="0"/>
                <w:sz w:val="22"/>
                <w:szCs w:val="22"/>
                <w:highlight w:val="none"/>
              </w:rPr>
              <w:t>产出数量</w:t>
            </w:r>
          </w:p>
        </w:tc>
        <w:tc>
          <w:tcPr>
            <w:tcW w:w="1952" w:type="dxa"/>
            <w:shd w:val="clear" w:color="auto" w:fill="FFFFFF"/>
            <w:vAlign w:val="center"/>
          </w:tcPr>
          <w:p w14:paraId="35009294">
            <w:pPr>
              <w:widowControl/>
              <w:spacing w:line="0" w:lineRule="atLeast"/>
              <w:jc w:val="center"/>
              <w:rPr>
                <w:color w:val="000000"/>
                <w:kern w:val="0"/>
                <w:sz w:val="22"/>
                <w:szCs w:val="22"/>
                <w:highlight w:val="none"/>
              </w:rPr>
            </w:pPr>
            <w:r>
              <w:rPr>
                <w:color w:val="000000"/>
                <w:kern w:val="0"/>
                <w:sz w:val="22"/>
                <w:szCs w:val="22"/>
                <w:highlight w:val="none"/>
              </w:rPr>
              <w:t>实际完成率</w:t>
            </w:r>
          </w:p>
        </w:tc>
        <w:tc>
          <w:tcPr>
            <w:tcW w:w="727" w:type="dxa"/>
            <w:shd w:val="clear" w:color="000000" w:fill="FFFFFF"/>
            <w:vAlign w:val="center"/>
          </w:tcPr>
          <w:p w14:paraId="7EAF7003">
            <w:pPr>
              <w:widowControl/>
              <w:spacing w:line="0" w:lineRule="atLeast"/>
              <w:jc w:val="center"/>
              <w:rPr>
                <w:color w:val="000000"/>
                <w:kern w:val="0"/>
                <w:sz w:val="22"/>
                <w:szCs w:val="22"/>
                <w:highlight w:val="none"/>
              </w:rPr>
            </w:pPr>
            <w:r>
              <w:rPr>
                <w:color w:val="000000"/>
                <w:kern w:val="0"/>
                <w:sz w:val="22"/>
                <w:szCs w:val="22"/>
                <w:highlight w:val="none"/>
              </w:rPr>
              <w:t>1</w:t>
            </w:r>
            <w:r>
              <w:rPr>
                <w:rFonts w:hint="eastAsia"/>
                <w:color w:val="000000"/>
                <w:kern w:val="0"/>
                <w:sz w:val="22"/>
                <w:szCs w:val="22"/>
                <w:highlight w:val="none"/>
              </w:rPr>
              <w:t>0</w:t>
            </w:r>
          </w:p>
        </w:tc>
        <w:tc>
          <w:tcPr>
            <w:tcW w:w="1044" w:type="dxa"/>
            <w:shd w:val="clear" w:color="000000" w:fill="FFFFFF"/>
            <w:vAlign w:val="center"/>
          </w:tcPr>
          <w:p w14:paraId="72D4D479">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14:paraId="3C6194E2">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14:paraId="48063420">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000000" w:fill="FFFFFF"/>
            <w:vAlign w:val="center"/>
          </w:tcPr>
          <w:p w14:paraId="2443288F">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w:t>
            </w:r>
          </w:p>
        </w:tc>
      </w:tr>
      <w:tr w14:paraId="6F3776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750" w:type="dxa"/>
            <w:vMerge w:val="continue"/>
            <w:shd w:val="clear" w:color="auto" w:fill="FFFFFF"/>
            <w:vAlign w:val="center"/>
          </w:tcPr>
          <w:p w14:paraId="3F9540C2">
            <w:pPr>
              <w:widowControl/>
              <w:spacing w:line="0" w:lineRule="atLeast"/>
              <w:jc w:val="center"/>
              <w:rPr>
                <w:color w:val="000000"/>
                <w:kern w:val="0"/>
                <w:sz w:val="22"/>
                <w:szCs w:val="22"/>
                <w:highlight w:val="none"/>
              </w:rPr>
            </w:pPr>
          </w:p>
        </w:tc>
        <w:tc>
          <w:tcPr>
            <w:tcW w:w="662" w:type="dxa"/>
            <w:vMerge w:val="continue"/>
            <w:shd w:val="clear" w:color="auto" w:fill="FFFFFF"/>
            <w:vAlign w:val="center"/>
          </w:tcPr>
          <w:p w14:paraId="603C9EE5">
            <w:pPr>
              <w:widowControl/>
              <w:spacing w:line="0" w:lineRule="atLeast"/>
              <w:jc w:val="center"/>
              <w:rPr>
                <w:color w:val="000000"/>
                <w:kern w:val="0"/>
                <w:sz w:val="22"/>
                <w:szCs w:val="22"/>
                <w:highlight w:val="none"/>
              </w:rPr>
            </w:pPr>
          </w:p>
        </w:tc>
        <w:tc>
          <w:tcPr>
            <w:tcW w:w="1038" w:type="dxa"/>
            <w:shd w:val="clear" w:color="auto" w:fill="FFFFFF"/>
            <w:vAlign w:val="center"/>
          </w:tcPr>
          <w:p w14:paraId="33819A01">
            <w:pPr>
              <w:widowControl/>
              <w:spacing w:line="0" w:lineRule="atLeast"/>
              <w:jc w:val="center"/>
              <w:rPr>
                <w:color w:val="000000"/>
                <w:kern w:val="0"/>
                <w:sz w:val="22"/>
                <w:szCs w:val="22"/>
                <w:highlight w:val="none"/>
              </w:rPr>
            </w:pPr>
            <w:r>
              <w:rPr>
                <w:color w:val="000000"/>
                <w:kern w:val="0"/>
                <w:sz w:val="22"/>
                <w:szCs w:val="22"/>
                <w:highlight w:val="none"/>
              </w:rPr>
              <w:t>产出质量</w:t>
            </w:r>
          </w:p>
        </w:tc>
        <w:tc>
          <w:tcPr>
            <w:tcW w:w="1952" w:type="dxa"/>
            <w:shd w:val="clear" w:color="auto" w:fill="FFFFFF"/>
            <w:vAlign w:val="center"/>
          </w:tcPr>
          <w:p w14:paraId="3B5B0EB0">
            <w:pPr>
              <w:widowControl/>
              <w:spacing w:line="0" w:lineRule="atLeast"/>
              <w:jc w:val="center"/>
              <w:rPr>
                <w:color w:val="000000"/>
                <w:kern w:val="0"/>
                <w:sz w:val="22"/>
                <w:szCs w:val="22"/>
                <w:highlight w:val="none"/>
              </w:rPr>
            </w:pPr>
            <w:r>
              <w:rPr>
                <w:color w:val="000000"/>
                <w:kern w:val="0"/>
                <w:sz w:val="22"/>
                <w:szCs w:val="22"/>
                <w:highlight w:val="none"/>
              </w:rPr>
              <w:t>质量达标率</w:t>
            </w:r>
          </w:p>
        </w:tc>
        <w:tc>
          <w:tcPr>
            <w:tcW w:w="727" w:type="dxa"/>
            <w:shd w:val="clear" w:color="000000" w:fill="FFFFFF"/>
            <w:vAlign w:val="center"/>
          </w:tcPr>
          <w:p w14:paraId="43D77826">
            <w:pPr>
              <w:widowControl/>
              <w:spacing w:line="0" w:lineRule="atLeast"/>
              <w:jc w:val="center"/>
              <w:rPr>
                <w:color w:val="000000"/>
                <w:kern w:val="0"/>
                <w:sz w:val="22"/>
                <w:szCs w:val="22"/>
                <w:highlight w:val="none"/>
              </w:rPr>
            </w:pPr>
            <w:r>
              <w:rPr>
                <w:color w:val="000000"/>
                <w:kern w:val="0"/>
                <w:sz w:val="22"/>
                <w:szCs w:val="22"/>
                <w:highlight w:val="none"/>
              </w:rPr>
              <w:t>10</w:t>
            </w:r>
          </w:p>
        </w:tc>
        <w:tc>
          <w:tcPr>
            <w:tcW w:w="1044" w:type="dxa"/>
            <w:shd w:val="clear" w:color="000000" w:fill="FFFFFF"/>
            <w:vAlign w:val="center"/>
          </w:tcPr>
          <w:p w14:paraId="7F2F1689">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14:paraId="4D8F6E04">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14:paraId="4D2AA7E2">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000000" w:fill="FFFFFF"/>
            <w:vAlign w:val="center"/>
          </w:tcPr>
          <w:p w14:paraId="0BCDA80F">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w:t>
            </w:r>
          </w:p>
        </w:tc>
      </w:tr>
      <w:tr w14:paraId="207D41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750" w:type="dxa"/>
            <w:vMerge w:val="continue"/>
            <w:shd w:val="clear" w:color="auto" w:fill="FFFFFF"/>
            <w:vAlign w:val="center"/>
          </w:tcPr>
          <w:p w14:paraId="4B200E57">
            <w:pPr>
              <w:spacing w:line="0" w:lineRule="atLeast"/>
              <w:jc w:val="center"/>
              <w:rPr>
                <w:color w:val="000000"/>
                <w:kern w:val="0"/>
                <w:sz w:val="22"/>
                <w:szCs w:val="22"/>
                <w:highlight w:val="none"/>
              </w:rPr>
            </w:pPr>
          </w:p>
        </w:tc>
        <w:tc>
          <w:tcPr>
            <w:tcW w:w="662" w:type="dxa"/>
            <w:vMerge w:val="continue"/>
            <w:shd w:val="clear" w:color="auto" w:fill="FFFFFF"/>
            <w:vAlign w:val="center"/>
          </w:tcPr>
          <w:p w14:paraId="07D06D9C">
            <w:pPr>
              <w:spacing w:line="0" w:lineRule="atLeast"/>
              <w:jc w:val="center"/>
              <w:rPr>
                <w:color w:val="000000"/>
                <w:kern w:val="0"/>
                <w:sz w:val="22"/>
                <w:szCs w:val="22"/>
                <w:highlight w:val="none"/>
              </w:rPr>
            </w:pPr>
          </w:p>
        </w:tc>
        <w:tc>
          <w:tcPr>
            <w:tcW w:w="1038" w:type="dxa"/>
            <w:shd w:val="clear" w:color="auto" w:fill="FFFFFF"/>
            <w:vAlign w:val="center"/>
          </w:tcPr>
          <w:p w14:paraId="63994D25">
            <w:pPr>
              <w:spacing w:line="0" w:lineRule="atLeast"/>
              <w:jc w:val="center"/>
              <w:rPr>
                <w:color w:val="000000"/>
                <w:kern w:val="0"/>
                <w:sz w:val="22"/>
                <w:szCs w:val="22"/>
                <w:highlight w:val="none"/>
              </w:rPr>
            </w:pPr>
            <w:r>
              <w:rPr>
                <w:color w:val="000000"/>
                <w:kern w:val="0"/>
                <w:sz w:val="22"/>
                <w:szCs w:val="22"/>
                <w:highlight w:val="none"/>
              </w:rPr>
              <w:t>产出时效</w:t>
            </w:r>
          </w:p>
        </w:tc>
        <w:tc>
          <w:tcPr>
            <w:tcW w:w="1952" w:type="dxa"/>
            <w:shd w:val="clear" w:color="auto" w:fill="FFFFFF"/>
            <w:vAlign w:val="center"/>
          </w:tcPr>
          <w:p w14:paraId="409EAD7C">
            <w:pPr>
              <w:widowControl/>
              <w:spacing w:line="0" w:lineRule="atLeast"/>
              <w:jc w:val="center"/>
              <w:rPr>
                <w:color w:val="000000"/>
                <w:kern w:val="0"/>
                <w:sz w:val="22"/>
                <w:szCs w:val="22"/>
                <w:highlight w:val="none"/>
              </w:rPr>
            </w:pPr>
            <w:r>
              <w:rPr>
                <w:color w:val="000000"/>
                <w:kern w:val="0"/>
                <w:sz w:val="22"/>
                <w:szCs w:val="22"/>
                <w:highlight w:val="none"/>
              </w:rPr>
              <w:t>完成及时性</w:t>
            </w:r>
          </w:p>
        </w:tc>
        <w:tc>
          <w:tcPr>
            <w:tcW w:w="727" w:type="dxa"/>
            <w:shd w:val="clear" w:color="000000" w:fill="FFFFFF"/>
            <w:vAlign w:val="center"/>
          </w:tcPr>
          <w:p w14:paraId="4F9FEC62">
            <w:pPr>
              <w:widowControl/>
              <w:spacing w:line="0" w:lineRule="atLeast"/>
              <w:jc w:val="center"/>
              <w:rPr>
                <w:color w:val="000000"/>
                <w:kern w:val="0"/>
                <w:sz w:val="22"/>
                <w:szCs w:val="22"/>
                <w:highlight w:val="none"/>
              </w:rPr>
            </w:pPr>
            <w:r>
              <w:rPr>
                <w:color w:val="000000"/>
                <w:kern w:val="0"/>
                <w:sz w:val="22"/>
                <w:szCs w:val="22"/>
                <w:highlight w:val="none"/>
              </w:rPr>
              <w:t>1</w:t>
            </w:r>
            <w:r>
              <w:rPr>
                <w:rFonts w:hint="eastAsia"/>
                <w:color w:val="000000"/>
                <w:kern w:val="0"/>
                <w:sz w:val="22"/>
                <w:szCs w:val="22"/>
                <w:highlight w:val="none"/>
              </w:rPr>
              <w:t>0</w:t>
            </w:r>
          </w:p>
        </w:tc>
        <w:tc>
          <w:tcPr>
            <w:tcW w:w="1044" w:type="dxa"/>
            <w:shd w:val="clear" w:color="000000" w:fill="FFFFFF"/>
            <w:vAlign w:val="center"/>
          </w:tcPr>
          <w:p w14:paraId="3F703EF6">
            <w:pPr>
              <w:widowControl/>
              <w:spacing w:line="0" w:lineRule="atLeast"/>
              <w:jc w:val="center"/>
              <w:rPr>
                <w:color w:val="000000"/>
                <w:kern w:val="0"/>
                <w:sz w:val="22"/>
                <w:szCs w:val="22"/>
                <w:highlight w:val="none"/>
              </w:rPr>
            </w:pPr>
            <w:r>
              <w:rPr>
                <w:color w:val="000000"/>
                <w:kern w:val="0"/>
                <w:sz w:val="22"/>
                <w:szCs w:val="22"/>
                <w:highlight w:val="none"/>
              </w:rPr>
              <w:t>及时</w:t>
            </w:r>
          </w:p>
        </w:tc>
        <w:tc>
          <w:tcPr>
            <w:tcW w:w="924" w:type="dxa"/>
            <w:shd w:val="clear" w:color="000000" w:fill="FFFFFF"/>
            <w:vAlign w:val="center"/>
          </w:tcPr>
          <w:p w14:paraId="25C08E8C">
            <w:pPr>
              <w:widowControl/>
              <w:spacing w:line="0" w:lineRule="atLeast"/>
              <w:jc w:val="center"/>
              <w:rPr>
                <w:color w:val="000000"/>
                <w:kern w:val="0"/>
                <w:sz w:val="22"/>
                <w:szCs w:val="22"/>
                <w:highlight w:val="none"/>
              </w:rPr>
            </w:pPr>
            <w:r>
              <w:rPr>
                <w:color w:val="000000"/>
                <w:kern w:val="0"/>
                <w:sz w:val="22"/>
                <w:szCs w:val="22"/>
                <w:highlight w:val="none"/>
              </w:rPr>
              <w:t>及时</w:t>
            </w:r>
          </w:p>
        </w:tc>
        <w:tc>
          <w:tcPr>
            <w:tcW w:w="1215" w:type="dxa"/>
            <w:shd w:val="clear" w:color="000000" w:fill="FFFFFF"/>
            <w:vAlign w:val="center"/>
          </w:tcPr>
          <w:p w14:paraId="043EB5C1">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000000" w:fill="FFFFFF"/>
            <w:vAlign w:val="center"/>
          </w:tcPr>
          <w:p w14:paraId="57F6FCDA">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w:t>
            </w:r>
          </w:p>
        </w:tc>
      </w:tr>
      <w:tr w14:paraId="3BC1D7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750" w:type="dxa"/>
            <w:vMerge w:val="continue"/>
            <w:shd w:val="clear" w:color="auto" w:fill="FFFFFF"/>
            <w:vAlign w:val="center"/>
          </w:tcPr>
          <w:p w14:paraId="2E4C3C33">
            <w:pPr>
              <w:widowControl/>
              <w:spacing w:line="0" w:lineRule="atLeast"/>
              <w:jc w:val="center"/>
              <w:rPr>
                <w:color w:val="000000"/>
                <w:kern w:val="0"/>
                <w:sz w:val="22"/>
                <w:szCs w:val="22"/>
                <w:highlight w:val="none"/>
              </w:rPr>
            </w:pPr>
          </w:p>
        </w:tc>
        <w:tc>
          <w:tcPr>
            <w:tcW w:w="662" w:type="dxa"/>
            <w:vMerge w:val="continue"/>
            <w:shd w:val="clear" w:color="auto" w:fill="FFFFFF"/>
            <w:vAlign w:val="center"/>
          </w:tcPr>
          <w:p w14:paraId="6BB89C30">
            <w:pPr>
              <w:widowControl/>
              <w:spacing w:line="0" w:lineRule="atLeast"/>
              <w:jc w:val="center"/>
              <w:rPr>
                <w:color w:val="000000"/>
                <w:kern w:val="0"/>
                <w:sz w:val="22"/>
                <w:szCs w:val="22"/>
                <w:highlight w:val="none"/>
              </w:rPr>
            </w:pPr>
          </w:p>
        </w:tc>
        <w:tc>
          <w:tcPr>
            <w:tcW w:w="1038" w:type="dxa"/>
            <w:shd w:val="clear" w:color="auto" w:fill="FFFFFF"/>
            <w:vAlign w:val="center"/>
          </w:tcPr>
          <w:p w14:paraId="414837A3">
            <w:pPr>
              <w:widowControl/>
              <w:spacing w:line="0" w:lineRule="atLeast"/>
              <w:jc w:val="center"/>
              <w:rPr>
                <w:color w:val="000000"/>
                <w:kern w:val="0"/>
                <w:sz w:val="22"/>
                <w:szCs w:val="22"/>
                <w:highlight w:val="none"/>
              </w:rPr>
            </w:pPr>
            <w:r>
              <w:rPr>
                <w:color w:val="000000"/>
                <w:kern w:val="0"/>
                <w:sz w:val="22"/>
                <w:szCs w:val="22"/>
                <w:highlight w:val="none"/>
              </w:rPr>
              <w:t>产出成本</w:t>
            </w:r>
          </w:p>
        </w:tc>
        <w:tc>
          <w:tcPr>
            <w:tcW w:w="1952" w:type="dxa"/>
            <w:shd w:val="clear" w:color="auto" w:fill="FFFFFF"/>
            <w:vAlign w:val="center"/>
          </w:tcPr>
          <w:p w14:paraId="6A47D96E">
            <w:pPr>
              <w:widowControl/>
              <w:spacing w:line="0" w:lineRule="atLeast"/>
              <w:jc w:val="center"/>
              <w:rPr>
                <w:color w:val="000000"/>
                <w:kern w:val="0"/>
                <w:sz w:val="22"/>
                <w:szCs w:val="22"/>
                <w:highlight w:val="none"/>
              </w:rPr>
            </w:pPr>
            <w:r>
              <w:rPr>
                <w:color w:val="000000"/>
                <w:kern w:val="0"/>
                <w:sz w:val="22"/>
                <w:szCs w:val="22"/>
                <w:highlight w:val="none"/>
              </w:rPr>
              <w:t>成本节约率</w:t>
            </w:r>
          </w:p>
        </w:tc>
        <w:tc>
          <w:tcPr>
            <w:tcW w:w="727" w:type="dxa"/>
            <w:shd w:val="clear" w:color="000000" w:fill="FFFFFF"/>
            <w:vAlign w:val="center"/>
          </w:tcPr>
          <w:p w14:paraId="1845D475">
            <w:pPr>
              <w:widowControl/>
              <w:spacing w:line="0" w:lineRule="atLeast"/>
              <w:jc w:val="center"/>
              <w:rPr>
                <w:color w:val="000000"/>
                <w:kern w:val="0"/>
                <w:sz w:val="22"/>
                <w:szCs w:val="22"/>
                <w:highlight w:val="none"/>
              </w:rPr>
            </w:pPr>
            <w:r>
              <w:rPr>
                <w:color w:val="000000"/>
                <w:kern w:val="0"/>
                <w:sz w:val="22"/>
                <w:szCs w:val="22"/>
                <w:highlight w:val="none"/>
              </w:rPr>
              <w:t>10</w:t>
            </w:r>
          </w:p>
        </w:tc>
        <w:tc>
          <w:tcPr>
            <w:tcW w:w="1044" w:type="dxa"/>
            <w:shd w:val="clear" w:color="000000" w:fill="FFFFFF"/>
            <w:vAlign w:val="center"/>
          </w:tcPr>
          <w:p w14:paraId="614FE762">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14:paraId="11818D69">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14:paraId="407B5B30">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000000" w:fill="FFFFFF"/>
            <w:vAlign w:val="center"/>
          </w:tcPr>
          <w:p w14:paraId="56DEBF72">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w:t>
            </w:r>
          </w:p>
        </w:tc>
      </w:tr>
      <w:tr w14:paraId="338F6B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750" w:type="dxa"/>
            <w:vMerge w:val="restart"/>
            <w:shd w:val="clear" w:color="auto" w:fill="FFFFFF"/>
            <w:vAlign w:val="center"/>
          </w:tcPr>
          <w:p w14:paraId="169B089D">
            <w:pPr>
              <w:widowControl/>
              <w:spacing w:line="0" w:lineRule="atLeast"/>
              <w:jc w:val="center"/>
              <w:rPr>
                <w:color w:val="000000"/>
                <w:kern w:val="0"/>
                <w:sz w:val="22"/>
                <w:szCs w:val="22"/>
                <w:highlight w:val="none"/>
              </w:rPr>
            </w:pPr>
            <w:r>
              <w:rPr>
                <w:rFonts w:hint="eastAsia"/>
                <w:color w:val="000000"/>
                <w:kern w:val="0"/>
                <w:sz w:val="22"/>
                <w:szCs w:val="22"/>
                <w:highlight w:val="none"/>
                <w:lang w:eastAsia="zh-CN"/>
              </w:rPr>
              <w:t>项目</w:t>
            </w:r>
            <w:r>
              <w:rPr>
                <w:color w:val="000000"/>
                <w:kern w:val="0"/>
                <w:sz w:val="22"/>
                <w:szCs w:val="22"/>
                <w:highlight w:val="none"/>
              </w:rPr>
              <w:t>效益　</w:t>
            </w:r>
          </w:p>
        </w:tc>
        <w:tc>
          <w:tcPr>
            <w:tcW w:w="662" w:type="dxa"/>
            <w:vMerge w:val="restart"/>
            <w:shd w:val="clear" w:color="auto" w:fill="FFFFFF"/>
            <w:vAlign w:val="center"/>
          </w:tcPr>
          <w:p w14:paraId="1375FA61">
            <w:pPr>
              <w:widowControl/>
              <w:spacing w:line="0" w:lineRule="atLeast"/>
              <w:jc w:val="center"/>
              <w:rPr>
                <w:color w:val="000000"/>
                <w:kern w:val="0"/>
                <w:sz w:val="22"/>
                <w:szCs w:val="22"/>
                <w:highlight w:val="none"/>
              </w:rPr>
            </w:pPr>
            <w:r>
              <w:rPr>
                <w:rFonts w:hint="eastAsia"/>
                <w:color w:val="000000"/>
                <w:kern w:val="0"/>
                <w:sz w:val="22"/>
                <w:szCs w:val="22"/>
                <w:highlight w:val="none"/>
              </w:rPr>
              <w:t>20</w:t>
            </w:r>
            <w:r>
              <w:rPr>
                <w:color w:val="000000"/>
                <w:kern w:val="0"/>
                <w:sz w:val="22"/>
                <w:szCs w:val="22"/>
                <w:highlight w:val="none"/>
              </w:rPr>
              <w:t>分</w:t>
            </w:r>
          </w:p>
        </w:tc>
        <w:tc>
          <w:tcPr>
            <w:tcW w:w="1038" w:type="dxa"/>
            <w:shd w:val="clear" w:color="auto" w:fill="FFFFFF"/>
            <w:vAlign w:val="center"/>
          </w:tcPr>
          <w:p w14:paraId="0F34A2E1">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实施</w:t>
            </w:r>
            <w:r>
              <w:rPr>
                <w:rFonts w:hint="eastAsia"/>
                <w:color w:val="000000"/>
                <w:kern w:val="0"/>
                <w:sz w:val="22"/>
                <w:szCs w:val="22"/>
                <w:highlight w:val="none"/>
              </w:rPr>
              <w:t>效益指标</w:t>
            </w:r>
          </w:p>
        </w:tc>
        <w:tc>
          <w:tcPr>
            <w:tcW w:w="1952" w:type="dxa"/>
            <w:shd w:val="clear" w:color="auto" w:fill="FFFFFF"/>
            <w:vAlign w:val="center"/>
          </w:tcPr>
          <w:p w14:paraId="3CEBED27">
            <w:pPr>
              <w:widowControl/>
              <w:spacing w:line="0" w:lineRule="atLeast"/>
              <w:jc w:val="center"/>
              <w:rPr>
                <w:color w:val="000000"/>
                <w:kern w:val="0"/>
                <w:sz w:val="22"/>
                <w:szCs w:val="22"/>
                <w:highlight w:val="none"/>
              </w:rPr>
            </w:pPr>
            <w:r>
              <w:rPr>
                <w:rFonts w:hint="eastAsia"/>
                <w:color w:val="000000"/>
                <w:kern w:val="0"/>
                <w:sz w:val="22"/>
                <w:szCs w:val="22"/>
                <w:highlight w:val="none"/>
              </w:rPr>
              <w:t>保证群众信息化咨询效率</w:t>
            </w:r>
          </w:p>
        </w:tc>
        <w:tc>
          <w:tcPr>
            <w:tcW w:w="727" w:type="dxa"/>
            <w:shd w:val="clear" w:color="auto" w:fill="FFFFFF"/>
            <w:vAlign w:val="center"/>
          </w:tcPr>
          <w:p w14:paraId="2B6B3696">
            <w:pPr>
              <w:spacing w:line="0" w:lineRule="atLeast"/>
              <w:jc w:val="center"/>
              <w:rPr>
                <w:rFonts w:hint="default"/>
                <w:highlight w:val="none"/>
                <w:lang w:val="en-US" w:eastAsia="zh-CN"/>
              </w:rPr>
            </w:pPr>
            <w:r>
              <w:rPr>
                <w:rFonts w:hint="eastAsia"/>
                <w:color w:val="000000"/>
                <w:kern w:val="0"/>
                <w:sz w:val="22"/>
                <w:szCs w:val="22"/>
                <w:highlight w:val="none"/>
                <w:lang w:val="en-US" w:eastAsia="zh-CN"/>
              </w:rPr>
              <w:t>15</w:t>
            </w:r>
          </w:p>
        </w:tc>
        <w:tc>
          <w:tcPr>
            <w:tcW w:w="1044" w:type="dxa"/>
            <w:shd w:val="clear" w:color="000000" w:fill="FFFFFF"/>
            <w:vAlign w:val="center"/>
          </w:tcPr>
          <w:p w14:paraId="63B411A4">
            <w:pPr>
              <w:widowControl/>
              <w:spacing w:line="0" w:lineRule="atLeast"/>
              <w:jc w:val="center"/>
              <w:rPr>
                <w:color w:val="000000"/>
                <w:kern w:val="0"/>
                <w:sz w:val="22"/>
                <w:szCs w:val="22"/>
                <w:highlight w:val="none"/>
              </w:rPr>
            </w:pPr>
            <w:r>
              <w:rPr>
                <w:rFonts w:hint="eastAsia"/>
                <w:color w:val="000000"/>
                <w:kern w:val="0"/>
                <w:sz w:val="22"/>
                <w:szCs w:val="22"/>
                <w:highlight w:val="none"/>
              </w:rPr>
              <w:t>有效保障</w:t>
            </w:r>
          </w:p>
        </w:tc>
        <w:tc>
          <w:tcPr>
            <w:tcW w:w="924" w:type="dxa"/>
            <w:shd w:val="clear" w:color="000000" w:fill="FFFFFF"/>
            <w:vAlign w:val="center"/>
          </w:tcPr>
          <w:p w14:paraId="752AECB0">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有效保障</w:t>
            </w:r>
          </w:p>
        </w:tc>
        <w:tc>
          <w:tcPr>
            <w:tcW w:w="1215" w:type="dxa"/>
            <w:shd w:val="clear" w:color="000000" w:fill="FFFFFF"/>
            <w:vAlign w:val="center"/>
          </w:tcPr>
          <w:p w14:paraId="66CE0FBF">
            <w:pPr>
              <w:widowControl/>
              <w:spacing w:line="0" w:lineRule="atLeast"/>
              <w:jc w:val="center"/>
              <w:rPr>
                <w:rFonts w:hint="default" w:eastAsia="宋体"/>
                <w:color w:val="000000"/>
                <w:kern w:val="0"/>
                <w:sz w:val="22"/>
                <w:szCs w:val="22"/>
                <w:highlight w:val="none"/>
                <w:lang w:val="en" w:eastAsia="zh-CN"/>
              </w:rPr>
            </w:pPr>
            <w:r>
              <w:rPr>
                <w:rFonts w:hint="eastAsia"/>
                <w:color w:val="000000"/>
                <w:kern w:val="0"/>
                <w:sz w:val="22"/>
                <w:szCs w:val="22"/>
                <w:highlight w:val="none"/>
                <w:lang w:val="en-US" w:eastAsia="zh-CN"/>
              </w:rPr>
              <w:t>100%</w:t>
            </w:r>
          </w:p>
        </w:tc>
        <w:tc>
          <w:tcPr>
            <w:tcW w:w="960" w:type="dxa"/>
            <w:shd w:val="clear" w:color="000000" w:fill="FFFFFF"/>
            <w:vAlign w:val="center"/>
          </w:tcPr>
          <w:p w14:paraId="344AD44E">
            <w:pPr>
              <w:widowControl/>
              <w:spacing w:line="0" w:lineRule="atLeast"/>
              <w:jc w:val="center"/>
              <w:rPr>
                <w:rFonts w:hint="default" w:eastAsia="宋体"/>
                <w:color w:val="000000"/>
                <w:kern w:val="0"/>
                <w:sz w:val="22"/>
                <w:szCs w:val="22"/>
                <w:highlight w:val="none"/>
                <w:lang w:val="en" w:eastAsia="zh-CN"/>
              </w:rPr>
            </w:pPr>
            <w:r>
              <w:rPr>
                <w:rFonts w:hint="eastAsia"/>
                <w:color w:val="000000"/>
                <w:kern w:val="0"/>
                <w:sz w:val="22"/>
                <w:szCs w:val="22"/>
                <w:highlight w:val="none"/>
                <w:lang w:val="en-US" w:eastAsia="zh-CN"/>
              </w:rPr>
              <w:t>15</w:t>
            </w:r>
          </w:p>
        </w:tc>
      </w:tr>
      <w:tr w14:paraId="6434A2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04" w:hRule="atLeast"/>
        </w:trPr>
        <w:tc>
          <w:tcPr>
            <w:tcW w:w="750" w:type="dxa"/>
            <w:vMerge w:val="continue"/>
            <w:shd w:val="clear" w:color="auto" w:fill="FFFFFF"/>
            <w:vAlign w:val="center"/>
          </w:tcPr>
          <w:p w14:paraId="38030E4E">
            <w:pPr>
              <w:widowControl/>
              <w:spacing w:line="0" w:lineRule="atLeast"/>
              <w:jc w:val="center"/>
              <w:rPr>
                <w:rFonts w:hint="eastAsia"/>
                <w:color w:val="000000"/>
                <w:kern w:val="0"/>
                <w:sz w:val="22"/>
                <w:szCs w:val="22"/>
                <w:highlight w:val="none"/>
                <w:lang w:eastAsia="zh-CN"/>
              </w:rPr>
            </w:pPr>
          </w:p>
        </w:tc>
        <w:tc>
          <w:tcPr>
            <w:tcW w:w="662" w:type="dxa"/>
            <w:vMerge w:val="continue"/>
            <w:shd w:val="clear" w:color="auto" w:fill="FFFFFF"/>
            <w:vAlign w:val="center"/>
          </w:tcPr>
          <w:p w14:paraId="169535C2">
            <w:pPr>
              <w:widowControl/>
              <w:spacing w:line="0" w:lineRule="atLeast"/>
              <w:jc w:val="center"/>
              <w:rPr>
                <w:rFonts w:hint="eastAsia"/>
                <w:color w:val="000000"/>
                <w:kern w:val="0"/>
                <w:sz w:val="22"/>
                <w:szCs w:val="22"/>
                <w:highlight w:val="none"/>
              </w:rPr>
            </w:pPr>
          </w:p>
        </w:tc>
        <w:tc>
          <w:tcPr>
            <w:tcW w:w="1038" w:type="dxa"/>
            <w:shd w:val="clear" w:color="auto" w:fill="FFFFFF"/>
            <w:vAlign w:val="center"/>
          </w:tcPr>
          <w:p w14:paraId="70F18028">
            <w:pPr>
              <w:widowControl/>
              <w:spacing w:line="0" w:lineRule="atLeast"/>
              <w:jc w:val="center"/>
              <w:rPr>
                <w:rFonts w:hint="eastAsia" w:eastAsia="宋体"/>
                <w:color w:val="000000"/>
                <w:kern w:val="0"/>
                <w:sz w:val="22"/>
                <w:szCs w:val="22"/>
                <w:highlight w:val="none"/>
                <w:lang w:val="en-US" w:eastAsia="zh-CN"/>
              </w:rPr>
            </w:pPr>
            <w:r>
              <w:rPr>
                <w:rFonts w:hint="eastAsia"/>
                <w:color w:val="000000"/>
                <w:kern w:val="0"/>
                <w:sz w:val="22"/>
                <w:szCs w:val="22"/>
                <w:highlight w:val="none"/>
                <w:lang w:val="en-US" w:eastAsia="zh-CN"/>
              </w:rPr>
              <w:t>满意度</w:t>
            </w:r>
          </w:p>
        </w:tc>
        <w:tc>
          <w:tcPr>
            <w:tcW w:w="1952" w:type="dxa"/>
            <w:shd w:val="clear" w:color="auto" w:fill="FFFFFF"/>
            <w:vAlign w:val="center"/>
          </w:tcPr>
          <w:p w14:paraId="63628A9C">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使用人员满意度</w:t>
            </w:r>
          </w:p>
        </w:tc>
        <w:tc>
          <w:tcPr>
            <w:tcW w:w="727" w:type="dxa"/>
            <w:shd w:val="clear" w:color="auto" w:fill="FFFFFF"/>
            <w:vAlign w:val="center"/>
          </w:tcPr>
          <w:p w14:paraId="6BB42166">
            <w:pPr>
              <w:widowControl/>
              <w:spacing w:line="0" w:lineRule="atLeast"/>
              <w:jc w:val="center"/>
              <w:rPr>
                <w:rFonts w:hint="eastAsia" w:eastAsia="宋体"/>
                <w:color w:val="000000"/>
                <w:kern w:val="0"/>
                <w:sz w:val="22"/>
                <w:szCs w:val="22"/>
                <w:highlight w:val="none"/>
                <w:lang w:val="en-US" w:eastAsia="zh-CN"/>
              </w:rPr>
            </w:pPr>
            <w:r>
              <w:rPr>
                <w:rFonts w:hint="eastAsia"/>
                <w:color w:val="000000"/>
                <w:kern w:val="0"/>
                <w:sz w:val="22"/>
                <w:szCs w:val="22"/>
                <w:highlight w:val="none"/>
                <w:lang w:val="en-US" w:eastAsia="zh-CN"/>
              </w:rPr>
              <w:t>5</w:t>
            </w:r>
          </w:p>
        </w:tc>
        <w:tc>
          <w:tcPr>
            <w:tcW w:w="1044" w:type="dxa"/>
            <w:shd w:val="clear" w:color="000000" w:fill="FFFFFF"/>
            <w:vAlign w:val="center"/>
          </w:tcPr>
          <w:p w14:paraId="7179DE62">
            <w:pPr>
              <w:widowControl/>
              <w:spacing w:line="0" w:lineRule="atLeast"/>
              <w:jc w:val="both"/>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≥85%</w:t>
            </w:r>
          </w:p>
        </w:tc>
        <w:tc>
          <w:tcPr>
            <w:tcW w:w="924" w:type="dxa"/>
            <w:shd w:val="clear" w:color="000000" w:fill="FFFFFF"/>
            <w:vAlign w:val="center"/>
          </w:tcPr>
          <w:p w14:paraId="1BB0C789">
            <w:pPr>
              <w:widowControl/>
              <w:spacing w:line="0" w:lineRule="atLeast"/>
              <w:jc w:val="center"/>
              <w:rPr>
                <w:rFonts w:hint="default"/>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1215" w:type="dxa"/>
            <w:shd w:val="clear" w:color="000000" w:fill="FFFFFF"/>
            <w:vAlign w:val="center"/>
          </w:tcPr>
          <w:p w14:paraId="40843369">
            <w:pPr>
              <w:widowControl/>
              <w:spacing w:line="0" w:lineRule="atLeast"/>
              <w:jc w:val="center"/>
              <w:rPr>
                <w:rFonts w:hint="default"/>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000000" w:fill="FFFFFF"/>
            <w:vAlign w:val="center"/>
          </w:tcPr>
          <w:p w14:paraId="4AFB72F5">
            <w:pPr>
              <w:widowControl/>
              <w:spacing w:line="0" w:lineRule="atLeast"/>
              <w:jc w:val="center"/>
              <w:rPr>
                <w:rFonts w:hint="default"/>
                <w:color w:val="000000"/>
                <w:kern w:val="0"/>
                <w:sz w:val="22"/>
                <w:szCs w:val="22"/>
                <w:highlight w:val="none"/>
                <w:lang w:val="en-US" w:eastAsia="zh-CN"/>
              </w:rPr>
            </w:pPr>
            <w:r>
              <w:rPr>
                <w:rFonts w:hint="eastAsia"/>
                <w:color w:val="000000"/>
                <w:kern w:val="0"/>
                <w:sz w:val="22"/>
                <w:szCs w:val="22"/>
                <w:highlight w:val="none"/>
                <w:lang w:val="en-US" w:eastAsia="zh-CN"/>
              </w:rPr>
              <w:t>5</w:t>
            </w:r>
          </w:p>
        </w:tc>
      </w:tr>
    </w:tbl>
    <w:p w14:paraId="35DFDB02">
      <w:pPr>
        <w:keepNext w:val="0"/>
        <w:keepLines w:val="0"/>
        <w:pageBreakBefore w:val="0"/>
        <w:kinsoku/>
        <w:wordWrap/>
        <w:overflowPunct/>
        <w:topLinePunct w:val="0"/>
        <w:autoSpaceDE/>
        <w:autoSpaceDN/>
        <w:bidi w:val="0"/>
        <w:adjustRightInd/>
        <w:snapToGrid/>
        <w:spacing w:line="560" w:lineRule="exact"/>
        <w:ind w:firstLine="320" w:firstLineChars="100"/>
        <w:textAlignment w:val="auto"/>
        <w:rPr>
          <w:rFonts w:eastAsia="黑体"/>
          <w:sz w:val="32"/>
          <w:szCs w:val="32"/>
          <w:highlight w:val="none"/>
        </w:rPr>
      </w:pPr>
    </w:p>
    <w:p w14:paraId="0135DEA9">
      <w:pPr>
        <w:keepNext w:val="0"/>
        <w:keepLines w:val="0"/>
        <w:pageBreakBefore w:val="0"/>
        <w:kinsoku/>
        <w:wordWrap/>
        <w:overflowPunct/>
        <w:topLinePunct w:val="0"/>
        <w:autoSpaceDE/>
        <w:autoSpaceDN/>
        <w:bidi w:val="0"/>
        <w:adjustRightInd/>
        <w:snapToGrid/>
        <w:spacing w:line="560" w:lineRule="exact"/>
        <w:ind w:firstLine="320" w:firstLineChars="100"/>
        <w:textAlignment w:val="auto"/>
        <w:rPr>
          <w:rFonts w:eastAsia="黑体"/>
          <w:sz w:val="32"/>
          <w:szCs w:val="32"/>
          <w:highlight w:val="none"/>
        </w:rPr>
      </w:pPr>
      <w:r>
        <w:rPr>
          <w:rFonts w:eastAsia="黑体"/>
          <w:sz w:val="32"/>
          <w:szCs w:val="32"/>
          <w:highlight w:val="none"/>
        </w:rPr>
        <w:t>四、绩效评价指标分析</w:t>
      </w:r>
    </w:p>
    <w:p w14:paraId="3AF57A10">
      <w:pPr>
        <w:pStyle w:val="2"/>
        <w:keepNext w:val="0"/>
        <w:keepLines w:val="0"/>
        <w:pageBreakBefore w:val="0"/>
        <w:kinsoku/>
        <w:wordWrap/>
        <w:overflowPunct/>
        <w:topLinePunct w:val="0"/>
        <w:autoSpaceDE/>
        <w:autoSpaceDN/>
        <w:bidi w:val="0"/>
        <w:adjustRightInd/>
        <w:snapToGrid/>
        <w:spacing w:before="0" w:after="0" w:line="560" w:lineRule="exact"/>
        <w:ind w:firstLine="321" w:firstLineChars="100"/>
        <w:jc w:val="both"/>
        <w:textAlignment w:val="auto"/>
        <w:rPr>
          <w:rFonts w:ascii="Times New Roman" w:hAnsi="Times New Roman" w:eastAsia="楷体_GB2312"/>
          <w:highlight w:val="none"/>
        </w:rPr>
      </w:pPr>
      <w:r>
        <w:rPr>
          <w:rFonts w:ascii="Times New Roman" w:hAnsi="Times New Roman" w:eastAsia="楷体_GB2312"/>
          <w:highlight w:val="none"/>
        </w:rPr>
        <w:t>（一）项目决策情况</w:t>
      </w:r>
    </w:p>
    <w:p w14:paraId="257AA53A">
      <w:pPr>
        <w:pStyle w:val="57"/>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sz w:val="32"/>
          <w:szCs w:val="32"/>
          <w:highlight w:val="none"/>
        </w:rPr>
      </w:pPr>
      <w:bookmarkStart w:id="7" w:name="_Hlk131155559"/>
      <w:r>
        <w:rPr>
          <w:rFonts w:hint="eastAsia" w:ascii="仿宋_GB2312" w:hAnsi="仿宋_GB2312" w:eastAsia="仿宋_GB2312" w:cs="仿宋_GB2312"/>
          <w:b/>
          <w:bCs/>
          <w:sz w:val="32"/>
          <w:szCs w:val="32"/>
          <w:highlight w:val="none"/>
        </w:rPr>
        <w:t>1.项目立项</w:t>
      </w:r>
    </w:p>
    <w:p w14:paraId="77F8003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lang w:val="en-US" w:eastAsia="zh-CN"/>
        </w:rPr>
        <w:t>项目决策类指标包括项目立项、绩效目标和资金投入三方面的内容，由6个三级指标构成，权重分值为20分</w:t>
      </w:r>
      <w:r>
        <w:rPr>
          <w:rFonts w:hint="eastAsia" w:ascii="仿宋_GB2312" w:hAnsi="仿宋_GB2312" w:eastAsia="仿宋_GB2312" w:cs="仿宋_GB2312"/>
          <w:color w:val="auto"/>
          <w:sz w:val="32"/>
          <w:szCs w:val="32"/>
          <w:highlight w:val="none"/>
          <w:lang w:val="en-US" w:eastAsia="zh-CN"/>
        </w:rPr>
        <w:t>，实际得分20分，得分率为100%。</w:t>
      </w:r>
    </w:p>
    <w:p w14:paraId="517FE0D9">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（1）立项依据充分性</w:t>
      </w:r>
    </w:p>
    <w:p w14:paraId="0D80A2E8">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2C071CD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（2）立项程序规范性</w:t>
      </w:r>
    </w:p>
    <w:p w14:paraId="31D4385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项目申请、设立过程符合相关要求，</w:t>
      </w:r>
      <w:r>
        <w:rPr>
          <w:rFonts w:hint="eastAsia" w:ascii="仿宋_GB2312" w:hAnsi="仿宋_GB2312" w:eastAsia="仿宋_GB2312" w:cs="仿宋_GB2312"/>
          <w:sz w:val="32"/>
          <w:szCs w:val="32"/>
          <w:highlight w:val="none"/>
          <w:lang w:eastAsia="zh-Hans"/>
        </w:rPr>
        <w:t>严格按照审批流程准备符合要求的文件、材料；</w:t>
      </w:r>
      <w:r>
        <w:rPr>
          <w:rFonts w:hint="eastAsia" w:ascii="仿宋_GB2312" w:hAnsi="仿宋_GB2312" w:eastAsia="仿宋_GB2312" w:cs="仿宋_GB2312"/>
          <w:sz w:val="32"/>
          <w:szCs w:val="32"/>
          <w:highlight w:val="none"/>
        </w:rPr>
        <w:t>根据决算依据编制工作计划和经费预算，经过与部门项目分管领导沟通、筛选确定经费预算计划，确定最终预算方案。项目的审批文件、材料符合相关要求，项目事前经过风险评估、绩效评估、集体决策，保障了程序的规范性。</w:t>
      </w:r>
    </w:p>
    <w:p w14:paraId="65442EA3">
      <w:pPr>
        <w:pStyle w:val="5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2.绩效目标</w:t>
      </w:r>
    </w:p>
    <w:p w14:paraId="525B67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（1）绩效目标合理性</w:t>
      </w:r>
    </w:p>
    <w:p w14:paraId="6860136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Hans"/>
        </w:rPr>
        <w:t>年初结合实际工作内容</w:t>
      </w:r>
      <w:r>
        <w:rPr>
          <w:rFonts w:hint="eastAsia" w:ascii="仿宋_GB2312" w:hAnsi="仿宋_GB2312" w:eastAsia="仿宋_GB2312" w:cs="仿宋_GB2312"/>
          <w:sz w:val="32"/>
          <w:szCs w:val="32"/>
          <w:highlight w:val="none"/>
        </w:rPr>
        <w:t>设定绩效目标</w:t>
      </w:r>
      <w:r>
        <w:rPr>
          <w:rFonts w:hint="eastAsia" w:ascii="仿宋_GB2312" w:hAnsi="仿宋_GB2312" w:eastAsia="仿宋_GB2312" w:cs="仿宋_GB2312"/>
          <w:sz w:val="32"/>
          <w:szCs w:val="32"/>
          <w:highlight w:val="none"/>
          <w:lang w:eastAsia="zh-Hans"/>
        </w:rPr>
        <w:t>，绩效目标</w:t>
      </w:r>
      <w:r>
        <w:rPr>
          <w:rFonts w:hint="eastAsia" w:ascii="仿宋_GB2312" w:hAnsi="仿宋_GB2312" w:eastAsia="仿宋_GB2312" w:cs="仿宋_GB2312"/>
          <w:sz w:val="32"/>
          <w:szCs w:val="32"/>
          <w:highlight w:val="none"/>
        </w:rPr>
        <w:t>依据充分，符合客观实际，能反映和考核项目绩效目标与项目实施的相符情况，依据绩效目标设定的绩效指标清晰、细化、可衡量，能反映和考核项目绩效目标的细化情况。绩效目标表经过审核，绩效目标与实际工作内容具有相关性，预算与确定的项目投资额相匹配，对项目任务进行了详细分解。项目预期产出效益及效果符合正常的业绩水平。</w:t>
      </w:r>
    </w:p>
    <w:p w14:paraId="28F80C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（2）绩效指标明确性</w:t>
      </w:r>
    </w:p>
    <w:p w14:paraId="4D2B31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项目设置了明确的预期产出效益和效果，将绩效目标细化分解为具体的绩效指标，绩效目标与项目目标任务数相对应，绩效目标设定的绩效指标清晰、细化、可衡量。</w:t>
      </w:r>
    </w:p>
    <w:p w14:paraId="2E7CB47C">
      <w:pPr>
        <w:pStyle w:val="5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3.资金投入</w:t>
      </w:r>
    </w:p>
    <w:p w14:paraId="56539A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（1）预算编制科学性</w:t>
      </w:r>
    </w:p>
    <w:p w14:paraId="468DBB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预算编制经过科学论证，提供充分的测算依据佐证资料，预算内容与项目内容相匹配。项目投资额与工作任务相匹配。</w:t>
      </w:r>
    </w:p>
    <w:p w14:paraId="33E214B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（2）资金分配合理性</w:t>
      </w:r>
    </w:p>
    <w:p w14:paraId="5E4682B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资金分配额度与项目单位实际工作内容相适应，资金分配额度合理，资金分配依据充分。</w:t>
      </w:r>
    </w:p>
    <w:bookmarkEnd w:id="7"/>
    <w:p w14:paraId="0A1F850C">
      <w:pPr>
        <w:pStyle w:val="2"/>
        <w:keepNext w:val="0"/>
        <w:keepLines w:val="0"/>
        <w:pageBreakBefore w:val="0"/>
        <w:numPr>
          <w:ilvl w:val="0"/>
          <w:numId w:val="3"/>
        </w:numPr>
        <w:kinsoku/>
        <w:wordWrap/>
        <w:overflowPunct/>
        <w:topLinePunct w:val="0"/>
        <w:autoSpaceDE/>
        <w:autoSpaceDN/>
        <w:bidi w:val="0"/>
        <w:adjustRightInd/>
        <w:snapToGrid/>
        <w:spacing w:before="0" w:after="0" w:line="560" w:lineRule="exact"/>
        <w:ind w:firstLine="321" w:firstLineChars="100"/>
        <w:jc w:val="both"/>
        <w:textAlignment w:val="auto"/>
        <w:rPr>
          <w:rFonts w:ascii="Times New Roman" w:hAnsi="Times New Roman" w:eastAsia="楷体_GB2312"/>
          <w:highlight w:val="none"/>
        </w:rPr>
      </w:pPr>
      <w:r>
        <w:rPr>
          <w:rFonts w:ascii="Times New Roman" w:hAnsi="Times New Roman" w:eastAsia="楷体_GB2312"/>
          <w:highlight w:val="none"/>
        </w:rPr>
        <w:t>项目过程情况</w:t>
      </w:r>
    </w:p>
    <w:p w14:paraId="6E03F380">
      <w:pPr>
        <w:keepNext w:val="0"/>
        <w:keepLines w:val="0"/>
        <w:pageBreakBefore w:val="0"/>
        <w:shd w:val="clear"/>
        <w:kinsoku/>
        <w:wordWrap/>
        <w:overflowPunct/>
        <w:topLinePunct w:val="0"/>
        <w:autoSpaceDE/>
        <w:autoSpaceDN/>
        <w:bidi w:val="0"/>
        <w:adjustRightInd/>
        <w:snapToGrid/>
        <w:spacing w:line="560" w:lineRule="exact"/>
        <w:ind w:firstLine="480" w:firstLineChars="150"/>
        <w:textAlignment w:val="auto"/>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项目过程类指标包括资金管理和组织实施两方面的内容，由5个三级指标构成，权重分值为20分，实际得分20分，得分率为100%。</w:t>
      </w:r>
    </w:p>
    <w:p w14:paraId="3E1092A5">
      <w:pPr>
        <w:pStyle w:val="2"/>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项目资金使用符合相关的财务管理制度规定，能够反映和考核项目资金的规范运行情况；项目实施单位的财务和业务管理制度健全，能够反映和考核财务和业务管理制度对项目顺利实施的保障情况。</w:t>
      </w:r>
    </w:p>
    <w:p w14:paraId="562D8715">
      <w:pPr>
        <w:pStyle w:val="57"/>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b/>
          <w:bCs/>
          <w:sz w:val="32"/>
          <w:szCs w:val="32"/>
          <w:highlight w:val="none"/>
        </w:rPr>
      </w:pPr>
      <w:bookmarkStart w:id="8" w:name="_Hlk131155586"/>
      <w:r>
        <w:rPr>
          <w:rFonts w:hint="eastAsia" w:ascii="仿宋_GB2312" w:hAnsi="仿宋_GB2312" w:eastAsia="仿宋_GB2312" w:cs="仿宋_GB2312"/>
          <w:b/>
          <w:bCs/>
          <w:sz w:val="32"/>
          <w:szCs w:val="32"/>
          <w:highlight w:val="none"/>
        </w:rPr>
        <w:t>1.资金管理</w:t>
      </w:r>
    </w:p>
    <w:p w14:paraId="54FC2A3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（1）资金到位率</w:t>
      </w:r>
    </w:p>
    <w:p w14:paraId="433F92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本项目总投资</w:t>
      </w:r>
      <w:r>
        <w:rPr>
          <w:rFonts w:hint="eastAsia" w:ascii="仿宋_GB2312" w:hAnsi="仿宋_GB2312" w:eastAsia="仿宋_GB2312" w:cs="仿宋_GB2312"/>
          <w:sz w:val="32"/>
          <w:szCs w:val="32"/>
          <w:highlight w:val="none"/>
          <w:lang w:val="en-US" w:eastAsia="zh-CN"/>
        </w:rPr>
        <w:t>2263.2</w:t>
      </w:r>
      <w:r>
        <w:rPr>
          <w:rFonts w:hint="eastAsia" w:ascii="仿宋_GB2312" w:hAnsi="仿宋_GB2312" w:eastAsia="仿宋_GB2312" w:cs="仿宋_GB2312"/>
          <w:sz w:val="32"/>
          <w:szCs w:val="32"/>
          <w:highlight w:val="none"/>
        </w:rPr>
        <w:t>万元，财政资金及时足额到位，到位率</w:t>
      </w:r>
      <w:r>
        <w:rPr>
          <w:rFonts w:ascii="仿宋_GB2312" w:hAnsi="仿宋_GB2312" w:eastAsia="仿宋_GB2312" w:cs="仿宋_GB2312"/>
          <w:sz w:val="32"/>
          <w:szCs w:val="32"/>
          <w:highlight w:val="none"/>
        </w:rPr>
        <w:t>100</w:t>
      </w:r>
      <w:r>
        <w:rPr>
          <w:rFonts w:hint="eastAsia" w:ascii="仿宋_GB2312" w:hAnsi="仿宋_GB2312" w:eastAsia="仿宋_GB2312" w:cs="仿宋_GB2312"/>
          <w:sz w:val="32"/>
          <w:szCs w:val="32"/>
          <w:highlight w:val="none"/>
        </w:rPr>
        <w:t>%，预算资金按计划进度执行。</w:t>
      </w:r>
    </w:p>
    <w:p w14:paraId="2D17B94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（2）预算执行率</w:t>
      </w:r>
    </w:p>
    <w:p w14:paraId="70C04D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预算编制较为详细，项目资金支出总体能够按照预算执行，预算资金支出</w:t>
      </w:r>
      <w:r>
        <w:rPr>
          <w:rFonts w:hint="eastAsia" w:ascii="仿宋_GB2312" w:hAnsi="仿宋_GB2312" w:eastAsia="仿宋_GB2312" w:cs="仿宋_GB2312"/>
          <w:sz w:val="32"/>
          <w:szCs w:val="32"/>
          <w:highlight w:val="none"/>
          <w:lang w:val="en-US" w:eastAsia="zh-CN"/>
        </w:rPr>
        <w:t>2263.2</w:t>
      </w:r>
      <w:r>
        <w:rPr>
          <w:rFonts w:hint="eastAsia" w:ascii="仿宋_GB2312" w:hAnsi="仿宋_GB2312" w:eastAsia="仿宋_GB2312" w:cs="仿宋_GB2312"/>
          <w:sz w:val="32"/>
          <w:szCs w:val="32"/>
          <w:highlight w:val="none"/>
        </w:rPr>
        <w:t>万元，预算执行率为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14:paraId="0812D6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（3）资金使用合规性</w:t>
      </w:r>
    </w:p>
    <w:p w14:paraId="6B6231D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1E883F8F">
      <w:pPr>
        <w:pStyle w:val="5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2.组织实施</w:t>
      </w:r>
    </w:p>
    <w:p w14:paraId="5EB930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（1）管理制度健全性</w:t>
      </w:r>
    </w:p>
    <w:p w14:paraId="716ACE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07972F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（2）制度执行有效性</w:t>
      </w:r>
    </w:p>
    <w:p w14:paraId="5E13536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Times New Roman" w:hAnsi="Times New Roman" w:eastAsia="楷体_GB2312"/>
          <w:highlight w:val="none"/>
        </w:rPr>
      </w:pPr>
      <w:r>
        <w:rPr>
          <w:rFonts w:hint="eastAsia" w:ascii="仿宋_GB2312" w:hAnsi="仿宋_GB2312" w:eastAsia="仿宋_GB2312" w:cs="仿宋_GB2312"/>
          <w:sz w:val="32"/>
          <w:szCs w:val="32"/>
          <w:highlight w:val="none"/>
        </w:rPr>
        <w:t>对资金使用的合法合规性进行监督，年末对资金使用效果进行评价。项目管理、实施人员落实到位，有效按照计划执行。项目执行情况等资料齐全，项目相关手续完备，及时进行归档。</w:t>
      </w:r>
      <w:bookmarkEnd w:id="8"/>
    </w:p>
    <w:p w14:paraId="34F4CD01">
      <w:pPr>
        <w:pStyle w:val="2"/>
        <w:keepNext w:val="0"/>
        <w:keepLines w:val="0"/>
        <w:pageBreakBefore w:val="0"/>
        <w:kinsoku/>
        <w:wordWrap/>
        <w:overflowPunct/>
        <w:topLinePunct w:val="0"/>
        <w:autoSpaceDE/>
        <w:autoSpaceDN/>
        <w:bidi w:val="0"/>
        <w:adjustRightInd/>
        <w:snapToGrid/>
        <w:spacing w:before="0" w:after="0" w:line="560" w:lineRule="exact"/>
        <w:ind w:firstLine="321" w:firstLineChars="100"/>
        <w:jc w:val="both"/>
        <w:textAlignment w:val="auto"/>
        <w:rPr>
          <w:rFonts w:hint="eastAsia" w:ascii="Times New Roman" w:hAnsi="Times New Roman" w:eastAsia="楷体_GB2312"/>
          <w:highlight w:val="none"/>
          <w:lang w:eastAsia="zh-CN"/>
        </w:rPr>
      </w:pPr>
      <w:r>
        <w:rPr>
          <w:rFonts w:hint="eastAsia" w:ascii="Times New Roman" w:hAnsi="Times New Roman" w:eastAsia="楷体_GB2312"/>
          <w:highlight w:val="none"/>
        </w:rPr>
        <w:t>（三）</w:t>
      </w:r>
      <w:r>
        <w:rPr>
          <w:rFonts w:ascii="Times New Roman" w:hAnsi="Times New Roman" w:eastAsia="楷体_GB2312"/>
          <w:highlight w:val="none"/>
        </w:rPr>
        <w:t>项目产出</w:t>
      </w:r>
    </w:p>
    <w:p w14:paraId="31109D22">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项目产出类指标包括产出数量、产出质量、产出时效、产出成本四方面的内容，由6个三级指标构成，权重分为40分，实际得分40分，得分率为100%。具体产出指标完成情况如下：</w:t>
      </w:r>
    </w:p>
    <w:p w14:paraId="72DA1B0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0"/>
        <w:rPr>
          <w:rFonts w:hint="default"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1.数量指标</w:t>
      </w:r>
    </w:p>
    <w:p w14:paraId="11232E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指标1：</w:t>
      </w:r>
      <w:r>
        <w:rPr>
          <w:rFonts w:hint="eastAsia" w:ascii="仿宋_GB2312" w:hAnsi="仿宋_GB2312" w:eastAsia="仿宋_GB2312" w:cs="仿宋_GB2312"/>
          <w:sz w:val="32"/>
          <w:szCs w:val="32"/>
          <w:highlight w:val="none"/>
          <w:lang w:val="en-US" w:eastAsia="zh-CN"/>
        </w:rPr>
        <w:t>信息化建设及维保项目个数</w:t>
      </w:r>
      <w:r>
        <w:rPr>
          <w:rFonts w:hint="default" w:ascii="仿宋_GB2312" w:hAnsi="仿宋_GB2312" w:eastAsia="仿宋_GB2312" w:cs="仿宋_GB2312"/>
          <w:sz w:val="32"/>
          <w:szCs w:val="32"/>
          <w:highlight w:val="none"/>
          <w:lang w:val="en-US" w:eastAsia="zh-CN"/>
        </w:rPr>
        <w:t>，指标值</w:t>
      </w:r>
      <w:r>
        <w:rPr>
          <w:rFonts w:hint="eastAsia" w:ascii="仿宋_GB2312" w:hAnsi="仿宋_GB2312" w:eastAsia="仿宋_GB2312" w:cs="仿宋_GB2312"/>
          <w:sz w:val="32"/>
          <w:szCs w:val="32"/>
          <w:highlight w:val="none"/>
          <w:lang w:val="en-US" w:eastAsia="zh-CN"/>
        </w:rPr>
        <w:t>：&gt;</w:t>
      </w:r>
      <w:r>
        <w:rPr>
          <w:rFonts w:hint="default"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lang w:val="en-US" w:eastAsia="zh-CN"/>
        </w:rPr>
        <w:t>10个</w:t>
      </w:r>
      <w:r>
        <w:rPr>
          <w:rFonts w:hint="default" w:ascii="仿宋_GB2312" w:hAnsi="仿宋_GB2312" w:eastAsia="仿宋_GB2312" w:cs="仿宋_GB2312"/>
          <w:sz w:val="32"/>
          <w:szCs w:val="32"/>
          <w:highlight w:val="none"/>
          <w:lang w:val="en-US" w:eastAsia="zh-CN"/>
        </w:rPr>
        <w:t>，实际完成值：</w:t>
      </w:r>
      <w:r>
        <w:rPr>
          <w:rFonts w:hint="eastAsia" w:ascii="仿宋_GB2312" w:hAnsi="仿宋_GB2312" w:eastAsia="仿宋_GB2312" w:cs="仿宋_GB2312"/>
          <w:sz w:val="32"/>
          <w:szCs w:val="32"/>
          <w:highlight w:val="none"/>
          <w:lang w:val="en-US" w:eastAsia="zh-CN"/>
        </w:rPr>
        <w:t>13个</w:t>
      </w:r>
      <w:r>
        <w:rPr>
          <w:rFonts w:hint="default" w:ascii="仿宋_GB2312" w:hAnsi="仿宋_GB2312" w:eastAsia="仿宋_GB2312" w:cs="仿宋_GB2312"/>
          <w:sz w:val="32"/>
          <w:szCs w:val="32"/>
          <w:highlight w:val="none"/>
          <w:lang w:val="en-US" w:eastAsia="zh-CN"/>
        </w:rPr>
        <w:t>，指标完成率1</w:t>
      </w:r>
      <w:r>
        <w:rPr>
          <w:rFonts w:hint="eastAsia" w:ascii="仿宋_GB2312" w:hAnsi="仿宋_GB2312" w:eastAsia="仿宋_GB2312" w:cs="仿宋_GB2312"/>
          <w:sz w:val="32"/>
          <w:szCs w:val="32"/>
          <w:highlight w:val="none"/>
          <w:lang w:val="en-US" w:eastAsia="zh-CN"/>
        </w:rPr>
        <w:t>30</w:t>
      </w:r>
      <w:r>
        <w:rPr>
          <w:rFonts w:hint="default"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lang w:val="en-US" w:eastAsia="zh-CN"/>
        </w:rPr>
        <w:t>偏差原因及改进措施：年初设置目标维保数13个，按照业务处室实际政府采购招标数13个，下年度精确设置绩效指标；</w:t>
      </w:r>
    </w:p>
    <w:p w14:paraId="5C51ACCF">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指标2：服务企业次数，指标值：≥50万次，实际完成值50万次，指标完成率100%；</w:t>
      </w:r>
    </w:p>
    <w:p w14:paraId="39D74C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指标3：信息化租赁项目，</w:t>
      </w:r>
      <w:r>
        <w:rPr>
          <w:rFonts w:hint="default" w:ascii="仿宋_GB2312" w:hAnsi="仿宋_GB2312" w:eastAsia="仿宋_GB2312" w:cs="仿宋_GB2312"/>
          <w:sz w:val="32"/>
          <w:szCs w:val="32"/>
          <w:highlight w:val="none"/>
          <w:lang w:val="en-US" w:eastAsia="zh-CN"/>
        </w:rPr>
        <w:t>指标值：&gt;=</w:t>
      </w:r>
      <w:r>
        <w:rPr>
          <w:rFonts w:hint="eastAsia" w:ascii="仿宋_GB2312" w:hAnsi="仿宋_GB2312" w:eastAsia="仿宋_GB2312" w:cs="仿宋_GB2312"/>
          <w:sz w:val="32"/>
          <w:szCs w:val="32"/>
          <w:highlight w:val="none"/>
          <w:lang w:val="en-US" w:eastAsia="zh-CN"/>
        </w:rPr>
        <w:t>3个</w:t>
      </w:r>
      <w:r>
        <w:rPr>
          <w:rFonts w:hint="default" w:ascii="仿宋_GB2312" w:hAnsi="仿宋_GB2312" w:eastAsia="仿宋_GB2312" w:cs="仿宋_GB2312"/>
          <w:sz w:val="32"/>
          <w:szCs w:val="32"/>
          <w:highlight w:val="none"/>
          <w:lang w:val="en-US" w:eastAsia="zh-CN"/>
        </w:rPr>
        <w:t>，实际完成值：</w:t>
      </w:r>
      <w:r>
        <w:rPr>
          <w:rFonts w:hint="eastAsia" w:ascii="仿宋_GB2312" w:hAnsi="仿宋_GB2312" w:eastAsia="仿宋_GB2312" w:cs="仿宋_GB2312"/>
          <w:sz w:val="32"/>
          <w:szCs w:val="32"/>
          <w:highlight w:val="none"/>
          <w:lang w:val="en-US" w:eastAsia="zh-CN"/>
        </w:rPr>
        <w:t>3个</w:t>
      </w:r>
      <w:r>
        <w:rPr>
          <w:rFonts w:hint="default" w:ascii="仿宋_GB2312" w:hAnsi="仿宋_GB2312" w:eastAsia="仿宋_GB2312" w:cs="仿宋_GB2312"/>
          <w:sz w:val="32"/>
          <w:szCs w:val="32"/>
          <w:highlight w:val="none"/>
          <w:lang w:val="en-US" w:eastAsia="zh-CN"/>
        </w:rPr>
        <w:t>，指标完成率1</w:t>
      </w:r>
      <w:r>
        <w:rPr>
          <w:rFonts w:hint="eastAsia" w:ascii="仿宋_GB2312" w:hAnsi="仿宋_GB2312" w:eastAsia="仿宋_GB2312" w:cs="仿宋_GB2312"/>
          <w:sz w:val="32"/>
          <w:szCs w:val="32"/>
          <w:highlight w:val="none"/>
          <w:lang w:val="en-US" w:eastAsia="zh-CN"/>
        </w:rPr>
        <w:t>00</w:t>
      </w:r>
      <w:r>
        <w:rPr>
          <w:rFonts w:hint="default" w:ascii="仿宋_GB2312" w:hAnsi="仿宋_GB2312" w:eastAsia="仿宋_GB2312" w:cs="仿宋_GB2312"/>
          <w:sz w:val="32"/>
          <w:szCs w:val="32"/>
          <w:highlight w:val="none"/>
          <w:lang w:val="en-US" w:eastAsia="zh-CN"/>
        </w:rPr>
        <w:t>%；</w:t>
      </w:r>
    </w:p>
    <w:p w14:paraId="386D4E5E">
      <w:pPr>
        <w:pStyle w:val="2"/>
        <w:ind w:firstLine="643" w:firstLineChars="200"/>
        <w:jc w:val="left"/>
        <w:rPr>
          <w:rFonts w:hint="default"/>
          <w:b/>
          <w:bCs/>
          <w:highlight w:val="none"/>
          <w:lang w:val="en-US" w:eastAsia="zh-CN"/>
        </w:rPr>
      </w:pPr>
      <w:r>
        <w:rPr>
          <w:rFonts w:hint="eastAsia" w:ascii="仿宋_GB2312" w:hAnsi="仿宋_GB2312" w:eastAsia="仿宋_GB2312" w:cs="仿宋_GB2312"/>
          <w:b/>
          <w:bCs/>
          <w:sz w:val="32"/>
          <w:szCs w:val="32"/>
          <w:highlight w:val="none"/>
          <w:lang w:val="en-US" w:eastAsia="zh-CN"/>
        </w:rPr>
        <w:t>2.质量指标</w:t>
      </w:r>
    </w:p>
    <w:p w14:paraId="6A40D54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指标1：系统故障率，指</w:t>
      </w:r>
      <w:r>
        <w:rPr>
          <w:rFonts w:hint="default" w:ascii="仿宋_GB2312" w:hAnsi="仿宋_GB2312" w:eastAsia="仿宋_GB2312" w:cs="仿宋_GB2312"/>
          <w:sz w:val="32"/>
          <w:szCs w:val="32"/>
          <w:highlight w:val="none"/>
          <w:lang w:val="en-US" w:eastAsia="zh-CN"/>
        </w:rPr>
        <w:t>标值：</w:t>
      </w:r>
      <w:r>
        <w:rPr>
          <w:rFonts w:hint="eastAsia" w:ascii="仿宋_GB2312" w:hAnsi="仿宋_GB2312" w:eastAsia="仿宋_GB2312" w:cs="仿宋_GB2312"/>
          <w:sz w:val="32"/>
          <w:szCs w:val="32"/>
          <w:highlight w:val="none"/>
          <w:lang w:val="en-US" w:eastAsia="zh-CN"/>
        </w:rPr>
        <w:t>≤1%</w:t>
      </w:r>
      <w:r>
        <w:rPr>
          <w:rFonts w:hint="default" w:ascii="仿宋_GB2312" w:hAnsi="仿宋_GB2312" w:eastAsia="仿宋_GB2312" w:cs="仿宋_GB2312"/>
          <w:sz w:val="32"/>
          <w:szCs w:val="32"/>
          <w:highlight w:val="none"/>
          <w:lang w:val="en-US" w:eastAsia="zh-CN"/>
        </w:rPr>
        <w:t>，实际完成值：</w:t>
      </w:r>
      <w:r>
        <w:rPr>
          <w:rFonts w:hint="eastAsia" w:ascii="仿宋_GB2312" w:hAnsi="仿宋_GB2312" w:eastAsia="仿宋_GB2312" w:cs="仿宋_GB2312"/>
          <w:sz w:val="32"/>
          <w:szCs w:val="32"/>
          <w:highlight w:val="none"/>
          <w:lang w:val="en-US" w:eastAsia="zh-CN"/>
        </w:rPr>
        <w:t>=1%</w:t>
      </w:r>
      <w:r>
        <w:rPr>
          <w:rFonts w:hint="default" w:ascii="仿宋_GB2312" w:hAnsi="仿宋_GB2312" w:eastAsia="仿宋_GB2312" w:cs="仿宋_GB2312"/>
          <w:sz w:val="32"/>
          <w:szCs w:val="32"/>
          <w:highlight w:val="none"/>
          <w:lang w:val="en-US" w:eastAsia="zh-CN"/>
        </w:rPr>
        <w:t>，指标完成率1</w:t>
      </w:r>
      <w:r>
        <w:rPr>
          <w:rFonts w:hint="eastAsia" w:ascii="仿宋_GB2312" w:hAnsi="仿宋_GB2312" w:eastAsia="仿宋_GB2312" w:cs="仿宋_GB2312"/>
          <w:sz w:val="32"/>
          <w:szCs w:val="32"/>
          <w:highlight w:val="none"/>
          <w:lang w:val="en-US" w:eastAsia="zh-CN"/>
        </w:rPr>
        <w:t>00</w:t>
      </w:r>
      <w:r>
        <w:rPr>
          <w:rFonts w:hint="default" w:ascii="仿宋_GB2312" w:hAnsi="仿宋_GB2312" w:eastAsia="仿宋_GB2312" w:cs="仿宋_GB2312"/>
          <w:sz w:val="32"/>
          <w:szCs w:val="32"/>
          <w:highlight w:val="none"/>
          <w:lang w:val="en-US" w:eastAsia="zh-CN"/>
        </w:rPr>
        <w:t>%；</w:t>
      </w:r>
    </w:p>
    <w:p w14:paraId="00AD77CB">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指标2：项目运维验收合格率，指标值：≥91%，实际完成值100%，指标完成率109%；</w:t>
      </w:r>
    </w:p>
    <w:p w14:paraId="1181D2B6">
      <w:pPr>
        <w:pStyle w:val="2"/>
        <w:ind w:firstLine="643" w:firstLineChars="200"/>
        <w:jc w:val="both"/>
        <w:rPr>
          <w:rFonts w:hint="eastAsia" w:ascii="仿宋_GB2312" w:hAnsi="仿宋_GB2312" w:eastAsia="仿宋_GB2312" w:cs="仿宋_GB2312"/>
          <w:b/>
          <w:bCs/>
          <w:highlight w:val="none"/>
          <w:lang w:val="en-US" w:eastAsia="zh-CN"/>
        </w:rPr>
      </w:pPr>
      <w:r>
        <w:rPr>
          <w:rFonts w:hint="eastAsia" w:ascii="仿宋_GB2312" w:hAnsi="仿宋_GB2312" w:eastAsia="仿宋_GB2312" w:cs="仿宋_GB2312"/>
          <w:b/>
          <w:bCs/>
          <w:highlight w:val="none"/>
          <w:lang w:val="en-US" w:eastAsia="zh-CN"/>
        </w:rPr>
        <w:t>3.时效指标</w:t>
      </w:r>
    </w:p>
    <w:p w14:paraId="126B8423">
      <w:pPr>
        <w:pStyle w:val="2"/>
        <w:ind w:firstLine="640" w:firstLineChars="200"/>
        <w:jc w:val="both"/>
        <w:rPr>
          <w:rFonts w:hint="eastAsia" w:ascii="仿宋_GB2312" w:hAnsi="仿宋_GB2312" w:eastAsia="仿宋_GB2312" w:cs="仿宋_GB2312"/>
          <w:b w:val="0"/>
          <w:bCs w:val="0"/>
          <w:highlight w:val="none"/>
          <w:lang w:val="en-US" w:eastAsia="zh-CN"/>
        </w:rPr>
      </w:pPr>
      <w:r>
        <w:rPr>
          <w:rFonts w:hint="eastAsia" w:ascii="仿宋_GB2312" w:hAnsi="仿宋_GB2312" w:eastAsia="仿宋_GB2312" w:cs="仿宋_GB2312"/>
          <w:b w:val="0"/>
          <w:bCs w:val="0"/>
          <w:highlight w:val="none"/>
          <w:lang w:val="en-US" w:eastAsia="zh-CN"/>
        </w:rPr>
        <w:t>指标1：系统运行维护响应时间，指标值：≤2小时，实际完成值：=2小时，指标完成率100%；</w:t>
      </w:r>
    </w:p>
    <w:p w14:paraId="1976BD29">
      <w:pPr>
        <w:pStyle w:val="2"/>
        <w:ind w:firstLine="640" w:firstLineChars="200"/>
        <w:jc w:val="both"/>
        <w:rPr>
          <w:rFonts w:hint="eastAsia" w:ascii="仿宋_GB2312" w:hAnsi="仿宋_GB2312" w:eastAsia="仿宋_GB2312" w:cs="仿宋_GB2312"/>
          <w:b w:val="0"/>
          <w:bCs w:val="0"/>
          <w:highlight w:val="none"/>
          <w:lang w:val="en-US" w:eastAsia="zh-CN"/>
        </w:rPr>
      </w:pPr>
      <w:r>
        <w:rPr>
          <w:rFonts w:hint="eastAsia" w:ascii="仿宋_GB2312" w:hAnsi="仿宋_GB2312" w:eastAsia="仿宋_GB2312" w:cs="仿宋_GB2312"/>
          <w:b w:val="0"/>
          <w:bCs w:val="0"/>
          <w:highlight w:val="none"/>
          <w:lang w:val="en-US" w:eastAsia="zh-CN"/>
        </w:rPr>
        <w:t>指标2：系统运行故障修复处理时间，指标值：≤12小时，实际完成值：=12小时，指标完成率100%；</w:t>
      </w:r>
    </w:p>
    <w:p w14:paraId="5867C62D">
      <w:pPr>
        <w:pStyle w:val="2"/>
        <w:ind w:firstLine="643" w:firstLineChars="200"/>
        <w:jc w:val="both"/>
        <w:rPr>
          <w:rFonts w:hint="eastAsia" w:ascii="仿宋_GB2312" w:hAnsi="仿宋_GB2312" w:eastAsia="仿宋_GB2312" w:cs="仿宋_GB2312"/>
          <w:b/>
          <w:bCs/>
          <w:highlight w:val="none"/>
          <w:lang w:val="en-US" w:eastAsia="zh-CN"/>
        </w:rPr>
      </w:pPr>
      <w:r>
        <w:rPr>
          <w:rFonts w:hint="eastAsia" w:ascii="仿宋_GB2312" w:hAnsi="仿宋_GB2312" w:eastAsia="仿宋_GB2312" w:cs="仿宋_GB2312"/>
          <w:b/>
          <w:bCs/>
          <w:highlight w:val="none"/>
          <w:lang w:val="en-US" w:eastAsia="zh-CN"/>
        </w:rPr>
        <w:t>4.成本指标</w:t>
      </w:r>
    </w:p>
    <w:p w14:paraId="6D6C678F">
      <w:pPr>
        <w:pStyle w:val="2"/>
        <w:ind w:firstLine="640" w:firstLineChars="200"/>
        <w:jc w:val="both"/>
        <w:rPr>
          <w:rFonts w:hint="eastAsia" w:ascii="仿宋_GB2312" w:hAnsi="仿宋_GB2312" w:eastAsia="仿宋_GB2312" w:cs="仿宋_GB2312"/>
          <w:b w:val="0"/>
          <w:bCs w:val="0"/>
          <w:highlight w:val="none"/>
          <w:lang w:val="en-US" w:eastAsia="zh-CN"/>
        </w:rPr>
      </w:pPr>
      <w:r>
        <w:rPr>
          <w:rFonts w:hint="eastAsia" w:ascii="仿宋_GB2312" w:hAnsi="仿宋_GB2312" w:eastAsia="仿宋_GB2312" w:cs="仿宋_GB2312"/>
          <w:b w:val="0"/>
          <w:bCs w:val="0"/>
          <w:highlight w:val="none"/>
          <w:lang w:val="en-US" w:eastAsia="zh-CN"/>
        </w:rPr>
        <w:t>指标1：运行维护费用，指标值：≤1599.2万元，实际完成值：1599.2万元，指标完成率100%；</w:t>
      </w:r>
    </w:p>
    <w:p w14:paraId="35F377C3">
      <w:pPr>
        <w:pStyle w:val="2"/>
        <w:ind w:firstLine="640" w:firstLineChars="200"/>
        <w:jc w:val="both"/>
        <w:rPr>
          <w:rFonts w:hint="default"/>
          <w:highlight w:val="none"/>
          <w:lang w:val="en-US" w:eastAsia="zh-CN"/>
        </w:rPr>
      </w:pPr>
      <w:r>
        <w:rPr>
          <w:rFonts w:hint="eastAsia" w:ascii="仿宋_GB2312" w:hAnsi="仿宋_GB2312" w:eastAsia="仿宋_GB2312" w:cs="仿宋_GB2312"/>
          <w:b w:val="0"/>
          <w:bCs w:val="0"/>
          <w:highlight w:val="none"/>
          <w:lang w:val="en-US" w:eastAsia="zh-CN"/>
        </w:rPr>
        <w:t>指标2：设备租赁费用，指标值：≤664万元，实际完成值：664万元，指标完成率100%；</w:t>
      </w:r>
    </w:p>
    <w:p w14:paraId="298F82C7">
      <w:pPr>
        <w:pStyle w:val="2"/>
        <w:keepNext w:val="0"/>
        <w:keepLines w:val="0"/>
        <w:pageBreakBefore w:val="0"/>
        <w:kinsoku/>
        <w:wordWrap/>
        <w:overflowPunct/>
        <w:topLinePunct w:val="0"/>
        <w:autoSpaceDE/>
        <w:autoSpaceDN/>
        <w:bidi w:val="0"/>
        <w:adjustRightInd/>
        <w:snapToGrid/>
        <w:spacing w:before="0" w:after="0" w:line="560" w:lineRule="exact"/>
        <w:ind w:firstLine="321" w:firstLineChars="100"/>
        <w:jc w:val="both"/>
        <w:textAlignment w:val="auto"/>
        <w:rPr>
          <w:rFonts w:hint="eastAsia" w:ascii="仿宋_GB2312" w:hAnsi="仿宋_GB2312" w:eastAsia="仿宋_GB2312" w:cs="仿宋_GB2312"/>
          <w:highlight w:val="none"/>
        </w:rPr>
      </w:pPr>
      <w:r>
        <w:rPr>
          <w:rFonts w:hint="eastAsia" w:ascii="Times New Roman" w:hAnsi="Times New Roman" w:eastAsia="楷体_GB2312"/>
          <w:highlight w:val="none"/>
        </w:rPr>
        <w:t>（四</w:t>
      </w:r>
      <w:r>
        <w:rPr>
          <w:rFonts w:hint="eastAsia" w:ascii="仿宋_GB2312" w:hAnsi="仿宋_GB2312" w:eastAsia="仿宋_GB2312" w:cs="仿宋_GB2312"/>
          <w:highlight w:val="none"/>
        </w:rPr>
        <w:t>）效益情况</w:t>
      </w:r>
    </w:p>
    <w:p w14:paraId="14253E3B">
      <w:pPr>
        <w:spacing w:line="600" w:lineRule="exact"/>
        <w:ind w:firstLine="640" w:firstLineChars="200"/>
        <w:outlineLvl w:val="0"/>
        <w:rPr>
          <w:highlight w:val="none"/>
        </w:rPr>
      </w:pPr>
      <w:r>
        <w:rPr>
          <w:rFonts w:hint="eastAsia" w:ascii="仿宋_GB2312" w:hAnsi="仿宋_GB2312" w:eastAsia="仿宋_GB2312" w:cs="仿宋_GB2312"/>
          <w:sz w:val="32"/>
          <w:szCs w:val="32"/>
          <w:highlight w:val="none"/>
          <w:lang w:val="en-US" w:eastAsia="zh-CN"/>
        </w:rPr>
        <w:t>项目效益类指标包括项目实施效益和满意度两方面的内容，由3个三级指标构成，权重分为20分，实际得分20分，得分率为100%。具体效益指标及满意度指标完成情况如下：</w:t>
      </w:r>
    </w:p>
    <w:p w14:paraId="0AE982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1.社会效益指标：</w:t>
      </w:r>
    </w:p>
    <w:p w14:paraId="0D1AF95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指标1：</w:t>
      </w:r>
      <w:r>
        <w:rPr>
          <w:rFonts w:hint="eastAsia" w:ascii="仿宋_GB2312" w:hAnsi="仿宋_GB2312" w:eastAsia="仿宋_GB2312" w:cs="仿宋_GB2312"/>
          <w:sz w:val="32"/>
          <w:szCs w:val="32"/>
          <w:highlight w:val="none"/>
          <w:lang w:val="en-US" w:eastAsia="zh-CN"/>
        </w:rPr>
        <w:t>保障群众信息化咨询效率</w:t>
      </w:r>
      <w:r>
        <w:rPr>
          <w:rFonts w:hint="default" w:ascii="仿宋_GB2312" w:hAnsi="仿宋_GB2312" w:eastAsia="仿宋_GB2312" w:cs="仿宋_GB2312"/>
          <w:sz w:val="32"/>
          <w:szCs w:val="32"/>
          <w:highlight w:val="none"/>
          <w:lang w:val="en-US" w:eastAsia="zh-CN"/>
        </w:rPr>
        <w:t>，指标值：</w:t>
      </w:r>
      <w:r>
        <w:rPr>
          <w:rFonts w:hint="eastAsia" w:ascii="仿宋_GB2312" w:hAnsi="仿宋_GB2312" w:eastAsia="仿宋_GB2312" w:cs="仿宋_GB2312"/>
          <w:sz w:val="32"/>
          <w:szCs w:val="32"/>
          <w:highlight w:val="none"/>
          <w:lang w:val="en-US" w:eastAsia="zh-CN"/>
        </w:rPr>
        <w:t>有效保障</w:t>
      </w:r>
      <w:r>
        <w:rPr>
          <w:rFonts w:hint="default" w:ascii="仿宋_GB2312" w:hAnsi="仿宋_GB2312" w:eastAsia="仿宋_GB2312" w:cs="仿宋_GB2312"/>
          <w:sz w:val="32"/>
          <w:szCs w:val="32"/>
          <w:highlight w:val="none"/>
          <w:lang w:val="en-US" w:eastAsia="zh-CN"/>
        </w:rPr>
        <w:t>，实际完成值：</w:t>
      </w:r>
      <w:r>
        <w:rPr>
          <w:rFonts w:hint="eastAsia" w:ascii="仿宋_GB2312" w:hAnsi="仿宋_GB2312" w:eastAsia="仿宋_GB2312" w:cs="仿宋_GB2312"/>
          <w:sz w:val="32"/>
          <w:szCs w:val="32"/>
          <w:highlight w:val="none"/>
          <w:lang w:val="en-US" w:eastAsia="zh-CN"/>
        </w:rPr>
        <w:t>有效保障</w:t>
      </w:r>
      <w:r>
        <w:rPr>
          <w:rFonts w:hint="default" w:ascii="仿宋_GB2312" w:hAnsi="仿宋_GB2312" w:eastAsia="仿宋_GB2312" w:cs="仿宋_GB2312"/>
          <w:sz w:val="32"/>
          <w:szCs w:val="32"/>
          <w:highlight w:val="none"/>
          <w:lang w:val="en-US" w:eastAsia="zh-CN"/>
        </w:rPr>
        <w:t>，指标完成率100%；</w:t>
      </w:r>
    </w:p>
    <w:p w14:paraId="53F5B0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2.满意度指标：</w:t>
      </w:r>
    </w:p>
    <w:p w14:paraId="387BEE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指标1：</w:t>
      </w:r>
      <w:r>
        <w:rPr>
          <w:rFonts w:hint="eastAsia" w:ascii="仿宋_GB2312" w:hAnsi="仿宋_GB2312" w:eastAsia="仿宋_GB2312" w:cs="仿宋_GB2312"/>
          <w:sz w:val="32"/>
          <w:szCs w:val="32"/>
          <w:highlight w:val="none"/>
          <w:lang w:val="en-US" w:eastAsia="zh-CN"/>
        </w:rPr>
        <w:t>联网及业务的服务对象满意度</w:t>
      </w:r>
      <w:r>
        <w:rPr>
          <w:rFonts w:hint="default" w:ascii="仿宋_GB2312" w:hAnsi="仿宋_GB2312" w:eastAsia="仿宋_GB2312" w:cs="仿宋_GB2312"/>
          <w:sz w:val="32"/>
          <w:szCs w:val="32"/>
          <w:highlight w:val="none"/>
          <w:lang w:val="en-US" w:eastAsia="zh-CN"/>
        </w:rPr>
        <w:t>，指标值：&gt;=</w:t>
      </w:r>
      <w:r>
        <w:rPr>
          <w:rFonts w:hint="eastAsia" w:ascii="仿宋_GB2312" w:hAnsi="仿宋_GB2312" w:eastAsia="仿宋_GB2312" w:cs="仿宋_GB2312"/>
          <w:sz w:val="32"/>
          <w:szCs w:val="32"/>
          <w:highlight w:val="none"/>
          <w:lang w:val="en-US" w:eastAsia="zh-CN"/>
        </w:rPr>
        <w:t>85</w:t>
      </w:r>
      <w:r>
        <w:rPr>
          <w:rFonts w:hint="default" w:ascii="仿宋_GB2312" w:hAnsi="仿宋_GB2312" w:eastAsia="仿宋_GB2312" w:cs="仿宋_GB2312"/>
          <w:sz w:val="32"/>
          <w:szCs w:val="32"/>
          <w:highlight w:val="none"/>
          <w:lang w:val="en-US" w:eastAsia="zh-CN"/>
        </w:rPr>
        <w:t>%，实际完成值：</w:t>
      </w:r>
      <w:r>
        <w:rPr>
          <w:rFonts w:hint="eastAsia" w:ascii="仿宋_GB2312" w:hAnsi="仿宋_GB2312" w:eastAsia="仿宋_GB2312" w:cs="仿宋_GB2312"/>
          <w:sz w:val="32"/>
          <w:szCs w:val="32"/>
          <w:highlight w:val="none"/>
          <w:lang w:val="en-US" w:eastAsia="zh-CN"/>
        </w:rPr>
        <w:t>85</w:t>
      </w:r>
      <w:r>
        <w:rPr>
          <w:rFonts w:hint="default" w:ascii="仿宋_GB2312" w:hAnsi="仿宋_GB2312" w:eastAsia="仿宋_GB2312" w:cs="仿宋_GB2312"/>
          <w:sz w:val="32"/>
          <w:szCs w:val="32"/>
          <w:highlight w:val="none"/>
          <w:lang w:val="en-US" w:eastAsia="zh-CN"/>
        </w:rPr>
        <w:t>%，指标完成率100%；</w:t>
      </w:r>
    </w:p>
    <w:p w14:paraId="33CB02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指标</w:t>
      </w:r>
      <w:r>
        <w:rPr>
          <w:rFonts w:hint="eastAsia" w:ascii="仿宋_GB2312" w:hAnsi="仿宋_GB2312" w:eastAsia="仿宋_GB2312" w:cs="仿宋_GB2312"/>
          <w:sz w:val="32"/>
          <w:szCs w:val="32"/>
          <w:highlight w:val="none"/>
          <w:lang w:val="en-US" w:eastAsia="zh-CN"/>
        </w:rPr>
        <w:t>2</w:t>
      </w:r>
      <w:r>
        <w:rPr>
          <w:rFonts w:hint="default"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lang w:val="en-US" w:eastAsia="zh-CN"/>
        </w:rPr>
        <w:t>使用人员满意度</w:t>
      </w:r>
      <w:r>
        <w:rPr>
          <w:rFonts w:hint="default" w:ascii="仿宋_GB2312" w:hAnsi="仿宋_GB2312" w:eastAsia="仿宋_GB2312" w:cs="仿宋_GB2312"/>
          <w:sz w:val="32"/>
          <w:szCs w:val="32"/>
          <w:highlight w:val="none"/>
          <w:lang w:val="en-US" w:eastAsia="zh-CN"/>
        </w:rPr>
        <w:t>，指标值：</w:t>
      </w:r>
      <w:r>
        <w:rPr>
          <w:rFonts w:hint="eastAsia" w:ascii="仿宋_GB2312" w:hAnsi="仿宋_GB2312" w:eastAsia="仿宋_GB2312" w:cs="仿宋_GB2312"/>
          <w:sz w:val="32"/>
          <w:szCs w:val="32"/>
          <w:highlight w:val="none"/>
          <w:lang w:val="en-US" w:eastAsia="zh-CN"/>
        </w:rPr>
        <w:t>85</w:t>
      </w:r>
      <w:r>
        <w:rPr>
          <w:rFonts w:hint="default" w:ascii="仿宋_GB2312" w:hAnsi="仿宋_GB2312" w:eastAsia="仿宋_GB2312" w:cs="仿宋_GB2312"/>
          <w:sz w:val="32"/>
          <w:szCs w:val="32"/>
          <w:highlight w:val="none"/>
          <w:lang w:val="en-US" w:eastAsia="zh-CN"/>
        </w:rPr>
        <w:t>%，实际完成值：</w:t>
      </w:r>
      <w:r>
        <w:rPr>
          <w:rFonts w:hint="eastAsia" w:ascii="仿宋_GB2312" w:hAnsi="仿宋_GB2312" w:eastAsia="仿宋_GB2312" w:cs="仿宋_GB2312"/>
          <w:sz w:val="32"/>
          <w:szCs w:val="32"/>
          <w:highlight w:val="none"/>
          <w:lang w:val="en-US" w:eastAsia="zh-CN"/>
        </w:rPr>
        <w:t>85</w:t>
      </w:r>
      <w:r>
        <w:rPr>
          <w:rFonts w:hint="default" w:ascii="仿宋_GB2312" w:hAnsi="仿宋_GB2312" w:eastAsia="仿宋_GB2312" w:cs="仿宋_GB2312"/>
          <w:sz w:val="32"/>
          <w:szCs w:val="32"/>
          <w:highlight w:val="none"/>
          <w:lang w:val="en-US" w:eastAsia="zh-CN"/>
        </w:rPr>
        <w:t>%，指标完成率100%；</w:t>
      </w:r>
    </w:p>
    <w:p w14:paraId="1D6A5F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Style w:val="55"/>
          <w:rFonts w:ascii="Times New Roman" w:hAnsi="Times New Roman" w:cs="Times New Roman"/>
          <w:color w:val="auto"/>
          <w:highlight w:val="none"/>
        </w:rPr>
      </w:pPr>
      <w:r>
        <w:rPr>
          <w:rFonts w:hint="default" w:eastAsia="黑体"/>
          <w:sz w:val="32"/>
          <w:szCs w:val="32"/>
          <w:highlight w:val="none"/>
          <w:lang w:val="en-US" w:eastAsia="zh-CN"/>
        </w:rPr>
        <w:t>五、主要经验及</w:t>
      </w:r>
      <w:r>
        <w:rPr>
          <w:rFonts w:eastAsia="黑体"/>
          <w:sz w:val="32"/>
          <w:szCs w:val="32"/>
          <w:highlight w:val="none"/>
        </w:rPr>
        <w:t>做法、存在的问题及原因分析</w:t>
      </w:r>
    </w:p>
    <w:p w14:paraId="043024F9">
      <w:pPr>
        <w:spacing w:line="600" w:lineRule="exact"/>
        <w:ind w:firstLine="627" w:firstLineChars="200"/>
        <w:rPr>
          <w:rFonts w:eastAsia="楷体"/>
          <w:b/>
          <w:spacing w:val="-4"/>
          <w:sz w:val="32"/>
          <w:szCs w:val="32"/>
          <w:highlight w:val="none"/>
        </w:rPr>
      </w:pPr>
      <w:r>
        <w:rPr>
          <w:rFonts w:eastAsia="楷体"/>
          <w:b/>
          <w:spacing w:val="-4"/>
          <w:sz w:val="32"/>
          <w:szCs w:val="32"/>
          <w:highlight w:val="none"/>
        </w:rPr>
        <w:t>（一）主要经验及做法</w:t>
      </w:r>
    </w:p>
    <w:p w14:paraId="756B6E50">
      <w:pPr>
        <w:ind w:firstLine="640" w:firstLineChars="200"/>
        <w:rPr>
          <w:highlight w:val="none"/>
        </w:rPr>
      </w:pPr>
      <w:r>
        <w:rPr>
          <w:rFonts w:hint="eastAsia" w:ascii="仿宋_GB2312" w:hAnsi="仿宋_GB2312" w:eastAsia="仿宋_GB2312" w:cs="仿宋_GB2312"/>
          <w:sz w:val="32"/>
          <w:szCs w:val="32"/>
          <w:highlight w:val="none"/>
        </w:rPr>
        <w:t>一是加强“智慧审批”一张网建设。强化政务服务能力提升，聚焦企业、群众需求，不断推动市场监管政务服务标准化、规范化、便利化，启用新版行政许可审批系统，上线“新企办”“新服办”移动端办理事项21项，持续提升企业办事体验感、满意度、获得感，2023年自治区政务服务第三方评价全区排名前五；二是强化“智慧监管”一张网建设，建立完善监管事项标准化目录体系和数据共享机制，优化“双随机、一公开”平台，推进经营主体年报精细化管理，提高精准化、智慧化监管水平。强化信息化统筹能力，抓顶层、抓机制、抓末梢，推动业务与技术深度融合，建成上线7套基础性软件系统，确保工作纵横贯通、一体化落地。整合“质量、食品、知识产权”考核系统，完善“教育在线”培训系统，保障全区舆情应对知识竞赛顺利开展，扩大食品安全监管、特种设备安全监管、产品质量安全监管、计量智慧监管、棉花智慧监管、数字+执法等系统的场景应用范围，推动形成的“可观、可感、可控、可治”的“一网统管”数字治理能力；三是推进“智慧服务”一张网建设，上线试运行“丝路质享”生态平台，一体化打造标准、计量、检验检测、质量问诊、企业培育等质量基础设施“一站式”服务网，借助数字化技术手段，为1138家检验检测机构、23家认证认可机构、147家特种设备服务机构和82家计量测试机构量身定制“一站式”服务店铺，打造“金牌店小二”。</w:t>
      </w:r>
    </w:p>
    <w:p w14:paraId="325F9678">
      <w:pPr>
        <w:keepNext/>
        <w:keepLines/>
        <w:numPr>
          <w:ilvl w:val="0"/>
          <w:numId w:val="4"/>
        </w:numPr>
        <w:spacing w:line="600" w:lineRule="exact"/>
        <w:ind w:firstLine="643" w:firstLineChars="200"/>
        <w:rPr>
          <w:rFonts w:eastAsia="楷体_GB2312"/>
          <w:b/>
          <w:bCs/>
          <w:sz w:val="32"/>
          <w:szCs w:val="32"/>
          <w:highlight w:val="none"/>
        </w:rPr>
      </w:pPr>
      <w:r>
        <w:rPr>
          <w:rFonts w:eastAsia="楷体_GB2312"/>
          <w:b/>
          <w:bCs/>
          <w:sz w:val="32"/>
          <w:szCs w:val="32"/>
          <w:highlight w:val="none"/>
        </w:rPr>
        <w:t>存在的问题及原因分析</w:t>
      </w:r>
    </w:p>
    <w:p w14:paraId="2629F2B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自治区加快推进数字化政府改革，为市场智慧监管体系建设带来新机遇。但是在业务整合融合、流程优化重塑、资源合理配置等方面还有不少难点、痛点。主要表现在：</w:t>
      </w:r>
    </w:p>
    <w:p w14:paraId="67AFAF46">
      <w:pPr>
        <w:ind w:firstLine="640" w:firstLineChars="200"/>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一是信息化顶层设计还有差距。对标数字政府改革要求，规划指导未来3</w:t>
      </w:r>
      <w:r>
        <w:rPr>
          <w:rFonts w:hint="eastAsia" w:eastAsia="仿宋_GB2312" w:cs="Times New Roman"/>
          <w:b w:val="0"/>
          <w:bCs w:val="0"/>
          <w:kern w:val="2"/>
          <w:sz w:val="32"/>
          <w:szCs w:val="32"/>
          <w:highlight w:val="none"/>
          <w:lang w:val="en-US" w:eastAsia="zh-CN" w:bidi="ar-SA"/>
        </w:rPr>
        <w:t>—</w:t>
      </w:r>
      <w:r>
        <w:rPr>
          <w:rFonts w:hint="eastAsia" w:ascii="Times New Roman" w:hAnsi="Times New Roman" w:eastAsia="仿宋_GB2312" w:cs="Times New Roman"/>
          <w:b w:val="0"/>
          <w:bCs w:val="0"/>
          <w:kern w:val="2"/>
          <w:sz w:val="32"/>
          <w:szCs w:val="32"/>
          <w:highlight w:val="none"/>
          <w:lang w:val="en-US" w:eastAsia="zh-CN" w:bidi="ar-SA"/>
        </w:rPr>
        <w:t>5年信息化建设制度供给还有差距。</w:t>
      </w:r>
    </w:p>
    <w:p w14:paraId="6037F0D3">
      <w:pPr>
        <w:ind w:firstLine="640" w:firstLineChars="200"/>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二是大数据慧治能力有待提升。信息系统数据标准不规范，跨部门数据收集难、共享难，难以支撑智慧监管实际需要。</w:t>
      </w:r>
    </w:p>
    <w:p w14:paraId="548ECB83">
      <w:pPr>
        <w:ind w:firstLine="640" w:firstLineChars="200"/>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三是智慧应用场景还需挖掘。信息系统关联性弱，智慧监管场景、模型、方法研究不深，未能攥成“拳头”、形成便于使用的“武器”。</w:t>
      </w:r>
    </w:p>
    <w:p w14:paraId="687F324A">
      <w:pPr>
        <w:ind w:firstLine="640" w:firstLineChars="200"/>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四是信息系统建设极不平衡。标准、计量、检验检测、纤维监管、价格监督、产品质量安全、知识产权保护等业务条线严重缺项，缺少信息化在线支撑。</w:t>
      </w:r>
    </w:p>
    <w:p w14:paraId="6F2616E6">
      <w:pPr>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五是财政资金投入严重不足。部门预算逐年压减，信息化保障资金缺口大，严重制约业务能力提升和监管效能发挥。</w:t>
      </w:r>
    </w:p>
    <w:p w14:paraId="443428AA">
      <w:pPr>
        <w:numPr>
          <w:ilvl w:val="0"/>
          <w:numId w:val="5"/>
        </w:numPr>
        <w:spacing w:line="600" w:lineRule="exact"/>
        <w:ind w:firstLine="640" w:firstLineChars="200"/>
        <w:rPr>
          <w:rFonts w:eastAsia="黑体"/>
          <w:sz w:val="32"/>
          <w:szCs w:val="32"/>
          <w:highlight w:val="none"/>
        </w:rPr>
      </w:pPr>
      <w:r>
        <w:rPr>
          <w:rFonts w:eastAsia="黑体"/>
          <w:sz w:val="32"/>
          <w:szCs w:val="32"/>
          <w:highlight w:val="none"/>
        </w:rPr>
        <w:t>有关建议</w:t>
      </w:r>
    </w:p>
    <w:p w14:paraId="519A93EA">
      <w:pPr>
        <w:spacing w:line="600" w:lineRule="exact"/>
        <w:ind w:firstLine="640" w:firstLineChars="200"/>
        <w:rPr>
          <w:highlight w:val="none"/>
        </w:rPr>
      </w:pPr>
      <w:r>
        <w:rPr>
          <w:rFonts w:hint="eastAsia" w:ascii="仿宋_GB2312" w:hAnsi="仿宋_GB2312" w:eastAsia="仿宋_GB2312" w:cs="仿宋_GB2312"/>
          <w:sz w:val="32"/>
          <w:szCs w:val="28"/>
          <w:highlight w:val="none"/>
        </w:rPr>
        <w:t>进一步加强对绩效管理工作的组织领导，提高对预算绩效管理工作重要性的认识，总结经验查找问题，抓紧研究制定更全面更完善的绩效评价管理办法。结合</w:t>
      </w:r>
      <w:r>
        <w:rPr>
          <w:rFonts w:hint="eastAsia" w:ascii="仿宋_GB2312" w:hAnsi="仿宋_GB2312" w:eastAsia="仿宋_GB2312" w:cs="仿宋_GB2312"/>
          <w:sz w:val="32"/>
          <w:szCs w:val="28"/>
          <w:highlight w:val="none"/>
          <w:lang w:eastAsia="zh-CN"/>
        </w:rPr>
        <w:t>信息化运维服务项目</w:t>
      </w:r>
      <w:r>
        <w:rPr>
          <w:rFonts w:hint="eastAsia" w:ascii="仿宋_GB2312" w:hAnsi="仿宋_GB2312" w:eastAsia="仿宋_GB2312" w:cs="仿宋_GB2312"/>
          <w:sz w:val="32"/>
          <w:szCs w:val="28"/>
          <w:highlight w:val="none"/>
        </w:rPr>
        <w:t>考核建立绩效工作考核制度，加大全局对全面实施预算绩效管理和绩效管理工作的学习力度，让“花钱必问效，无效必问责”的理念深入工作每个环节。</w:t>
      </w:r>
    </w:p>
    <w:p w14:paraId="1898DBAD">
      <w:pPr>
        <w:numPr>
          <w:ilvl w:val="0"/>
          <w:numId w:val="5"/>
        </w:numPr>
        <w:spacing w:line="600" w:lineRule="exact"/>
        <w:ind w:firstLine="640" w:firstLineChars="200"/>
        <w:rPr>
          <w:rFonts w:eastAsia="黑体"/>
          <w:sz w:val="32"/>
          <w:szCs w:val="32"/>
          <w:highlight w:val="none"/>
        </w:rPr>
      </w:pPr>
      <w:r>
        <w:rPr>
          <w:rFonts w:eastAsia="黑体"/>
          <w:sz w:val="32"/>
          <w:szCs w:val="32"/>
          <w:highlight w:val="none"/>
        </w:rPr>
        <w:t>其他需要说</w:t>
      </w:r>
      <w:bookmarkStart w:id="9" w:name="page8"/>
      <w:bookmarkEnd w:id="9"/>
      <w:r>
        <w:rPr>
          <w:rFonts w:eastAsia="黑体"/>
          <w:sz w:val="32"/>
          <w:szCs w:val="32"/>
          <w:highlight w:val="none"/>
        </w:rPr>
        <w:t>明的问题</w:t>
      </w:r>
    </w:p>
    <w:p w14:paraId="49EAF045">
      <w:pPr>
        <w:spacing w:line="560" w:lineRule="exact"/>
        <w:ind w:firstLine="643" w:firstLineChars="200"/>
        <w:rPr>
          <w:rFonts w:hint="eastAsia" w:ascii="仿宋_GB2312" w:hAnsi="仿宋_GB2312" w:eastAsia="仿宋_GB2312" w:cs="仿宋_GB2312"/>
          <w:b/>
          <w:bCs/>
          <w:sz w:val="32"/>
          <w:szCs w:val="32"/>
          <w:highlight w:val="none"/>
          <w:lang w:eastAsia="zh-Hans"/>
        </w:rPr>
      </w:pPr>
      <w:r>
        <w:rPr>
          <w:rFonts w:hint="eastAsia" w:ascii="仿宋_GB2312" w:hAnsi="仿宋_GB2312" w:eastAsia="仿宋_GB2312" w:cs="仿宋_GB2312"/>
          <w:b/>
          <w:bCs/>
          <w:sz w:val="32"/>
          <w:szCs w:val="32"/>
          <w:highlight w:val="none"/>
          <w:lang w:eastAsia="zh-Hans"/>
        </w:rPr>
        <w:t>预算执行进度与绩效指标总体完成率偏差</w:t>
      </w:r>
    </w:p>
    <w:p w14:paraId="09822F8B">
      <w:pPr>
        <w:pStyle w:val="20"/>
        <w:ind w:left="0" w:leftChars="0" w:firstLine="640" w:firstLineChars="200"/>
        <w:rPr>
          <w:rFonts w:ascii="Times New Roman" w:hAnsi="Times New Roman" w:eastAsia="方正小标宋简体"/>
          <w:b/>
          <w:kern w:val="0"/>
          <w:sz w:val="32"/>
          <w:szCs w:val="32"/>
          <w:highlight w:val="none"/>
          <w:lang w:bidi="ar"/>
        </w:rPr>
        <w:sectPr>
          <w:footerReference r:id="rId3" w:type="default"/>
          <w:pgSz w:w="11906" w:h="16838"/>
          <w:pgMar w:top="1440" w:right="1474" w:bottom="1440" w:left="1800" w:header="851" w:footer="992" w:gutter="0"/>
          <w:cols w:space="425" w:num="1"/>
          <w:docGrid w:type="lines" w:linePitch="312" w:charSpace="0"/>
        </w:sectPr>
      </w:pPr>
      <w:r>
        <w:rPr>
          <w:rFonts w:hint="eastAsia" w:ascii="仿宋_GB2312" w:hAnsi="仿宋_GB2312" w:eastAsia="仿宋_GB2312" w:cs="仿宋_GB2312"/>
          <w:sz w:val="32"/>
          <w:szCs w:val="32"/>
          <w:highlight w:val="none"/>
          <w:lang w:val="en-US" w:eastAsia="zh-CN"/>
        </w:rPr>
        <w:t>信息化科研</w:t>
      </w:r>
      <w:r>
        <w:rPr>
          <w:rFonts w:hint="eastAsia" w:ascii="仿宋_GB2312" w:hAnsi="仿宋_GB2312" w:eastAsia="仿宋_GB2312" w:cs="仿宋_GB2312"/>
          <w:sz w:val="32"/>
          <w:szCs w:val="32"/>
          <w:highlight w:val="none"/>
        </w:rPr>
        <w:t>项目年初预算</w:t>
      </w:r>
      <w:r>
        <w:rPr>
          <w:rFonts w:hint="eastAsia" w:ascii="仿宋_GB2312" w:hAnsi="仿宋_GB2312" w:eastAsia="仿宋_GB2312" w:cs="仿宋_GB2312"/>
          <w:sz w:val="32"/>
          <w:szCs w:val="32"/>
          <w:highlight w:val="none"/>
          <w:lang w:val="en-US" w:eastAsia="zh-CN"/>
        </w:rPr>
        <w:t>2263.2</w:t>
      </w:r>
      <w:r>
        <w:rPr>
          <w:rFonts w:hint="eastAsia" w:ascii="仿宋_GB2312" w:hAnsi="仿宋_GB2312" w:eastAsia="仿宋_GB2312" w:cs="仿宋_GB2312"/>
          <w:sz w:val="32"/>
          <w:szCs w:val="32"/>
          <w:highlight w:val="none"/>
        </w:rPr>
        <w:t>万元，全年预算</w:t>
      </w:r>
      <w:r>
        <w:rPr>
          <w:rFonts w:hint="eastAsia" w:ascii="仿宋_GB2312" w:hAnsi="仿宋_GB2312" w:eastAsia="仿宋_GB2312" w:cs="仿宋_GB2312"/>
          <w:sz w:val="32"/>
          <w:szCs w:val="32"/>
          <w:highlight w:val="none"/>
          <w:lang w:val="en-US" w:eastAsia="zh-CN"/>
        </w:rPr>
        <w:t>2263.2</w:t>
      </w:r>
      <w:r>
        <w:rPr>
          <w:rFonts w:hint="eastAsia" w:ascii="仿宋_GB2312" w:hAnsi="仿宋_GB2312" w:eastAsia="仿宋_GB2312" w:cs="仿宋_GB2312"/>
          <w:sz w:val="32"/>
          <w:szCs w:val="32"/>
          <w:highlight w:val="none"/>
        </w:rPr>
        <w:t>万元，实际支出</w:t>
      </w:r>
      <w:r>
        <w:rPr>
          <w:rFonts w:hint="eastAsia" w:ascii="仿宋_GB2312" w:hAnsi="仿宋_GB2312" w:eastAsia="仿宋_GB2312" w:cs="仿宋_GB2312"/>
          <w:sz w:val="32"/>
          <w:szCs w:val="32"/>
          <w:highlight w:val="none"/>
          <w:lang w:val="en-US" w:eastAsia="zh-CN"/>
        </w:rPr>
        <w:t>2263.2</w:t>
      </w:r>
      <w:r>
        <w:rPr>
          <w:rFonts w:hint="eastAsia" w:ascii="仿宋_GB2312" w:hAnsi="仿宋_GB2312" w:eastAsia="仿宋_GB2312" w:cs="仿宋_GB2312"/>
          <w:sz w:val="32"/>
          <w:szCs w:val="32"/>
          <w:highlight w:val="none"/>
        </w:rPr>
        <w:t>万元，预算执行率为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%，项目绩效指标总体完成率为</w:t>
      </w:r>
      <w:r>
        <w:rPr>
          <w:rFonts w:hint="eastAsia" w:ascii="仿宋_GB2312" w:hAnsi="仿宋_GB2312" w:eastAsia="仿宋_GB2312" w:cs="仿宋_GB2312"/>
          <w:sz w:val="32"/>
          <w:szCs w:val="32"/>
          <w:highlight w:val="none"/>
          <w:lang w:val="en-US" w:eastAsia="zh-CN"/>
        </w:rPr>
        <w:t>106</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Hans"/>
        </w:rPr>
        <w:t>总体</w:t>
      </w:r>
      <w:r>
        <w:rPr>
          <w:rFonts w:hint="eastAsia" w:ascii="仿宋_GB2312" w:hAnsi="仿宋_GB2312" w:eastAsia="仿宋_GB2312" w:cs="仿宋_GB2312"/>
          <w:sz w:val="32"/>
          <w:szCs w:val="32"/>
          <w:highlight w:val="none"/>
        </w:rPr>
        <w:t>偏差率为</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eastAsia="zh-Hans"/>
        </w:rPr>
        <w:t>偏差</w:t>
      </w:r>
      <w:r>
        <w:rPr>
          <w:rFonts w:hint="eastAsia" w:ascii="仿宋_GB2312" w:hAnsi="仿宋_GB2312" w:eastAsia="仿宋_GB2312" w:cs="仿宋_GB2312"/>
          <w:sz w:val="32"/>
          <w:szCs w:val="32"/>
          <w:highlight w:val="none"/>
        </w:rPr>
        <w:t>原因</w:t>
      </w:r>
      <w:r>
        <w:rPr>
          <w:rFonts w:hint="eastAsia" w:ascii="仿宋_GB2312" w:hAnsi="仿宋_GB2312" w:eastAsia="仿宋_GB2312" w:cs="仿宋_GB2312"/>
          <w:sz w:val="32"/>
          <w:szCs w:val="32"/>
          <w:highlight w:val="none"/>
          <w:lang w:val="en-US" w:eastAsia="zh-CN"/>
        </w:rPr>
        <w:t>为年初绩效目标设置过于保守</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Hans"/>
        </w:rPr>
        <w:t>改进</w:t>
      </w:r>
      <w:r>
        <w:rPr>
          <w:rFonts w:hint="eastAsia" w:ascii="仿宋_GB2312" w:hAnsi="仿宋_GB2312" w:eastAsia="仿宋_GB2312" w:cs="仿宋_GB2312"/>
          <w:sz w:val="32"/>
          <w:szCs w:val="32"/>
          <w:highlight w:val="none"/>
        </w:rPr>
        <w:t>措施</w:t>
      </w:r>
      <w:r>
        <w:rPr>
          <w:rFonts w:hint="eastAsia" w:ascii="仿宋_GB2312" w:hAnsi="仿宋_GB2312" w:eastAsia="仿宋_GB2312" w:cs="仿宋_GB2312"/>
          <w:sz w:val="32"/>
          <w:szCs w:val="32"/>
          <w:highlight w:val="none"/>
          <w:lang w:val="en-US" w:eastAsia="zh-CN"/>
        </w:rPr>
        <w:t>在设置下一年度绩效目标时结合近三年数据准确设置绩效指标</w:t>
      </w:r>
      <w:r>
        <w:rPr>
          <w:rFonts w:hint="eastAsia" w:ascii="仿宋_GB2312" w:hAnsi="仿宋_GB2312" w:eastAsia="仿宋_GB2312" w:cs="仿宋_GB2312"/>
          <w:sz w:val="32"/>
          <w:szCs w:val="32"/>
          <w:highlight w:val="none"/>
        </w:rPr>
        <w:t>。</w:t>
      </w:r>
    </w:p>
    <w:tbl>
      <w:tblPr>
        <w:tblStyle w:val="21"/>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97"/>
        <w:gridCol w:w="816"/>
        <w:gridCol w:w="1042"/>
        <w:gridCol w:w="1495"/>
        <w:gridCol w:w="1211"/>
        <w:gridCol w:w="1499"/>
        <w:gridCol w:w="1266"/>
        <w:gridCol w:w="521"/>
        <w:gridCol w:w="701"/>
        <w:gridCol w:w="533"/>
        <w:gridCol w:w="825"/>
        <w:gridCol w:w="587"/>
        <w:gridCol w:w="478"/>
        <w:gridCol w:w="1308"/>
      </w:tblGrid>
      <w:tr w14:paraId="03C7C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0" w:type="auto"/>
            <w:gridSpan w:val="14"/>
            <w:tcBorders>
              <w:top w:val="nil"/>
              <w:left w:val="nil"/>
              <w:bottom w:val="nil"/>
              <w:right w:val="nil"/>
            </w:tcBorders>
            <w:shd w:val="clear" w:color="auto" w:fill="auto"/>
            <w:vAlign w:val="center"/>
          </w:tcPr>
          <w:p w14:paraId="77AFFCE3">
            <w:pPr>
              <w:keepNext w:val="0"/>
              <w:keepLines w:val="0"/>
              <w:widowControl/>
              <w:suppressLineNumbers w:val="0"/>
              <w:jc w:val="center"/>
              <w:textAlignment w:val="center"/>
              <w:rPr>
                <w:rFonts w:hint="eastAsia" w:ascii="宋体" w:hAnsi="宋体" w:eastAsia="宋体" w:cs="宋体"/>
                <w:b/>
                <w:bCs/>
                <w:i w:val="0"/>
                <w:iCs w:val="0"/>
                <w:color w:val="000000"/>
                <w:sz w:val="32"/>
                <w:szCs w:val="32"/>
                <w:highlight w:val="none"/>
                <w:u w:val="none"/>
              </w:rPr>
            </w:pPr>
            <w:r>
              <w:rPr>
                <w:rFonts w:hint="eastAsia" w:ascii="宋体" w:hAnsi="宋体" w:eastAsia="宋体" w:cs="宋体"/>
                <w:b/>
                <w:bCs/>
                <w:i w:val="0"/>
                <w:iCs w:val="0"/>
                <w:color w:val="000000"/>
                <w:kern w:val="0"/>
                <w:sz w:val="32"/>
                <w:szCs w:val="32"/>
                <w:highlight w:val="none"/>
                <w:u w:val="none"/>
                <w:lang w:val="en-US" w:eastAsia="zh-CN" w:bidi="ar"/>
              </w:rPr>
              <w:t>项目支出绩效自评表</w:t>
            </w:r>
          </w:p>
        </w:tc>
      </w:tr>
      <w:tr w14:paraId="641AC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2552269D">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(2023年度</w:t>
            </w:r>
            <w:r>
              <w:rPr>
                <w:rFonts w:hint="eastAsia" w:ascii="宋体" w:hAnsi="宋体" w:cs="宋体"/>
                <w:i w:val="0"/>
                <w:iCs w:val="0"/>
                <w:color w:val="000000"/>
                <w:kern w:val="0"/>
                <w:sz w:val="22"/>
                <w:szCs w:val="22"/>
                <w:highlight w:val="none"/>
                <w:u w:val="none"/>
                <w:lang w:val="en-US" w:eastAsia="zh-CN" w:bidi="ar"/>
              </w:rPr>
              <w:t>）</w:t>
            </w:r>
          </w:p>
        </w:tc>
      </w:tr>
      <w:tr w14:paraId="1D9F30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FBC511">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项目名称</w:t>
            </w:r>
          </w:p>
        </w:tc>
        <w:tc>
          <w:tcPr>
            <w:tcW w:w="0" w:type="auto"/>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B27043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信息化科研项目经费</w:t>
            </w:r>
          </w:p>
        </w:tc>
      </w:tr>
      <w:tr w14:paraId="57D7E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DD3D16">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D1B8D8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新疆维吾尔自治区市场监督管理局</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4DD7C0">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实施单位</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6891F8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新疆维吾尔自治区市场监督管理局</w:t>
            </w:r>
          </w:p>
        </w:tc>
      </w:tr>
      <w:tr w14:paraId="2390C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5B04D9">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项目资金</w:t>
            </w:r>
            <w:r>
              <w:rPr>
                <w:rFonts w:hint="eastAsia" w:ascii="宋体" w:hAnsi="宋体" w:eastAsia="宋体" w:cs="宋体"/>
                <w:b/>
                <w:bCs/>
                <w:i w:val="0"/>
                <w:iCs w:val="0"/>
                <w:color w:val="000000"/>
                <w:kern w:val="0"/>
                <w:sz w:val="18"/>
                <w:szCs w:val="18"/>
                <w:highlight w:val="none"/>
                <w:u w:val="none"/>
                <w:lang w:val="en-US" w:eastAsia="zh-CN" w:bidi="ar"/>
              </w:rPr>
              <w:br w:type="textWrapping"/>
            </w:r>
            <w:r>
              <w:rPr>
                <w:rFonts w:hint="eastAsia" w:ascii="宋体" w:hAnsi="宋体" w:eastAsia="宋体" w:cs="宋体"/>
                <w:b/>
                <w:bCs/>
                <w:i w:val="0"/>
                <w:iCs w:val="0"/>
                <w:color w:val="000000"/>
                <w:kern w:val="0"/>
                <w:sz w:val="18"/>
                <w:szCs w:val="18"/>
                <w:highlight w:val="none"/>
                <w:u w:val="none"/>
                <w:lang w:val="en-US" w:eastAsia="zh-CN" w:bidi="ar"/>
              </w:rPr>
              <w:t>（万元）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EDEFCA">
            <w:pPr>
              <w:jc w:val="center"/>
              <w:rPr>
                <w:rFonts w:hint="eastAsia" w:ascii="宋体" w:hAnsi="宋体" w:eastAsia="宋体" w:cs="宋体"/>
                <w:b/>
                <w:bCs/>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B184C0">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年初预算数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6264C0">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7BFA85">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全年执行数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C454E8">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分值</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CFF9C1">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F04CAC">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得分</w:t>
            </w:r>
          </w:p>
        </w:tc>
      </w:tr>
      <w:tr w14:paraId="6B0FC3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35EB38">
            <w:pPr>
              <w:jc w:val="center"/>
              <w:rPr>
                <w:rFonts w:hint="eastAsia" w:ascii="宋体" w:hAnsi="宋体" w:eastAsia="宋体" w:cs="宋体"/>
                <w:b/>
                <w:bCs/>
                <w:i w:val="0"/>
                <w:iCs w:val="0"/>
                <w:color w:val="000000"/>
                <w:sz w:val="18"/>
                <w:szCs w:val="18"/>
                <w:highlight w:val="none"/>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134386">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A8F20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2263.20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69701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2263.2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2D565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2263.20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77971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58F4D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496FA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10.00分</w:t>
            </w:r>
          </w:p>
        </w:tc>
      </w:tr>
      <w:tr w14:paraId="1819C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E1F104">
            <w:pPr>
              <w:jc w:val="center"/>
              <w:rPr>
                <w:rFonts w:hint="eastAsia" w:ascii="宋体" w:hAnsi="宋体" w:eastAsia="宋体" w:cs="宋体"/>
                <w:b/>
                <w:bCs/>
                <w:i w:val="0"/>
                <w:iCs w:val="0"/>
                <w:color w:val="000000"/>
                <w:sz w:val="18"/>
                <w:szCs w:val="18"/>
                <w:highlight w:val="none"/>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68291B">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其中：当年财政拨款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621EF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2263.2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14802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2263.2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E7216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2263.2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A497F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8FD66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A6386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r>
      <w:tr w14:paraId="6D23B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28881D">
            <w:pPr>
              <w:jc w:val="center"/>
              <w:rPr>
                <w:rFonts w:hint="eastAsia" w:ascii="宋体" w:hAnsi="宋体" w:eastAsia="宋体" w:cs="宋体"/>
                <w:b/>
                <w:bCs/>
                <w:i w:val="0"/>
                <w:iCs w:val="0"/>
                <w:color w:val="000000"/>
                <w:sz w:val="18"/>
                <w:szCs w:val="18"/>
                <w:highlight w:val="none"/>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82F3F4">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 xml:space="preserve">  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CFC52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F4B0B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98AEC3">
            <w:pPr>
              <w:jc w:val="center"/>
              <w:rPr>
                <w:rFonts w:hint="eastAsia" w:ascii="宋体" w:hAnsi="宋体" w:eastAsia="宋体" w:cs="宋体"/>
                <w:i w:val="0"/>
                <w:iCs w:val="0"/>
                <w:color w:val="000000"/>
                <w:sz w:val="18"/>
                <w:szCs w:val="18"/>
                <w:highlight w:val="none"/>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47518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8C673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5BF0A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r>
      <w:tr w14:paraId="33762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9B7DEE">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年度总体目标</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384B085">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预期目标</w:t>
            </w:r>
          </w:p>
        </w:tc>
        <w:tc>
          <w:tcPr>
            <w:tcW w:w="0" w:type="auto"/>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E6AA665">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实际完成情况</w:t>
            </w:r>
          </w:p>
        </w:tc>
      </w:tr>
      <w:tr w14:paraId="4BD938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37F7A3">
            <w:pPr>
              <w:jc w:val="center"/>
              <w:rPr>
                <w:rFonts w:hint="eastAsia" w:ascii="宋体" w:hAnsi="宋体" w:eastAsia="宋体" w:cs="宋体"/>
                <w:b/>
                <w:bCs/>
                <w:i w:val="0"/>
                <w:iCs w:val="0"/>
                <w:color w:val="000000"/>
                <w:sz w:val="18"/>
                <w:szCs w:val="18"/>
                <w:highlight w:val="none"/>
                <w:u w:val="none"/>
              </w:rPr>
            </w:pP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94261C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坚守网信底线，保障高水平安全；坚持数字赋能，支撑高效能监管；推进数字改革，服务高质量发展。加强顶层设计，构建智慧市场监管体系；加强数据治理，实现数据赋能关键突破；持续推进门户建设，整合数字化综合支撑平台；加快补齐短板，建设质量提升综合管理平台；推行数据说话，加紧“智慧监管中心”建设。2023年计划完成信息化建设及维保项目个数不少于10个；服务企业次数不少于50万次；信息化设备租赁项目不少于3个；项目运维验收合格率高于90%。</w:t>
            </w:r>
          </w:p>
        </w:tc>
        <w:tc>
          <w:tcPr>
            <w:tcW w:w="0" w:type="auto"/>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45E3F6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已</w:t>
            </w:r>
            <w:r>
              <w:rPr>
                <w:rFonts w:hint="eastAsia" w:ascii="宋体" w:hAnsi="宋体" w:cs="宋体"/>
                <w:i w:val="0"/>
                <w:iCs w:val="0"/>
                <w:color w:val="000000"/>
                <w:kern w:val="0"/>
                <w:sz w:val="18"/>
                <w:szCs w:val="18"/>
                <w:highlight w:val="none"/>
                <w:u w:val="none"/>
                <w:lang w:val="en-US" w:eastAsia="zh-CN" w:bidi="ar"/>
              </w:rPr>
              <w:t>完成</w:t>
            </w:r>
            <w:r>
              <w:rPr>
                <w:rFonts w:hint="eastAsia" w:ascii="宋体" w:hAnsi="宋体" w:eastAsia="宋体" w:cs="宋体"/>
                <w:i w:val="0"/>
                <w:iCs w:val="0"/>
                <w:color w:val="000000"/>
                <w:kern w:val="0"/>
                <w:sz w:val="18"/>
                <w:szCs w:val="18"/>
                <w:highlight w:val="none"/>
                <w:u w:val="none"/>
                <w:lang w:val="en-US" w:eastAsia="zh-CN" w:bidi="ar"/>
              </w:rPr>
              <w:t>信息化建设及维保项目个数13个，服务企业次数50万次，信息化设备租赁3个；项目运维验收合格率100%；保证市监局各系统正常运转为群众提供服务。</w:t>
            </w:r>
          </w:p>
        </w:tc>
      </w:tr>
      <w:tr w14:paraId="7A6ED4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E071E7">
            <w:pPr>
              <w:jc w:val="center"/>
              <w:rPr>
                <w:rFonts w:hint="eastAsia" w:ascii="宋体" w:hAnsi="宋体" w:eastAsia="宋体" w:cs="宋体"/>
                <w:i w:val="0"/>
                <w:iCs w:val="0"/>
                <w:color w:val="000000"/>
                <w:sz w:val="18"/>
                <w:szCs w:val="18"/>
                <w:highlight w:val="none"/>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1D1EBE">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一级指标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1E3D8C">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二级指标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52E3E1">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三级指标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0275CD">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权重</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9EF973">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目标值</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B1ED50">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业绩值</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E72C92">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完成率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F6B1B8">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指标得分</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C669E7">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指标值设定依据</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76A654">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上年完成情况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13AEA9">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赋分规则</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834D9A">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佐证资料</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83F698">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偏差原因分析及改进措施</w:t>
            </w:r>
          </w:p>
        </w:tc>
      </w:tr>
      <w:tr w14:paraId="399DF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FCC018">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FC79B9">
            <w:pPr>
              <w:jc w:val="center"/>
              <w:rPr>
                <w:rFonts w:hint="eastAsia" w:ascii="宋体" w:hAnsi="宋体" w:eastAsia="宋体" w:cs="宋体"/>
                <w:b/>
                <w:bCs/>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0CB59F">
            <w:pPr>
              <w:jc w:val="center"/>
              <w:rPr>
                <w:rFonts w:hint="eastAsia" w:ascii="宋体" w:hAnsi="宋体" w:eastAsia="宋体" w:cs="宋体"/>
                <w:b/>
                <w:bCs/>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E6CC1C">
            <w:pPr>
              <w:jc w:val="center"/>
              <w:rPr>
                <w:rFonts w:hint="eastAsia" w:ascii="宋体" w:hAnsi="宋体" w:eastAsia="宋体" w:cs="宋体"/>
                <w:b/>
                <w:bCs/>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B6462D">
            <w:pPr>
              <w:jc w:val="center"/>
              <w:rPr>
                <w:rFonts w:hint="eastAsia" w:ascii="宋体" w:hAnsi="宋体" w:eastAsia="宋体" w:cs="宋体"/>
                <w:b/>
                <w:bCs/>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5CF48C">
            <w:pPr>
              <w:jc w:val="center"/>
              <w:rPr>
                <w:rFonts w:hint="eastAsia" w:ascii="宋体" w:hAnsi="宋体" w:eastAsia="宋体" w:cs="宋体"/>
                <w:b/>
                <w:bCs/>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CBE110">
            <w:pPr>
              <w:jc w:val="center"/>
              <w:rPr>
                <w:rFonts w:hint="eastAsia" w:ascii="宋体" w:hAnsi="宋体" w:eastAsia="宋体" w:cs="宋体"/>
                <w:b/>
                <w:bCs/>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A891C5">
            <w:pPr>
              <w:jc w:val="center"/>
              <w:rPr>
                <w:rFonts w:hint="eastAsia" w:ascii="宋体" w:hAnsi="宋体" w:eastAsia="宋体" w:cs="宋体"/>
                <w:b/>
                <w:bCs/>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FD5D8F">
            <w:pPr>
              <w:jc w:val="center"/>
              <w:rPr>
                <w:rFonts w:hint="eastAsia" w:ascii="宋体" w:hAnsi="宋体" w:eastAsia="宋体" w:cs="宋体"/>
                <w:b/>
                <w:bCs/>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701B7F">
            <w:pPr>
              <w:jc w:val="center"/>
              <w:rPr>
                <w:rFonts w:hint="eastAsia" w:ascii="宋体" w:hAnsi="宋体" w:eastAsia="宋体" w:cs="宋体"/>
                <w:b/>
                <w:bCs/>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08554A">
            <w:pPr>
              <w:jc w:val="center"/>
              <w:rPr>
                <w:rFonts w:hint="eastAsia" w:ascii="宋体" w:hAnsi="宋体" w:eastAsia="宋体" w:cs="宋体"/>
                <w:b/>
                <w:bCs/>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7F75F2">
            <w:pPr>
              <w:jc w:val="center"/>
              <w:rPr>
                <w:rFonts w:hint="eastAsia" w:ascii="宋体" w:hAnsi="宋体" w:eastAsia="宋体" w:cs="宋体"/>
                <w:b/>
                <w:bCs/>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515D36">
            <w:pPr>
              <w:jc w:val="center"/>
              <w:rPr>
                <w:rFonts w:hint="eastAsia" w:ascii="宋体" w:hAnsi="宋体" w:eastAsia="宋体" w:cs="宋体"/>
                <w:b/>
                <w:bCs/>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769427">
            <w:pPr>
              <w:jc w:val="center"/>
              <w:rPr>
                <w:rFonts w:hint="eastAsia" w:ascii="宋体" w:hAnsi="宋体" w:eastAsia="宋体" w:cs="宋体"/>
                <w:b/>
                <w:bCs/>
                <w:i w:val="0"/>
                <w:iCs w:val="0"/>
                <w:color w:val="000000"/>
                <w:sz w:val="18"/>
                <w:szCs w:val="18"/>
                <w:highlight w:val="none"/>
                <w:u w:val="none"/>
              </w:rPr>
            </w:pPr>
          </w:p>
        </w:tc>
      </w:tr>
      <w:tr w14:paraId="364E49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3D4CF2">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年度绩效指标完成情况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4C28A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D9F01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D38BB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信息化建设及维保项目个数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FAF07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69556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&gt;=10个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52BDB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17F6C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04FF9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2C0E0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历史标准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EF55B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4783B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E40EC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3879D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年初设置目标维保数13个，按照业务处室实际政府采购招标数为13个</w:t>
            </w:r>
          </w:p>
        </w:tc>
      </w:tr>
      <w:tr w14:paraId="2E9CE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C8F5C8">
            <w:pPr>
              <w:jc w:val="center"/>
              <w:rPr>
                <w:rFonts w:hint="eastAsia" w:ascii="宋体" w:hAnsi="宋体" w:eastAsia="宋体" w:cs="宋体"/>
                <w:b/>
                <w:bCs/>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B07F91">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604ED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B16E7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服务企业次数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390A3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5CA01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&gt;=50万次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3A0F8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=50万次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55F01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8C0A8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246B7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历史标准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EE041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48万次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A5409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FC162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A7D88C">
            <w:pPr>
              <w:jc w:val="center"/>
              <w:rPr>
                <w:rFonts w:hint="eastAsia" w:ascii="宋体" w:hAnsi="宋体" w:eastAsia="宋体" w:cs="宋体"/>
                <w:i w:val="0"/>
                <w:iCs w:val="0"/>
                <w:color w:val="000000"/>
                <w:sz w:val="18"/>
                <w:szCs w:val="18"/>
                <w:highlight w:val="none"/>
                <w:u w:val="none"/>
              </w:rPr>
            </w:pPr>
          </w:p>
        </w:tc>
      </w:tr>
      <w:tr w14:paraId="1BC1A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B7A87A">
            <w:pPr>
              <w:jc w:val="center"/>
              <w:rPr>
                <w:rFonts w:hint="eastAsia" w:ascii="宋体" w:hAnsi="宋体" w:eastAsia="宋体" w:cs="宋体"/>
                <w:b/>
                <w:bCs/>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299FAF">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E94BB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7EA21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信息化租赁项目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72B12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769A7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&gt;=3个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6A932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6C5C4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96D70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CA301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历史标准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F0A1A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32349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3F2A6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18F4B2">
            <w:pPr>
              <w:jc w:val="center"/>
              <w:rPr>
                <w:rFonts w:hint="eastAsia" w:ascii="宋体" w:hAnsi="宋体" w:eastAsia="宋体" w:cs="宋体"/>
                <w:i w:val="0"/>
                <w:iCs w:val="0"/>
                <w:color w:val="000000"/>
                <w:sz w:val="18"/>
                <w:szCs w:val="18"/>
                <w:highlight w:val="none"/>
                <w:u w:val="none"/>
              </w:rPr>
            </w:pPr>
          </w:p>
        </w:tc>
      </w:tr>
      <w:tr w14:paraId="07060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3E22F0">
            <w:pPr>
              <w:jc w:val="center"/>
              <w:rPr>
                <w:rFonts w:hint="eastAsia" w:ascii="宋体" w:hAnsi="宋体" w:eastAsia="宋体" w:cs="宋体"/>
                <w:b/>
                <w:bCs/>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BD055A">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7A511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72ECA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系统故障率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66B8E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6338F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&lt;=1%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84500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3CDFB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E4B81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CE1F1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历史标准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2B502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DA723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按评判等级赋分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8D179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6A19D0">
            <w:pPr>
              <w:jc w:val="center"/>
              <w:rPr>
                <w:rFonts w:hint="eastAsia" w:ascii="宋体" w:hAnsi="宋体" w:eastAsia="宋体" w:cs="宋体"/>
                <w:i w:val="0"/>
                <w:iCs w:val="0"/>
                <w:color w:val="000000"/>
                <w:sz w:val="18"/>
                <w:szCs w:val="18"/>
                <w:highlight w:val="none"/>
                <w:u w:val="none"/>
              </w:rPr>
            </w:pPr>
          </w:p>
        </w:tc>
      </w:tr>
      <w:tr w14:paraId="041B4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93680E">
            <w:pPr>
              <w:jc w:val="center"/>
              <w:rPr>
                <w:rFonts w:hint="eastAsia" w:ascii="宋体" w:hAnsi="宋体" w:eastAsia="宋体" w:cs="宋体"/>
                <w:b/>
                <w:bCs/>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C13B11">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B1D78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8994B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项目运维验收合格率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B4564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73B90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&gt;=91%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D58C4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075AF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400A3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5D102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历史标准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DD727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A8811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按评判等级赋分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17ADF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371DD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项目运维验收合格率年初设置90%</w:t>
            </w:r>
            <w:r>
              <w:rPr>
                <w:rFonts w:hint="eastAsia" w:ascii="宋体" w:hAnsi="宋体" w:cs="宋体"/>
                <w:i w:val="0"/>
                <w:iCs w:val="0"/>
                <w:color w:val="000000"/>
                <w:kern w:val="0"/>
                <w:sz w:val="18"/>
                <w:szCs w:val="18"/>
                <w:highlight w:val="none"/>
                <w:u w:val="none"/>
                <w:lang w:val="en-US" w:eastAsia="zh-CN" w:bidi="ar"/>
              </w:rPr>
              <w:t>，</w:t>
            </w:r>
            <w:r>
              <w:rPr>
                <w:rFonts w:hint="eastAsia" w:ascii="宋体" w:hAnsi="宋体" w:eastAsia="宋体" w:cs="宋体"/>
                <w:i w:val="0"/>
                <w:iCs w:val="0"/>
                <w:color w:val="000000"/>
                <w:kern w:val="0"/>
                <w:sz w:val="18"/>
                <w:szCs w:val="18"/>
                <w:highlight w:val="none"/>
                <w:u w:val="none"/>
                <w:lang w:val="en-US" w:eastAsia="zh-CN" w:bidi="ar"/>
              </w:rPr>
              <w:t>实际为100%</w:t>
            </w:r>
          </w:p>
        </w:tc>
      </w:tr>
      <w:tr w14:paraId="0A385A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876A05">
            <w:pPr>
              <w:jc w:val="center"/>
              <w:rPr>
                <w:rFonts w:hint="eastAsia" w:ascii="宋体" w:hAnsi="宋体" w:eastAsia="宋体" w:cs="宋体"/>
                <w:b/>
                <w:bCs/>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3BBF34">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5ED87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51DA2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系统运行维护响应时间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99725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72527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&lt;=2小时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AFA2E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=2小时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00C7D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C6BF7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1BDC7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历史标准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CDA86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2小时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C69B1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2DFB8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B215C7">
            <w:pPr>
              <w:jc w:val="center"/>
              <w:rPr>
                <w:rFonts w:hint="eastAsia" w:ascii="宋体" w:hAnsi="宋体" w:eastAsia="宋体" w:cs="宋体"/>
                <w:i w:val="0"/>
                <w:iCs w:val="0"/>
                <w:color w:val="000000"/>
                <w:sz w:val="18"/>
                <w:szCs w:val="18"/>
                <w:highlight w:val="none"/>
                <w:u w:val="none"/>
              </w:rPr>
            </w:pPr>
          </w:p>
        </w:tc>
      </w:tr>
      <w:tr w14:paraId="7E003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C25032">
            <w:pPr>
              <w:jc w:val="center"/>
              <w:rPr>
                <w:rFonts w:hint="eastAsia" w:ascii="宋体" w:hAnsi="宋体" w:eastAsia="宋体" w:cs="宋体"/>
                <w:b/>
                <w:bCs/>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600E3A">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1AD31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EC3CD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系统故障修复处理时间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54C44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00D5F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&lt;=12小时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F7EBA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=12小时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8F27A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24F34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E3ECD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历史标准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3FB73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12小时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8B1CE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73FFC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3EF583">
            <w:pPr>
              <w:jc w:val="center"/>
              <w:rPr>
                <w:rFonts w:hint="eastAsia" w:ascii="宋体" w:hAnsi="宋体" w:eastAsia="宋体" w:cs="宋体"/>
                <w:i w:val="0"/>
                <w:iCs w:val="0"/>
                <w:color w:val="000000"/>
                <w:sz w:val="18"/>
                <w:szCs w:val="18"/>
                <w:highlight w:val="none"/>
                <w:u w:val="none"/>
              </w:rPr>
            </w:pPr>
          </w:p>
        </w:tc>
      </w:tr>
      <w:tr w14:paraId="209D0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561E67">
            <w:pPr>
              <w:jc w:val="center"/>
              <w:rPr>
                <w:rFonts w:hint="eastAsia" w:ascii="宋体" w:hAnsi="宋体" w:eastAsia="宋体" w:cs="宋体"/>
                <w:b/>
                <w:bCs/>
                <w:i w:val="0"/>
                <w:iCs w:val="0"/>
                <w:color w:val="000000"/>
                <w:sz w:val="18"/>
                <w:szCs w:val="18"/>
                <w:highlight w:val="none"/>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A79D8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9DDE2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经济成本指标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120EA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运营维护费用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4EF43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4FF0A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&lt;=1599.20万元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F915E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=1599.2万元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BD23B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CB75C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74362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预算支出标准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7D330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1032.7万元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7F3C4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29089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FF22D9">
            <w:pPr>
              <w:jc w:val="center"/>
              <w:rPr>
                <w:rFonts w:hint="eastAsia" w:ascii="宋体" w:hAnsi="宋体" w:eastAsia="宋体" w:cs="宋体"/>
                <w:i w:val="0"/>
                <w:iCs w:val="0"/>
                <w:color w:val="000000"/>
                <w:sz w:val="18"/>
                <w:szCs w:val="18"/>
                <w:highlight w:val="none"/>
                <w:u w:val="none"/>
              </w:rPr>
            </w:pPr>
          </w:p>
        </w:tc>
      </w:tr>
      <w:tr w14:paraId="6138F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76A6FC">
            <w:pPr>
              <w:jc w:val="center"/>
              <w:rPr>
                <w:rFonts w:hint="eastAsia" w:ascii="宋体" w:hAnsi="宋体" w:eastAsia="宋体" w:cs="宋体"/>
                <w:b/>
                <w:bCs/>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AF100F">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73D8F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经济成本指标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50731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设备租赁费用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78A81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E5647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&lt;=664万元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A335A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=664万元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7A51E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7FC79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233A2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预算支出标准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38660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667.3万元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67487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15C36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02174D">
            <w:pPr>
              <w:jc w:val="center"/>
              <w:rPr>
                <w:rFonts w:hint="eastAsia" w:ascii="宋体" w:hAnsi="宋体" w:eastAsia="宋体" w:cs="宋体"/>
                <w:i w:val="0"/>
                <w:iCs w:val="0"/>
                <w:color w:val="000000"/>
                <w:sz w:val="18"/>
                <w:szCs w:val="18"/>
                <w:highlight w:val="none"/>
                <w:u w:val="none"/>
              </w:rPr>
            </w:pPr>
          </w:p>
        </w:tc>
      </w:tr>
      <w:tr w14:paraId="4A476D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C733CE">
            <w:pPr>
              <w:jc w:val="center"/>
              <w:rPr>
                <w:rFonts w:hint="eastAsia" w:ascii="宋体" w:hAnsi="宋体" w:eastAsia="宋体" w:cs="宋体"/>
                <w:b/>
                <w:bCs/>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8CEE48">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606D5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社会成本指标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2167D3">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F1147B">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58019D">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EEA579">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01B169">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B33E5C">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52FDA3">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94FD84">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256348">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BDDAC2">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959201">
            <w:pPr>
              <w:jc w:val="center"/>
              <w:rPr>
                <w:rFonts w:hint="eastAsia" w:ascii="宋体" w:hAnsi="宋体" w:eastAsia="宋体" w:cs="宋体"/>
                <w:i w:val="0"/>
                <w:iCs w:val="0"/>
                <w:color w:val="000000"/>
                <w:sz w:val="18"/>
                <w:szCs w:val="18"/>
                <w:highlight w:val="none"/>
                <w:u w:val="none"/>
              </w:rPr>
            </w:pPr>
          </w:p>
        </w:tc>
      </w:tr>
      <w:tr w14:paraId="77F9D5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73348E">
            <w:pPr>
              <w:jc w:val="center"/>
              <w:rPr>
                <w:rFonts w:hint="eastAsia" w:ascii="宋体" w:hAnsi="宋体" w:eastAsia="宋体" w:cs="宋体"/>
                <w:b/>
                <w:bCs/>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06A3D9">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ED6DD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生态环境成本指标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CD2C51">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72F993">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B139EB">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540ACE">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37848B">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A715F3">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0D262F">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6322DA">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BAF41F">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FE07E9">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48646A">
            <w:pPr>
              <w:jc w:val="center"/>
              <w:rPr>
                <w:rFonts w:hint="eastAsia" w:ascii="宋体" w:hAnsi="宋体" w:eastAsia="宋体" w:cs="宋体"/>
                <w:i w:val="0"/>
                <w:iCs w:val="0"/>
                <w:color w:val="000000"/>
                <w:sz w:val="18"/>
                <w:szCs w:val="18"/>
                <w:highlight w:val="none"/>
                <w:u w:val="none"/>
              </w:rPr>
            </w:pPr>
          </w:p>
        </w:tc>
      </w:tr>
      <w:tr w14:paraId="48A520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4BA99B">
            <w:pPr>
              <w:jc w:val="center"/>
              <w:rPr>
                <w:rFonts w:hint="eastAsia" w:ascii="宋体" w:hAnsi="宋体" w:eastAsia="宋体" w:cs="宋体"/>
                <w:b/>
                <w:bCs/>
                <w:i w:val="0"/>
                <w:iCs w:val="0"/>
                <w:color w:val="000000"/>
                <w:sz w:val="18"/>
                <w:szCs w:val="18"/>
                <w:highlight w:val="none"/>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A7424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E8364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经济效益指标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DF282E">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61899A">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713D20">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F6C9A3">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167098">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6A6BCF">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906FF0">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7ED163">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2004E9">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FF1ACE">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B9476E">
            <w:pPr>
              <w:jc w:val="center"/>
              <w:rPr>
                <w:rFonts w:hint="eastAsia" w:ascii="宋体" w:hAnsi="宋体" w:eastAsia="宋体" w:cs="宋体"/>
                <w:i w:val="0"/>
                <w:iCs w:val="0"/>
                <w:color w:val="000000"/>
                <w:sz w:val="18"/>
                <w:szCs w:val="18"/>
                <w:highlight w:val="none"/>
                <w:u w:val="none"/>
              </w:rPr>
            </w:pPr>
          </w:p>
        </w:tc>
      </w:tr>
      <w:tr w14:paraId="23836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153A75">
            <w:pPr>
              <w:jc w:val="center"/>
              <w:rPr>
                <w:rFonts w:hint="eastAsia" w:ascii="宋体" w:hAnsi="宋体" w:eastAsia="宋体" w:cs="宋体"/>
                <w:b/>
                <w:bCs/>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2EE6F4">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069C1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BCB34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保证群众信息化咨询效率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8EA4B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E2D6C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有效保障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80CCB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有效保障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FD7CC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BB0E3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9035E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历史标准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1D257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有效保障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0C3A4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直接赋分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BB6FF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说明材料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41ADEE">
            <w:pPr>
              <w:jc w:val="center"/>
              <w:rPr>
                <w:rFonts w:hint="eastAsia" w:ascii="宋体" w:hAnsi="宋体" w:eastAsia="宋体" w:cs="宋体"/>
                <w:i w:val="0"/>
                <w:iCs w:val="0"/>
                <w:color w:val="000000"/>
                <w:sz w:val="18"/>
                <w:szCs w:val="18"/>
                <w:highlight w:val="none"/>
                <w:u w:val="none"/>
              </w:rPr>
            </w:pPr>
          </w:p>
        </w:tc>
      </w:tr>
      <w:tr w14:paraId="5C566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FF4AC2">
            <w:pPr>
              <w:jc w:val="center"/>
              <w:rPr>
                <w:rFonts w:hint="eastAsia" w:ascii="宋体" w:hAnsi="宋体" w:eastAsia="宋体" w:cs="宋体"/>
                <w:b/>
                <w:bCs/>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C26E77">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7604C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生态效益指标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6030D8">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4999BE">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4A46BE">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F792E1">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285A3A">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FCA3EF">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A37D2E">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43E187">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976C97">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FA81B5">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FD32FD">
            <w:pPr>
              <w:jc w:val="center"/>
              <w:rPr>
                <w:rFonts w:hint="eastAsia" w:ascii="宋体" w:hAnsi="宋体" w:eastAsia="宋体" w:cs="宋体"/>
                <w:i w:val="0"/>
                <w:iCs w:val="0"/>
                <w:color w:val="000000"/>
                <w:sz w:val="18"/>
                <w:szCs w:val="18"/>
                <w:highlight w:val="none"/>
                <w:u w:val="none"/>
              </w:rPr>
            </w:pPr>
          </w:p>
        </w:tc>
      </w:tr>
      <w:tr w14:paraId="40127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C62701">
            <w:pPr>
              <w:jc w:val="center"/>
              <w:rPr>
                <w:rFonts w:hint="eastAsia" w:ascii="宋体" w:hAnsi="宋体" w:eastAsia="宋体" w:cs="宋体"/>
                <w:b/>
                <w:bCs/>
                <w:i w:val="0"/>
                <w:iCs w:val="0"/>
                <w:color w:val="000000"/>
                <w:sz w:val="18"/>
                <w:szCs w:val="18"/>
                <w:highlight w:val="none"/>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2850A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505F1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D57AB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互联网及业务的服务对象满意度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48C8F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7509C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&gt;=85%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74460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7B494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C4885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43774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历史标准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126A7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A7BDC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满意度赋分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D7F41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7420AA">
            <w:pPr>
              <w:jc w:val="center"/>
              <w:rPr>
                <w:rFonts w:hint="eastAsia" w:ascii="宋体" w:hAnsi="宋体" w:eastAsia="宋体" w:cs="宋体"/>
                <w:i w:val="0"/>
                <w:iCs w:val="0"/>
                <w:color w:val="000000"/>
                <w:sz w:val="18"/>
                <w:szCs w:val="18"/>
                <w:highlight w:val="none"/>
                <w:u w:val="none"/>
              </w:rPr>
            </w:pPr>
          </w:p>
        </w:tc>
      </w:tr>
      <w:tr w14:paraId="505D4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78EB50">
            <w:pPr>
              <w:jc w:val="center"/>
              <w:rPr>
                <w:rFonts w:hint="eastAsia" w:ascii="宋体" w:hAnsi="宋体" w:eastAsia="宋体" w:cs="宋体"/>
                <w:b/>
                <w:bCs/>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170104">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125AD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510C2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使用人员满意度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8A505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22E35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&gt;=85%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03FB2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C7C95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02542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0ED34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历史标准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6789E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23C41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满意度赋分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099CD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B144A0">
            <w:pPr>
              <w:jc w:val="center"/>
              <w:rPr>
                <w:rFonts w:hint="eastAsia" w:ascii="宋体" w:hAnsi="宋体" w:eastAsia="宋体" w:cs="宋体"/>
                <w:i w:val="0"/>
                <w:iCs w:val="0"/>
                <w:color w:val="000000"/>
                <w:sz w:val="18"/>
                <w:szCs w:val="18"/>
                <w:highlight w:val="none"/>
                <w:u w:val="none"/>
              </w:rPr>
            </w:pPr>
          </w:p>
        </w:tc>
      </w:tr>
      <w:tr w14:paraId="505C6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4"/>
            <w:tcBorders>
              <w:top w:val="single" w:color="000000" w:sz="4" w:space="0"/>
              <w:left w:val="single" w:color="000000" w:sz="4" w:space="0"/>
              <w:bottom w:val="single" w:color="000000" w:sz="4" w:space="0"/>
              <w:right w:val="nil"/>
            </w:tcBorders>
            <w:shd w:val="clear" w:color="auto" w:fill="auto"/>
            <w:vAlign w:val="center"/>
          </w:tcPr>
          <w:p w14:paraId="2E1FEDC8">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03B34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0" w:type="auto"/>
            <w:tcBorders>
              <w:top w:val="single" w:color="000000" w:sz="4" w:space="0"/>
              <w:left w:val="nil"/>
              <w:bottom w:val="single" w:color="000000" w:sz="4" w:space="0"/>
              <w:right w:val="single" w:color="000000" w:sz="4" w:space="0"/>
            </w:tcBorders>
            <w:shd w:val="clear" w:color="auto" w:fill="auto"/>
            <w:vAlign w:val="center"/>
          </w:tcPr>
          <w:p w14:paraId="4BEC95EF">
            <w:pPr>
              <w:rPr>
                <w:rFonts w:hint="eastAsia" w:ascii="宋体" w:hAnsi="宋体" w:eastAsia="宋体" w:cs="宋体"/>
                <w:b/>
                <w:bCs/>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ACBCD9">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8DE503">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07C7E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98.80分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1DA880">
            <w:pP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F4D41D">
            <w:pP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BA69B2">
            <w:pP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C163D7">
            <w:pP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58E33E">
            <w:pPr>
              <w:rPr>
                <w:rFonts w:hint="eastAsia" w:ascii="宋体" w:hAnsi="宋体" w:eastAsia="宋体" w:cs="宋体"/>
                <w:i w:val="0"/>
                <w:iCs w:val="0"/>
                <w:color w:val="000000"/>
                <w:sz w:val="18"/>
                <w:szCs w:val="18"/>
                <w:highlight w:val="none"/>
                <w:u w:val="none"/>
              </w:rPr>
            </w:pPr>
          </w:p>
        </w:tc>
      </w:tr>
    </w:tbl>
    <w:p w14:paraId="317D309C">
      <w:pPr>
        <w:pStyle w:val="2"/>
        <w:jc w:val="both"/>
        <w:rPr>
          <w:rFonts w:ascii="Times New Roman" w:hAnsi="Times New Roman"/>
          <w:highlight w:val="none"/>
        </w:rPr>
        <w:sectPr>
          <w:pgSz w:w="16838" w:h="11906" w:orient="landscape"/>
          <w:pgMar w:top="1587" w:right="2098" w:bottom="1558" w:left="1984" w:header="851" w:footer="992" w:gutter="0"/>
          <w:cols w:space="425" w:num="1"/>
          <w:docGrid w:type="lines" w:linePitch="312" w:charSpace="0"/>
        </w:sectPr>
      </w:pPr>
    </w:p>
    <w:p w14:paraId="3EF1375C">
      <w:pPr>
        <w:spacing w:line="600" w:lineRule="exact"/>
        <w:rPr>
          <w:bCs/>
          <w:sz w:val="32"/>
          <w:szCs w:val="32"/>
          <w:highlight w:val="none"/>
        </w:rPr>
      </w:pPr>
      <w:r>
        <w:rPr>
          <w:bCs/>
          <w:sz w:val="32"/>
          <w:szCs w:val="32"/>
          <w:highlight w:val="none"/>
        </w:rPr>
        <w:t>附件1</w:t>
      </w:r>
    </w:p>
    <w:tbl>
      <w:tblPr>
        <w:tblStyle w:val="21"/>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9"/>
        <w:gridCol w:w="767"/>
        <w:gridCol w:w="873"/>
        <w:gridCol w:w="2353"/>
        <w:gridCol w:w="5188"/>
        <w:gridCol w:w="1300"/>
        <w:gridCol w:w="1363"/>
      </w:tblGrid>
      <w:tr w14:paraId="40BB50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1" w:type="pct"/>
            <w:shd w:val="clear" w:color="auto" w:fill="FFFFFF"/>
            <w:vAlign w:val="center"/>
          </w:tcPr>
          <w:p w14:paraId="746BB0F6">
            <w:pPr>
              <w:widowControl/>
              <w:spacing w:line="0" w:lineRule="atLeast"/>
              <w:jc w:val="center"/>
              <w:rPr>
                <w:b/>
                <w:bCs/>
                <w:color w:val="000000"/>
                <w:kern w:val="0"/>
                <w:sz w:val="22"/>
                <w:szCs w:val="22"/>
                <w:highlight w:val="none"/>
              </w:rPr>
            </w:pPr>
            <w:r>
              <w:rPr>
                <w:b/>
                <w:bCs/>
                <w:color w:val="000000"/>
                <w:kern w:val="0"/>
                <w:sz w:val="22"/>
                <w:szCs w:val="22"/>
                <w:highlight w:val="none"/>
              </w:rPr>
              <w:t>一级指标</w:t>
            </w:r>
          </w:p>
        </w:tc>
        <w:tc>
          <w:tcPr>
            <w:tcW w:w="302" w:type="pct"/>
            <w:shd w:val="clear" w:color="auto" w:fill="FFFFFF"/>
            <w:vAlign w:val="center"/>
          </w:tcPr>
          <w:p w14:paraId="094E3BA5">
            <w:pPr>
              <w:widowControl/>
              <w:spacing w:line="0" w:lineRule="atLeast"/>
              <w:jc w:val="center"/>
              <w:rPr>
                <w:b/>
                <w:bCs/>
                <w:color w:val="000000"/>
                <w:kern w:val="0"/>
                <w:sz w:val="22"/>
                <w:szCs w:val="22"/>
                <w:highlight w:val="none"/>
              </w:rPr>
            </w:pPr>
            <w:r>
              <w:rPr>
                <w:b/>
                <w:bCs/>
                <w:color w:val="000000"/>
                <w:kern w:val="0"/>
                <w:sz w:val="22"/>
                <w:szCs w:val="22"/>
                <w:highlight w:val="none"/>
              </w:rPr>
              <w:t>二级指标</w:t>
            </w:r>
          </w:p>
        </w:tc>
        <w:tc>
          <w:tcPr>
            <w:tcW w:w="344" w:type="pct"/>
            <w:shd w:val="clear" w:color="auto" w:fill="FFFFFF"/>
            <w:vAlign w:val="center"/>
          </w:tcPr>
          <w:p w14:paraId="37B38C0F">
            <w:pPr>
              <w:widowControl/>
              <w:spacing w:line="0" w:lineRule="atLeast"/>
              <w:jc w:val="center"/>
              <w:rPr>
                <w:b/>
                <w:bCs/>
                <w:color w:val="000000"/>
                <w:kern w:val="0"/>
                <w:sz w:val="22"/>
                <w:szCs w:val="22"/>
                <w:highlight w:val="none"/>
              </w:rPr>
            </w:pPr>
            <w:r>
              <w:rPr>
                <w:b/>
                <w:bCs/>
                <w:color w:val="000000"/>
                <w:kern w:val="0"/>
                <w:sz w:val="22"/>
                <w:szCs w:val="22"/>
                <w:highlight w:val="none"/>
              </w:rPr>
              <w:t>三级指标</w:t>
            </w:r>
          </w:p>
        </w:tc>
        <w:tc>
          <w:tcPr>
            <w:tcW w:w="927" w:type="pct"/>
            <w:shd w:val="clear" w:color="auto" w:fill="FFFFFF"/>
            <w:vAlign w:val="center"/>
          </w:tcPr>
          <w:p w14:paraId="7AFFD80D">
            <w:pPr>
              <w:widowControl/>
              <w:spacing w:line="0" w:lineRule="atLeast"/>
              <w:jc w:val="center"/>
              <w:rPr>
                <w:b/>
                <w:bCs/>
                <w:color w:val="000000"/>
                <w:kern w:val="0"/>
                <w:sz w:val="22"/>
                <w:szCs w:val="22"/>
                <w:highlight w:val="none"/>
              </w:rPr>
            </w:pPr>
            <w:r>
              <w:rPr>
                <w:b/>
                <w:bCs/>
                <w:color w:val="000000"/>
                <w:kern w:val="0"/>
                <w:sz w:val="22"/>
                <w:szCs w:val="22"/>
                <w:highlight w:val="none"/>
              </w:rPr>
              <w:t>指标解释</w:t>
            </w:r>
          </w:p>
        </w:tc>
        <w:tc>
          <w:tcPr>
            <w:tcW w:w="2044" w:type="pct"/>
            <w:shd w:val="clear" w:color="auto" w:fill="FFFFFF"/>
            <w:vAlign w:val="center"/>
          </w:tcPr>
          <w:p w14:paraId="6F3CF6C2">
            <w:pPr>
              <w:widowControl/>
              <w:spacing w:line="0" w:lineRule="atLeast"/>
              <w:jc w:val="center"/>
              <w:rPr>
                <w:b/>
                <w:bCs/>
                <w:color w:val="000000"/>
                <w:kern w:val="0"/>
                <w:sz w:val="22"/>
                <w:szCs w:val="22"/>
                <w:highlight w:val="none"/>
              </w:rPr>
            </w:pPr>
            <w:r>
              <w:rPr>
                <w:b/>
                <w:bCs/>
                <w:color w:val="000000"/>
                <w:kern w:val="0"/>
                <w:sz w:val="22"/>
                <w:szCs w:val="22"/>
                <w:highlight w:val="none"/>
              </w:rPr>
              <w:t>指标说明</w:t>
            </w:r>
          </w:p>
        </w:tc>
        <w:tc>
          <w:tcPr>
            <w:tcW w:w="512" w:type="pct"/>
            <w:shd w:val="clear" w:color="auto" w:fill="FFFFFF"/>
            <w:vAlign w:val="center"/>
          </w:tcPr>
          <w:p w14:paraId="2404D2F9">
            <w:pPr>
              <w:widowControl/>
              <w:spacing w:line="0" w:lineRule="atLeast"/>
              <w:jc w:val="center"/>
              <w:rPr>
                <w:b/>
                <w:bCs/>
                <w:color w:val="000000"/>
                <w:kern w:val="0"/>
                <w:sz w:val="22"/>
                <w:szCs w:val="22"/>
                <w:highlight w:val="none"/>
              </w:rPr>
            </w:pPr>
            <w:r>
              <w:rPr>
                <w:b/>
                <w:bCs/>
                <w:color w:val="000000"/>
                <w:kern w:val="0"/>
                <w:sz w:val="22"/>
                <w:szCs w:val="22"/>
                <w:highlight w:val="none"/>
              </w:rPr>
              <w:t>权重</w:t>
            </w:r>
          </w:p>
        </w:tc>
        <w:tc>
          <w:tcPr>
            <w:tcW w:w="537" w:type="pct"/>
            <w:shd w:val="clear" w:color="auto" w:fill="FFFFFF"/>
            <w:vAlign w:val="center"/>
          </w:tcPr>
          <w:p w14:paraId="2543CF58">
            <w:pPr>
              <w:widowControl/>
              <w:spacing w:line="0" w:lineRule="atLeast"/>
              <w:jc w:val="center"/>
              <w:rPr>
                <w:b/>
                <w:bCs/>
                <w:color w:val="000000"/>
                <w:kern w:val="0"/>
                <w:sz w:val="22"/>
                <w:szCs w:val="22"/>
                <w:highlight w:val="none"/>
              </w:rPr>
            </w:pPr>
            <w:r>
              <w:rPr>
                <w:b/>
                <w:bCs/>
                <w:color w:val="000000"/>
                <w:kern w:val="0"/>
                <w:sz w:val="22"/>
                <w:szCs w:val="22"/>
                <w:highlight w:val="none"/>
              </w:rPr>
              <w:t>得分</w:t>
            </w:r>
          </w:p>
        </w:tc>
      </w:tr>
      <w:tr w14:paraId="04C2D1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331" w:type="pct"/>
            <w:vMerge w:val="restart"/>
            <w:shd w:val="clear" w:color="auto" w:fill="FFFFFF"/>
            <w:vAlign w:val="center"/>
          </w:tcPr>
          <w:p w14:paraId="6F93FC08">
            <w:pPr>
              <w:widowControl/>
              <w:spacing w:line="0" w:lineRule="atLeast"/>
              <w:jc w:val="center"/>
              <w:rPr>
                <w:color w:val="000000"/>
                <w:kern w:val="0"/>
                <w:sz w:val="22"/>
                <w:szCs w:val="22"/>
                <w:highlight w:val="none"/>
              </w:rPr>
            </w:pPr>
            <w:r>
              <w:rPr>
                <w:color w:val="000000"/>
                <w:kern w:val="0"/>
                <w:sz w:val="22"/>
                <w:szCs w:val="22"/>
                <w:highlight w:val="none"/>
              </w:rPr>
              <w:t>决策　</w:t>
            </w:r>
          </w:p>
          <w:p w14:paraId="7A2B82BE">
            <w:pPr>
              <w:widowControl/>
              <w:spacing w:line="0" w:lineRule="atLeast"/>
              <w:jc w:val="center"/>
              <w:rPr>
                <w:color w:val="000000"/>
                <w:kern w:val="0"/>
                <w:sz w:val="22"/>
                <w:szCs w:val="22"/>
                <w:highlight w:val="none"/>
              </w:rPr>
            </w:pPr>
            <w:r>
              <w:rPr>
                <w:color w:val="000000"/>
                <w:kern w:val="0"/>
                <w:sz w:val="22"/>
                <w:szCs w:val="22"/>
                <w:highlight w:val="none"/>
              </w:rPr>
              <w:t>　</w:t>
            </w:r>
          </w:p>
          <w:p w14:paraId="19C19C87">
            <w:pPr>
              <w:spacing w:line="0" w:lineRule="atLeast"/>
              <w:jc w:val="center"/>
              <w:rPr>
                <w:color w:val="000000"/>
                <w:kern w:val="0"/>
                <w:sz w:val="22"/>
                <w:szCs w:val="22"/>
                <w:highlight w:val="none"/>
              </w:rPr>
            </w:pPr>
            <w:r>
              <w:rPr>
                <w:color w:val="000000"/>
                <w:kern w:val="0"/>
                <w:sz w:val="22"/>
                <w:szCs w:val="22"/>
                <w:highlight w:val="none"/>
              </w:rPr>
              <w:t>　</w:t>
            </w:r>
          </w:p>
        </w:tc>
        <w:tc>
          <w:tcPr>
            <w:tcW w:w="302" w:type="pct"/>
            <w:vMerge w:val="restart"/>
            <w:shd w:val="clear" w:color="auto" w:fill="FFFFFF"/>
            <w:vAlign w:val="center"/>
          </w:tcPr>
          <w:p w14:paraId="47735AA0">
            <w:pPr>
              <w:widowControl/>
              <w:spacing w:line="0" w:lineRule="atLeast"/>
              <w:jc w:val="center"/>
              <w:rPr>
                <w:color w:val="000000"/>
                <w:kern w:val="0"/>
                <w:sz w:val="22"/>
                <w:szCs w:val="22"/>
                <w:highlight w:val="none"/>
              </w:rPr>
            </w:pPr>
            <w:r>
              <w:rPr>
                <w:color w:val="000000"/>
                <w:kern w:val="0"/>
                <w:sz w:val="22"/>
                <w:szCs w:val="22"/>
                <w:highlight w:val="none"/>
              </w:rPr>
              <w:t>项目立项　</w:t>
            </w:r>
          </w:p>
        </w:tc>
        <w:tc>
          <w:tcPr>
            <w:tcW w:w="344" w:type="pct"/>
            <w:shd w:val="clear" w:color="auto" w:fill="FFFFFF"/>
            <w:vAlign w:val="center"/>
          </w:tcPr>
          <w:p w14:paraId="3BB98C94">
            <w:pPr>
              <w:widowControl/>
              <w:spacing w:line="0" w:lineRule="atLeast"/>
              <w:jc w:val="center"/>
              <w:rPr>
                <w:color w:val="000000"/>
                <w:kern w:val="0"/>
                <w:sz w:val="22"/>
                <w:szCs w:val="22"/>
                <w:highlight w:val="none"/>
              </w:rPr>
            </w:pPr>
            <w:r>
              <w:rPr>
                <w:color w:val="000000"/>
                <w:kern w:val="0"/>
                <w:sz w:val="22"/>
                <w:szCs w:val="22"/>
                <w:highlight w:val="none"/>
              </w:rPr>
              <w:t>立项依据</w:t>
            </w:r>
          </w:p>
          <w:p w14:paraId="142A5997">
            <w:pPr>
              <w:widowControl/>
              <w:spacing w:line="0" w:lineRule="atLeast"/>
              <w:jc w:val="center"/>
              <w:rPr>
                <w:color w:val="000000"/>
                <w:kern w:val="0"/>
                <w:sz w:val="22"/>
                <w:szCs w:val="22"/>
                <w:highlight w:val="none"/>
              </w:rPr>
            </w:pPr>
            <w:r>
              <w:rPr>
                <w:color w:val="000000"/>
                <w:kern w:val="0"/>
                <w:sz w:val="22"/>
                <w:szCs w:val="22"/>
                <w:highlight w:val="none"/>
              </w:rPr>
              <w:t>充分性</w:t>
            </w:r>
          </w:p>
        </w:tc>
        <w:tc>
          <w:tcPr>
            <w:tcW w:w="927" w:type="pct"/>
            <w:shd w:val="clear" w:color="auto" w:fill="FFFFFF"/>
            <w:vAlign w:val="center"/>
          </w:tcPr>
          <w:p w14:paraId="700363F2">
            <w:pPr>
              <w:widowControl/>
              <w:spacing w:line="0" w:lineRule="atLeast"/>
              <w:rPr>
                <w:color w:val="000000"/>
                <w:kern w:val="0"/>
                <w:sz w:val="22"/>
                <w:szCs w:val="22"/>
                <w:highlight w:val="none"/>
              </w:rPr>
            </w:pPr>
            <w:r>
              <w:rPr>
                <w:color w:val="000000"/>
                <w:kern w:val="0"/>
                <w:sz w:val="22"/>
                <w:szCs w:val="22"/>
                <w:highlight w:val="none"/>
              </w:rPr>
              <w:t>项目立项是否符合法律法规、相关政策、发展规划以及部门职责，用以反映和考核项目立项依据情况。</w:t>
            </w:r>
          </w:p>
        </w:tc>
        <w:tc>
          <w:tcPr>
            <w:tcW w:w="2044" w:type="pct"/>
            <w:shd w:val="clear" w:color="auto" w:fill="FFFFFF"/>
            <w:vAlign w:val="center"/>
          </w:tcPr>
          <w:p w14:paraId="0D9E386A">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①项目立项是否符合国家法律法规、国民经济发展规划和相关政策；</w:t>
            </w:r>
            <w:r>
              <w:rPr>
                <w:color w:val="000000"/>
                <w:kern w:val="0"/>
                <w:sz w:val="22"/>
                <w:szCs w:val="22"/>
                <w:highlight w:val="none"/>
              </w:rPr>
              <w:br w:type="textWrapping"/>
            </w:r>
            <w:r>
              <w:rPr>
                <w:color w:val="000000"/>
                <w:kern w:val="0"/>
                <w:sz w:val="22"/>
                <w:szCs w:val="22"/>
                <w:highlight w:val="none"/>
              </w:rPr>
              <w:t>②项目立项是否符合行业发展规划和政策要求；</w:t>
            </w:r>
            <w:r>
              <w:rPr>
                <w:color w:val="000000"/>
                <w:kern w:val="0"/>
                <w:sz w:val="22"/>
                <w:szCs w:val="22"/>
                <w:highlight w:val="none"/>
              </w:rPr>
              <w:br w:type="textWrapping"/>
            </w:r>
            <w:r>
              <w:rPr>
                <w:color w:val="000000"/>
                <w:kern w:val="0"/>
                <w:sz w:val="22"/>
                <w:szCs w:val="22"/>
                <w:highlight w:val="none"/>
              </w:rPr>
              <w:t>③项目立项是否与部门职责范围相符，属于部门履职所需；</w:t>
            </w:r>
            <w:r>
              <w:rPr>
                <w:color w:val="000000"/>
                <w:kern w:val="0"/>
                <w:sz w:val="22"/>
                <w:szCs w:val="22"/>
                <w:highlight w:val="none"/>
              </w:rPr>
              <w:br w:type="textWrapping"/>
            </w:r>
            <w:r>
              <w:rPr>
                <w:color w:val="000000"/>
                <w:kern w:val="0"/>
                <w:sz w:val="22"/>
                <w:szCs w:val="22"/>
                <w:highlight w:val="none"/>
              </w:rPr>
              <w:t>④项目是否属于公共财政支持范围，是否符合中央、地方事权支出责任划分原则；</w:t>
            </w:r>
            <w:r>
              <w:rPr>
                <w:color w:val="000000"/>
                <w:kern w:val="0"/>
                <w:sz w:val="22"/>
                <w:szCs w:val="22"/>
                <w:highlight w:val="none"/>
              </w:rPr>
              <w:br w:type="textWrapping"/>
            </w:r>
            <w:r>
              <w:rPr>
                <w:color w:val="000000"/>
                <w:kern w:val="0"/>
                <w:sz w:val="22"/>
                <w:szCs w:val="22"/>
                <w:highlight w:val="none"/>
              </w:rPr>
              <w:t>⑤项目是否与相关部门同类项目或部门内部相关项目重复。</w:t>
            </w:r>
          </w:p>
        </w:tc>
        <w:tc>
          <w:tcPr>
            <w:tcW w:w="512" w:type="pct"/>
            <w:shd w:val="clear" w:color="auto" w:fill="FFFFFF"/>
            <w:vAlign w:val="center"/>
          </w:tcPr>
          <w:p w14:paraId="24DD2C3F">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537" w:type="pct"/>
            <w:shd w:val="clear" w:color="auto" w:fill="FFFFFF"/>
            <w:vAlign w:val="center"/>
          </w:tcPr>
          <w:p w14:paraId="5DC7F614">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14:paraId="3D79CD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31" w:type="pct"/>
            <w:vMerge w:val="continue"/>
            <w:shd w:val="clear" w:color="auto" w:fill="FFFFFF"/>
            <w:vAlign w:val="center"/>
          </w:tcPr>
          <w:p w14:paraId="3CE3C43A">
            <w:pPr>
              <w:spacing w:line="0" w:lineRule="atLeast"/>
              <w:jc w:val="center"/>
              <w:rPr>
                <w:color w:val="000000"/>
                <w:kern w:val="0"/>
                <w:sz w:val="22"/>
                <w:szCs w:val="22"/>
                <w:highlight w:val="none"/>
              </w:rPr>
            </w:pPr>
          </w:p>
        </w:tc>
        <w:tc>
          <w:tcPr>
            <w:tcW w:w="302" w:type="pct"/>
            <w:vMerge w:val="continue"/>
            <w:shd w:val="clear" w:color="auto" w:fill="FFFFFF"/>
            <w:vAlign w:val="center"/>
          </w:tcPr>
          <w:p w14:paraId="3517D2B2">
            <w:pPr>
              <w:widowControl/>
              <w:spacing w:line="0" w:lineRule="atLeast"/>
              <w:jc w:val="center"/>
              <w:rPr>
                <w:color w:val="000000"/>
                <w:kern w:val="0"/>
                <w:sz w:val="22"/>
                <w:szCs w:val="22"/>
                <w:highlight w:val="none"/>
              </w:rPr>
            </w:pPr>
          </w:p>
        </w:tc>
        <w:tc>
          <w:tcPr>
            <w:tcW w:w="344" w:type="pct"/>
            <w:shd w:val="clear" w:color="auto" w:fill="FFFFFF"/>
            <w:vAlign w:val="center"/>
          </w:tcPr>
          <w:p w14:paraId="356E7666">
            <w:pPr>
              <w:widowControl/>
              <w:spacing w:line="0" w:lineRule="atLeast"/>
              <w:jc w:val="center"/>
              <w:rPr>
                <w:color w:val="000000"/>
                <w:kern w:val="0"/>
                <w:sz w:val="22"/>
                <w:szCs w:val="22"/>
                <w:highlight w:val="none"/>
              </w:rPr>
            </w:pPr>
            <w:r>
              <w:rPr>
                <w:color w:val="000000"/>
                <w:kern w:val="0"/>
                <w:sz w:val="22"/>
                <w:szCs w:val="22"/>
                <w:highlight w:val="none"/>
              </w:rPr>
              <w:t>立项程序</w:t>
            </w:r>
          </w:p>
          <w:p w14:paraId="59B0EE05">
            <w:pPr>
              <w:widowControl/>
              <w:spacing w:line="0" w:lineRule="atLeast"/>
              <w:jc w:val="center"/>
              <w:rPr>
                <w:color w:val="000000"/>
                <w:kern w:val="0"/>
                <w:sz w:val="22"/>
                <w:szCs w:val="22"/>
                <w:highlight w:val="none"/>
              </w:rPr>
            </w:pPr>
            <w:r>
              <w:rPr>
                <w:color w:val="000000"/>
                <w:kern w:val="0"/>
                <w:sz w:val="22"/>
                <w:szCs w:val="22"/>
                <w:highlight w:val="none"/>
              </w:rPr>
              <w:t>规范性</w:t>
            </w:r>
          </w:p>
        </w:tc>
        <w:tc>
          <w:tcPr>
            <w:tcW w:w="927" w:type="pct"/>
            <w:shd w:val="clear" w:color="auto" w:fill="FFFFFF"/>
            <w:vAlign w:val="center"/>
          </w:tcPr>
          <w:p w14:paraId="407C17F0">
            <w:pPr>
              <w:widowControl/>
              <w:spacing w:line="0" w:lineRule="atLeast"/>
              <w:rPr>
                <w:color w:val="000000"/>
                <w:kern w:val="0"/>
                <w:sz w:val="22"/>
                <w:szCs w:val="22"/>
                <w:highlight w:val="none"/>
              </w:rPr>
            </w:pPr>
            <w:r>
              <w:rPr>
                <w:color w:val="000000"/>
                <w:kern w:val="0"/>
                <w:sz w:val="22"/>
                <w:szCs w:val="22"/>
                <w:highlight w:val="none"/>
              </w:rPr>
              <w:t>项目申请、设立过程是否符合相关要求，用以反映和考核项目立项的规范情况。</w:t>
            </w:r>
          </w:p>
        </w:tc>
        <w:tc>
          <w:tcPr>
            <w:tcW w:w="2044" w:type="pct"/>
            <w:shd w:val="clear" w:color="auto" w:fill="FFFFFF"/>
            <w:vAlign w:val="center"/>
          </w:tcPr>
          <w:p w14:paraId="68517309">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①项目是否按照规定的程序申请设立；</w:t>
            </w:r>
            <w:r>
              <w:rPr>
                <w:color w:val="000000"/>
                <w:kern w:val="0"/>
                <w:sz w:val="22"/>
                <w:szCs w:val="22"/>
                <w:highlight w:val="none"/>
              </w:rPr>
              <w:br w:type="textWrapping"/>
            </w:r>
            <w:r>
              <w:rPr>
                <w:color w:val="000000"/>
                <w:kern w:val="0"/>
                <w:sz w:val="22"/>
                <w:szCs w:val="22"/>
                <w:highlight w:val="none"/>
              </w:rPr>
              <w:t>②审批文件、材料是否符合相关要求；</w:t>
            </w:r>
            <w:r>
              <w:rPr>
                <w:color w:val="000000"/>
                <w:kern w:val="0"/>
                <w:sz w:val="22"/>
                <w:szCs w:val="22"/>
                <w:highlight w:val="none"/>
              </w:rPr>
              <w:br w:type="textWrapping"/>
            </w:r>
            <w:r>
              <w:rPr>
                <w:color w:val="000000"/>
                <w:kern w:val="0"/>
                <w:sz w:val="22"/>
                <w:szCs w:val="22"/>
                <w:highlight w:val="none"/>
              </w:rPr>
              <w:t>③事前是否已经过必要的可行性研究、专家论证、风险评估、绩效评估、集体决策。</w:t>
            </w:r>
          </w:p>
        </w:tc>
        <w:tc>
          <w:tcPr>
            <w:tcW w:w="512" w:type="pct"/>
            <w:shd w:val="clear" w:color="auto" w:fill="FFFFFF"/>
            <w:vAlign w:val="center"/>
          </w:tcPr>
          <w:p w14:paraId="320162D0">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537" w:type="pct"/>
            <w:shd w:val="clear" w:color="auto" w:fill="FFFFFF"/>
            <w:vAlign w:val="center"/>
          </w:tcPr>
          <w:p w14:paraId="74FDFCD0">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14:paraId="7B297B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331" w:type="pct"/>
            <w:vMerge w:val="continue"/>
            <w:shd w:val="clear" w:color="auto" w:fill="FFFFFF"/>
            <w:vAlign w:val="center"/>
          </w:tcPr>
          <w:p w14:paraId="14ECA11C">
            <w:pPr>
              <w:spacing w:line="0" w:lineRule="atLeast"/>
              <w:jc w:val="center"/>
              <w:rPr>
                <w:color w:val="000000"/>
                <w:kern w:val="0"/>
                <w:sz w:val="22"/>
                <w:szCs w:val="22"/>
                <w:highlight w:val="none"/>
              </w:rPr>
            </w:pPr>
          </w:p>
        </w:tc>
        <w:tc>
          <w:tcPr>
            <w:tcW w:w="302" w:type="pct"/>
            <w:shd w:val="clear" w:color="auto" w:fill="FFFFFF"/>
            <w:vAlign w:val="center"/>
          </w:tcPr>
          <w:p w14:paraId="34612066">
            <w:pPr>
              <w:widowControl/>
              <w:spacing w:line="0" w:lineRule="atLeast"/>
              <w:jc w:val="center"/>
              <w:rPr>
                <w:color w:val="000000"/>
                <w:kern w:val="0"/>
                <w:sz w:val="22"/>
                <w:szCs w:val="22"/>
                <w:highlight w:val="none"/>
              </w:rPr>
            </w:pPr>
            <w:r>
              <w:rPr>
                <w:color w:val="000000"/>
                <w:kern w:val="0"/>
                <w:sz w:val="22"/>
                <w:szCs w:val="22"/>
                <w:highlight w:val="none"/>
              </w:rPr>
              <w:t>绩效目标　</w:t>
            </w:r>
          </w:p>
        </w:tc>
        <w:tc>
          <w:tcPr>
            <w:tcW w:w="344" w:type="pct"/>
            <w:shd w:val="clear" w:color="auto" w:fill="FFFFFF"/>
            <w:vAlign w:val="center"/>
          </w:tcPr>
          <w:p w14:paraId="21417543">
            <w:pPr>
              <w:widowControl/>
              <w:spacing w:line="0" w:lineRule="atLeast"/>
              <w:jc w:val="center"/>
              <w:rPr>
                <w:color w:val="000000"/>
                <w:kern w:val="0"/>
                <w:sz w:val="22"/>
                <w:szCs w:val="22"/>
                <w:highlight w:val="none"/>
              </w:rPr>
            </w:pPr>
            <w:r>
              <w:rPr>
                <w:color w:val="000000"/>
                <w:kern w:val="0"/>
                <w:sz w:val="22"/>
                <w:szCs w:val="22"/>
                <w:highlight w:val="none"/>
              </w:rPr>
              <w:t>绩效目标</w:t>
            </w:r>
          </w:p>
          <w:p w14:paraId="1CF6D532">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927" w:type="pct"/>
            <w:shd w:val="clear" w:color="000000" w:fill="FFFFFF"/>
            <w:vAlign w:val="center"/>
          </w:tcPr>
          <w:p w14:paraId="619E3E7C">
            <w:pPr>
              <w:widowControl/>
              <w:spacing w:line="0" w:lineRule="atLeast"/>
              <w:rPr>
                <w:color w:val="000000"/>
                <w:kern w:val="0"/>
                <w:sz w:val="22"/>
                <w:szCs w:val="22"/>
                <w:highlight w:val="none"/>
              </w:rPr>
            </w:pPr>
            <w:r>
              <w:rPr>
                <w:color w:val="000000"/>
                <w:kern w:val="0"/>
                <w:sz w:val="22"/>
                <w:szCs w:val="22"/>
                <w:highlight w:val="none"/>
              </w:rPr>
              <w:t>项目所设定的绩效目标是否依据充分，是否符合客观实际，用以反映和考核项目绩效目标与项目实施的相符情况。</w:t>
            </w:r>
          </w:p>
        </w:tc>
        <w:tc>
          <w:tcPr>
            <w:tcW w:w="2044" w:type="pct"/>
            <w:shd w:val="clear" w:color="000000" w:fill="FFFFFF"/>
            <w:vAlign w:val="center"/>
          </w:tcPr>
          <w:p w14:paraId="22B55496">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（如未设定预算绩效目标，也可考核其他工作任务目标）</w:t>
            </w:r>
            <w:r>
              <w:rPr>
                <w:color w:val="000000"/>
                <w:kern w:val="0"/>
                <w:sz w:val="22"/>
                <w:szCs w:val="22"/>
                <w:highlight w:val="none"/>
              </w:rPr>
              <w:br w:type="textWrapping"/>
            </w:r>
            <w:r>
              <w:rPr>
                <w:color w:val="000000"/>
                <w:kern w:val="0"/>
                <w:sz w:val="22"/>
                <w:szCs w:val="22"/>
                <w:highlight w:val="none"/>
              </w:rPr>
              <w:t>①项目是否有绩效目标；</w:t>
            </w:r>
            <w:r>
              <w:rPr>
                <w:color w:val="000000"/>
                <w:kern w:val="0"/>
                <w:sz w:val="22"/>
                <w:szCs w:val="22"/>
                <w:highlight w:val="none"/>
              </w:rPr>
              <w:br w:type="textWrapping"/>
            </w:r>
            <w:r>
              <w:rPr>
                <w:color w:val="000000"/>
                <w:kern w:val="0"/>
                <w:sz w:val="22"/>
                <w:szCs w:val="22"/>
                <w:highlight w:val="none"/>
              </w:rPr>
              <w:t>②项目绩效目标与实际工作内容是否具有相关性；</w:t>
            </w:r>
            <w:r>
              <w:rPr>
                <w:color w:val="000000"/>
                <w:kern w:val="0"/>
                <w:sz w:val="22"/>
                <w:szCs w:val="22"/>
                <w:highlight w:val="none"/>
              </w:rPr>
              <w:br w:type="textWrapping"/>
            </w:r>
            <w:r>
              <w:rPr>
                <w:color w:val="000000"/>
                <w:kern w:val="0"/>
                <w:sz w:val="22"/>
                <w:szCs w:val="22"/>
                <w:highlight w:val="none"/>
              </w:rPr>
              <w:t>③项目预期产出效益和效果是否符合正常的业绩水平；</w:t>
            </w:r>
          </w:p>
          <w:p w14:paraId="4B5D77C6">
            <w:pPr>
              <w:widowControl/>
              <w:spacing w:line="0" w:lineRule="atLeast"/>
              <w:jc w:val="left"/>
              <w:rPr>
                <w:color w:val="000000"/>
                <w:kern w:val="0"/>
                <w:sz w:val="22"/>
                <w:szCs w:val="22"/>
                <w:highlight w:val="none"/>
              </w:rPr>
            </w:pPr>
            <w:r>
              <w:rPr>
                <w:color w:val="000000"/>
                <w:kern w:val="0"/>
                <w:sz w:val="22"/>
                <w:szCs w:val="22"/>
                <w:highlight w:val="none"/>
              </w:rPr>
              <w:t>④是否与预算确定的项目投资额或资金量相匹配。</w:t>
            </w:r>
          </w:p>
        </w:tc>
        <w:tc>
          <w:tcPr>
            <w:tcW w:w="512" w:type="pct"/>
            <w:shd w:val="clear" w:color="000000" w:fill="FFFFFF"/>
            <w:vAlign w:val="center"/>
          </w:tcPr>
          <w:p w14:paraId="501E9695">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14:paraId="3898EE3A">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3F639C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1" w:type="pct"/>
            <w:vMerge w:val="restart"/>
            <w:shd w:val="clear" w:color="auto" w:fill="FFFFFF"/>
            <w:vAlign w:val="center"/>
          </w:tcPr>
          <w:p w14:paraId="73973B20">
            <w:pPr>
              <w:widowControl/>
              <w:spacing w:line="0" w:lineRule="atLeast"/>
              <w:jc w:val="center"/>
              <w:rPr>
                <w:color w:val="000000"/>
                <w:kern w:val="0"/>
                <w:sz w:val="22"/>
                <w:szCs w:val="22"/>
                <w:highlight w:val="none"/>
              </w:rPr>
            </w:pPr>
            <w:r>
              <w:rPr>
                <w:color w:val="000000"/>
                <w:kern w:val="0"/>
                <w:sz w:val="22"/>
                <w:szCs w:val="22"/>
                <w:highlight w:val="none"/>
              </w:rPr>
              <w:t>决策　</w:t>
            </w:r>
          </w:p>
        </w:tc>
        <w:tc>
          <w:tcPr>
            <w:tcW w:w="302" w:type="pct"/>
            <w:shd w:val="clear" w:color="auto" w:fill="FFFFFF"/>
            <w:vAlign w:val="center"/>
          </w:tcPr>
          <w:p w14:paraId="34AA24D5">
            <w:pPr>
              <w:widowControl/>
              <w:spacing w:line="0" w:lineRule="atLeast"/>
              <w:jc w:val="center"/>
              <w:rPr>
                <w:color w:val="000000"/>
                <w:kern w:val="0"/>
                <w:sz w:val="22"/>
                <w:szCs w:val="22"/>
                <w:highlight w:val="none"/>
              </w:rPr>
            </w:pPr>
            <w:r>
              <w:rPr>
                <w:color w:val="000000"/>
                <w:kern w:val="0"/>
                <w:sz w:val="22"/>
                <w:szCs w:val="22"/>
                <w:highlight w:val="none"/>
              </w:rPr>
              <w:t>绩效目标</w:t>
            </w:r>
          </w:p>
        </w:tc>
        <w:tc>
          <w:tcPr>
            <w:tcW w:w="344" w:type="pct"/>
            <w:shd w:val="clear" w:color="auto" w:fill="FFFFFF"/>
            <w:vAlign w:val="center"/>
          </w:tcPr>
          <w:p w14:paraId="32180ADF">
            <w:pPr>
              <w:widowControl/>
              <w:spacing w:line="0" w:lineRule="atLeast"/>
              <w:jc w:val="center"/>
              <w:rPr>
                <w:color w:val="000000"/>
                <w:kern w:val="0"/>
                <w:sz w:val="22"/>
                <w:szCs w:val="22"/>
                <w:highlight w:val="none"/>
              </w:rPr>
            </w:pPr>
            <w:r>
              <w:rPr>
                <w:color w:val="000000"/>
                <w:kern w:val="0"/>
                <w:sz w:val="22"/>
                <w:szCs w:val="22"/>
                <w:highlight w:val="none"/>
              </w:rPr>
              <w:t>绩效指标</w:t>
            </w:r>
          </w:p>
          <w:p w14:paraId="463C65E0">
            <w:pPr>
              <w:widowControl/>
              <w:spacing w:line="0" w:lineRule="atLeast"/>
              <w:jc w:val="center"/>
              <w:rPr>
                <w:color w:val="000000"/>
                <w:kern w:val="0"/>
                <w:sz w:val="22"/>
                <w:szCs w:val="22"/>
                <w:highlight w:val="none"/>
              </w:rPr>
            </w:pPr>
            <w:r>
              <w:rPr>
                <w:color w:val="000000"/>
                <w:kern w:val="0"/>
                <w:sz w:val="22"/>
                <w:szCs w:val="22"/>
                <w:highlight w:val="none"/>
              </w:rPr>
              <w:t>明确性</w:t>
            </w:r>
          </w:p>
        </w:tc>
        <w:tc>
          <w:tcPr>
            <w:tcW w:w="927" w:type="pct"/>
            <w:shd w:val="clear" w:color="000000" w:fill="FFFFFF"/>
            <w:vAlign w:val="center"/>
          </w:tcPr>
          <w:p w14:paraId="28F625F4">
            <w:pPr>
              <w:widowControl/>
              <w:spacing w:line="0" w:lineRule="atLeast"/>
              <w:rPr>
                <w:color w:val="000000"/>
                <w:kern w:val="0"/>
                <w:sz w:val="22"/>
                <w:szCs w:val="22"/>
                <w:highlight w:val="none"/>
              </w:rPr>
            </w:pPr>
            <w:r>
              <w:rPr>
                <w:color w:val="000000"/>
                <w:kern w:val="0"/>
                <w:sz w:val="22"/>
                <w:szCs w:val="22"/>
                <w:highlight w:val="none"/>
              </w:rPr>
              <w:t>依据绩效目标设定的绩效指标是否清晰、细化、可衡量等，用以反映和考核项目绩效目标的明细化情况。</w:t>
            </w:r>
          </w:p>
        </w:tc>
        <w:tc>
          <w:tcPr>
            <w:tcW w:w="2044" w:type="pct"/>
            <w:shd w:val="clear" w:color="000000" w:fill="FFFFFF"/>
            <w:vAlign w:val="center"/>
          </w:tcPr>
          <w:p w14:paraId="2134973A">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①是否将项目绩效目标细化分解为具体的绩效指标；</w:t>
            </w:r>
            <w:r>
              <w:rPr>
                <w:color w:val="000000"/>
                <w:kern w:val="0"/>
                <w:sz w:val="22"/>
                <w:szCs w:val="22"/>
                <w:highlight w:val="none"/>
              </w:rPr>
              <w:br w:type="textWrapping"/>
            </w:r>
            <w:r>
              <w:rPr>
                <w:color w:val="000000"/>
                <w:kern w:val="0"/>
                <w:sz w:val="22"/>
                <w:szCs w:val="22"/>
                <w:highlight w:val="none"/>
              </w:rPr>
              <w:t>②是否通过清晰、可衡量的指标值予以体现；</w:t>
            </w:r>
            <w:r>
              <w:rPr>
                <w:color w:val="000000"/>
                <w:kern w:val="0"/>
                <w:sz w:val="22"/>
                <w:szCs w:val="22"/>
                <w:highlight w:val="none"/>
              </w:rPr>
              <w:br w:type="textWrapping"/>
            </w:r>
            <w:r>
              <w:rPr>
                <w:color w:val="000000"/>
                <w:kern w:val="0"/>
                <w:sz w:val="22"/>
                <w:szCs w:val="22"/>
                <w:highlight w:val="none"/>
              </w:rPr>
              <w:t>③是否与项目目标任务数或计划数相对应。</w:t>
            </w:r>
            <w:r>
              <w:rPr>
                <w:color w:val="000000"/>
                <w:kern w:val="0"/>
                <w:sz w:val="22"/>
                <w:szCs w:val="22"/>
                <w:highlight w:val="none"/>
              </w:rPr>
              <w:br w:type="textWrapping"/>
            </w:r>
          </w:p>
        </w:tc>
        <w:tc>
          <w:tcPr>
            <w:tcW w:w="512" w:type="pct"/>
            <w:shd w:val="clear" w:color="000000" w:fill="FFFFFF"/>
            <w:vAlign w:val="center"/>
          </w:tcPr>
          <w:p w14:paraId="6430F9F2">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537" w:type="pct"/>
            <w:shd w:val="clear" w:color="000000" w:fill="FFFFFF"/>
            <w:vAlign w:val="center"/>
          </w:tcPr>
          <w:p w14:paraId="06D9DA12">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14:paraId="5A2E1D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31" w:type="pct"/>
            <w:vMerge w:val="continue"/>
            <w:shd w:val="clear" w:color="auto" w:fill="FFFFFF"/>
            <w:vAlign w:val="center"/>
          </w:tcPr>
          <w:p w14:paraId="53704E61">
            <w:pPr>
              <w:spacing w:line="0" w:lineRule="atLeast"/>
              <w:jc w:val="center"/>
              <w:rPr>
                <w:color w:val="000000"/>
                <w:kern w:val="0"/>
                <w:sz w:val="22"/>
                <w:szCs w:val="22"/>
                <w:highlight w:val="none"/>
              </w:rPr>
            </w:pPr>
          </w:p>
        </w:tc>
        <w:tc>
          <w:tcPr>
            <w:tcW w:w="302" w:type="pct"/>
            <w:vMerge w:val="restart"/>
            <w:shd w:val="clear" w:color="auto" w:fill="FFFFFF"/>
            <w:vAlign w:val="center"/>
          </w:tcPr>
          <w:p w14:paraId="5BA1DBF1">
            <w:pPr>
              <w:widowControl/>
              <w:spacing w:line="0" w:lineRule="atLeast"/>
              <w:jc w:val="center"/>
              <w:rPr>
                <w:color w:val="000000"/>
                <w:kern w:val="0"/>
                <w:sz w:val="22"/>
                <w:szCs w:val="22"/>
                <w:highlight w:val="none"/>
              </w:rPr>
            </w:pPr>
            <w:r>
              <w:rPr>
                <w:color w:val="000000"/>
                <w:kern w:val="0"/>
                <w:sz w:val="22"/>
                <w:szCs w:val="22"/>
                <w:highlight w:val="none"/>
              </w:rPr>
              <w:t>资金投入</w:t>
            </w:r>
          </w:p>
          <w:p w14:paraId="4457DB57">
            <w:pPr>
              <w:spacing w:line="0" w:lineRule="atLeast"/>
              <w:jc w:val="center"/>
              <w:rPr>
                <w:color w:val="000000"/>
                <w:kern w:val="0"/>
                <w:sz w:val="22"/>
                <w:szCs w:val="22"/>
                <w:highlight w:val="none"/>
              </w:rPr>
            </w:pPr>
            <w:r>
              <w:rPr>
                <w:color w:val="000000"/>
                <w:kern w:val="0"/>
                <w:sz w:val="22"/>
                <w:szCs w:val="22"/>
                <w:highlight w:val="none"/>
              </w:rPr>
              <w:t>　</w:t>
            </w:r>
          </w:p>
        </w:tc>
        <w:tc>
          <w:tcPr>
            <w:tcW w:w="344" w:type="pct"/>
            <w:shd w:val="clear" w:color="auto" w:fill="FFFFFF"/>
            <w:vAlign w:val="center"/>
          </w:tcPr>
          <w:p w14:paraId="3D53065B">
            <w:pPr>
              <w:widowControl/>
              <w:spacing w:line="0" w:lineRule="atLeast"/>
              <w:jc w:val="center"/>
              <w:rPr>
                <w:color w:val="000000"/>
                <w:kern w:val="0"/>
                <w:sz w:val="22"/>
                <w:szCs w:val="22"/>
                <w:highlight w:val="none"/>
              </w:rPr>
            </w:pPr>
            <w:r>
              <w:rPr>
                <w:color w:val="000000"/>
                <w:kern w:val="0"/>
                <w:sz w:val="22"/>
                <w:szCs w:val="22"/>
                <w:highlight w:val="none"/>
              </w:rPr>
              <w:t>预算编制</w:t>
            </w:r>
          </w:p>
          <w:p w14:paraId="7E9A52E4">
            <w:pPr>
              <w:widowControl/>
              <w:spacing w:line="0" w:lineRule="atLeast"/>
              <w:jc w:val="center"/>
              <w:rPr>
                <w:color w:val="000000"/>
                <w:kern w:val="0"/>
                <w:sz w:val="22"/>
                <w:szCs w:val="22"/>
                <w:highlight w:val="none"/>
              </w:rPr>
            </w:pPr>
            <w:r>
              <w:rPr>
                <w:color w:val="000000"/>
                <w:kern w:val="0"/>
                <w:sz w:val="22"/>
                <w:szCs w:val="22"/>
                <w:highlight w:val="none"/>
              </w:rPr>
              <w:t>科学性</w:t>
            </w:r>
          </w:p>
        </w:tc>
        <w:tc>
          <w:tcPr>
            <w:tcW w:w="927" w:type="pct"/>
            <w:shd w:val="clear" w:color="auto" w:fill="FFFFFF"/>
            <w:vAlign w:val="center"/>
          </w:tcPr>
          <w:p w14:paraId="7EF92F05">
            <w:pPr>
              <w:widowControl/>
              <w:spacing w:line="0" w:lineRule="atLeast"/>
              <w:rPr>
                <w:color w:val="000000"/>
                <w:kern w:val="0"/>
                <w:sz w:val="22"/>
                <w:szCs w:val="22"/>
                <w:highlight w:val="none"/>
              </w:rPr>
            </w:pPr>
            <w:r>
              <w:rPr>
                <w:color w:val="000000"/>
                <w:kern w:val="0"/>
                <w:sz w:val="22"/>
                <w:szCs w:val="22"/>
                <w:highlight w:val="none"/>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14:paraId="2930D04D">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①预算编制是否经过科学论证；</w:t>
            </w:r>
            <w:r>
              <w:rPr>
                <w:color w:val="000000"/>
                <w:kern w:val="0"/>
                <w:sz w:val="22"/>
                <w:szCs w:val="22"/>
                <w:highlight w:val="none"/>
              </w:rPr>
              <w:br w:type="textWrapping"/>
            </w:r>
            <w:r>
              <w:rPr>
                <w:color w:val="000000"/>
                <w:kern w:val="0"/>
                <w:sz w:val="22"/>
                <w:szCs w:val="22"/>
                <w:highlight w:val="none"/>
              </w:rPr>
              <w:t>②预算内容与项目内容是否匹配；</w:t>
            </w:r>
            <w:r>
              <w:rPr>
                <w:color w:val="000000"/>
                <w:kern w:val="0"/>
                <w:sz w:val="22"/>
                <w:szCs w:val="22"/>
                <w:highlight w:val="none"/>
              </w:rPr>
              <w:br w:type="textWrapping"/>
            </w:r>
            <w:r>
              <w:rPr>
                <w:color w:val="000000"/>
                <w:kern w:val="0"/>
                <w:sz w:val="22"/>
                <w:szCs w:val="22"/>
                <w:highlight w:val="none"/>
              </w:rPr>
              <w:t>③预算额度测算依据是否充分，是否按照标准编制；</w:t>
            </w:r>
            <w:r>
              <w:rPr>
                <w:color w:val="000000"/>
                <w:kern w:val="0"/>
                <w:sz w:val="22"/>
                <w:szCs w:val="22"/>
                <w:highlight w:val="none"/>
              </w:rPr>
              <w:br w:type="textWrapping"/>
            </w:r>
            <w:r>
              <w:rPr>
                <w:color w:val="000000"/>
                <w:kern w:val="0"/>
                <w:sz w:val="22"/>
                <w:szCs w:val="22"/>
                <w:highlight w:val="none"/>
              </w:rPr>
              <w:t>④预算确定的项目投资额或资金量是否与工作任务相匹配。</w:t>
            </w:r>
          </w:p>
        </w:tc>
        <w:tc>
          <w:tcPr>
            <w:tcW w:w="512" w:type="pct"/>
            <w:shd w:val="clear" w:color="auto" w:fill="FFFFFF"/>
            <w:vAlign w:val="center"/>
          </w:tcPr>
          <w:p w14:paraId="48622D57">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auto" w:fill="FFFFFF"/>
            <w:vAlign w:val="center"/>
          </w:tcPr>
          <w:p w14:paraId="31439E96">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3D00A7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31" w:type="pct"/>
            <w:vMerge w:val="continue"/>
            <w:shd w:val="clear" w:color="auto" w:fill="FFFFFF"/>
            <w:vAlign w:val="center"/>
          </w:tcPr>
          <w:p w14:paraId="104A1DE4">
            <w:pPr>
              <w:widowControl/>
              <w:spacing w:line="0" w:lineRule="atLeast"/>
              <w:jc w:val="center"/>
              <w:rPr>
                <w:color w:val="000000"/>
                <w:kern w:val="0"/>
                <w:sz w:val="22"/>
                <w:szCs w:val="22"/>
                <w:highlight w:val="none"/>
              </w:rPr>
            </w:pPr>
          </w:p>
        </w:tc>
        <w:tc>
          <w:tcPr>
            <w:tcW w:w="302" w:type="pct"/>
            <w:vMerge w:val="continue"/>
            <w:shd w:val="clear" w:color="auto" w:fill="FFFFFF"/>
            <w:vAlign w:val="center"/>
          </w:tcPr>
          <w:p w14:paraId="7C04D55B">
            <w:pPr>
              <w:widowControl/>
              <w:spacing w:line="0" w:lineRule="atLeast"/>
              <w:jc w:val="center"/>
              <w:rPr>
                <w:color w:val="000000"/>
                <w:kern w:val="0"/>
                <w:sz w:val="22"/>
                <w:szCs w:val="22"/>
                <w:highlight w:val="none"/>
              </w:rPr>
            </w:pPr>
          </w:p>
        </w:tc>
        <w:tc>
          <w:tcPr>
            <w:tcW w:w="344" w:type="pct"/>
            <w:shd w:val="clear" w:color="auto" w:fill="FFFFFF"/>
            <w:vAlign w:val="center"/>
          </w:tcPr>
          <w:p w14:paraId="3CC16DDF">
            <w:pPr>
              <w:widowControl/>
              <w:spacing w:line="0" w:lineRule="atLeast"/>
              <w:jc w:val="center"/>
              <w:rPr>
                <w:color w:val="000000"/>
                <w:kern w:val="0"/>
                <w:sz w:val="22"/>
                <w:szCs w:val="22"/>
                <w:highlight w:val="none"/>
              </w:rPr>
            </w:pPr>
            <w:r>
              <w:rPr>
                <w:color w:val="000000"/>
                <w:kern w:val="0"/>
                <w:sz w:val="22"/>
                <w:szCs w:val="22"/>
                <w:highlight w:val="none"/>
              </w:rPr>
              <w:t>资金分配</w:t>
            </w:r>
          </w:p>
          <w:p w14:paraId="3CD27EBC">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927" w:type="pct"/>
            <w:shd w:val="clear" w:color="auto" w:fill="FFFFFF"/>
            <w:vAlign w:val="center"/>
          </w:tcPr>
          <w:p w14:paraId="5E1502B4">
            <w:pPr>
              <w:widowControl/>
              <w:spacing w:line="0" w:lineRule="atLeast"/>
              <w:rPr>
                <w:color w:val="000000"/>
                <w:kern w:val="0"/>
                <w:sz w:val="22"/>
                <w:szCs w:val="22"/>
                <w:highlight w:val="none"/>
              </w:rPr>
            </w:pPr>
            <w:r>
              <w:rPr>
                <w:color w:val="000000"/>
                <w:kern w:val="0"/>
                <w:sz w:val="22"/>
                <w:szCs w:val="22"/>
                <w:highlight w:val="none"/>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14:paraId="1989E029">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①预算资金分配依据是否充分；</w:t>
            </w:r>
            <w:r>
              <w:rPr>
                <w:color w:val="000000"/>
                <w:kern w:val="0"/>
                <w:sz w:val="22"/>
                <w:szCs w:val="22"/>
                <w:highlight w:val="none"/>
              </w:rPr>
              <w:br w:type="textWrapping"/>
            </w:r>
            <w:r>
              <w:rPr>
                <w:color w:val="000000"/>
                <w:kern w:val="0"/>
                <w:sz w:val="22"/>
                <w:szCs w:val="22"/>
                <w:highlight w:val="none"/>
              </w:rPr>
              <w:t>②资金分配额度是否合理，与项目单位或地方实际是否相适应。</w:t>
            </w:r>
          </w:p>
        </w:tc>
        <w:tc>
          <w:tcPr>
            <w:tcW w:w="512" w:type="pct"/>
            <w:shd w:val="clear" w:color="auto" w:fill="FFFFFF"/>
            <w:vAlign w:val="center"/>
          </w:tcPr>
          <w:p w14:paraId="1177C045">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537" w:type="pct"/>
            <w:shd w:val="clear" w:color="auto" w:fill="FFFFFF"/>
            <w:vAlign w:val="center"/>
          </w:tcPr>
          <w:p w14:paraId="29A04DEE">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14:paraId="2856A2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31" w:type="pct"/>
            <w:vMerge w:val="restart"/>
            <w:shd w:val="clear" w:color="auto" w:fill="FFFFFF"/>
            <w:vAlign w:val="center"/>
          </w:tcPr>
          <w:p w14:paraId="343A9BB1">
            <w:pPr>
              <w:spacing w:line="0" w:lineRule="atLeast"/>
              <w:jc w:val="center"/>
              <w:rPr>
                <w:color w:val="000000"/>
                <w:kern w:val="0"/>
                <w:sz w:val="22"/>
                <w:szCs w:val="22"/>
                <w:highlight w:val="none"/>
              </w:rPr>
            </w:pPr>
            <w:r>
              <w:rPr>
                <w:color w:val="000000"/>
                <w:kern w:val="0"/>
                <w:sz w:val="22"/>
                <w:szCs w:val="22"/>
                <w:highlight w:val="none"/>
              </w:rPr>
              <w:t>过程</w:t>
            </w:r>
          </w:p>
        </w:tc>
        <w:tc>
          <w:tcPr>
            <w:tcW w:w="302" w:type="pct"/>
            <w:vMerge w:val="restart"/>
            <w:shd w:val="clear" w:color="auto" w:fill="FFFFFF"/>
            <w:vAlign w:val="center"/>
          </w:tcPr>
          <w:p w14:paraId="393E36F2">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344" w:type="pct"/>
            <w:shd w:val="clear" w:color="auto" w:fill="FFFFFF"/>
            <w:vAlign w:val="center"/>
          </w:tcPr>
          <w:p w14:paraId="32E7B646">
            <w:pPr>
              <w:widowControl/>
              <w:spacing w:line="0" w:lineRule="atLeast"/>
              <w:jc w:val="center"/>
              <w:rPr>
                <w:color w:val="000000"/>
                <w:kern w:val="0"/>
                <w:sz w:val="22"/>
                <w:szCs w:val="22"/>
                <w:highlight w:val="none"/>
              </w:rPr>
            </w:pPr>
            <w:r>
              <w:rPr>
                <w:color w:val="000000"/>
                <w:kern w:val="0"/>
                <w:sz w:val="22"/>
                <w:szCs w:val="22"/>
                <w:highlight w:val="none"/>
              </w:rPr>
              <w:t>资金到位率</w:t>
            </w:r>
          </w:p>
        </w:tc>
        <w:tc>
          <w:tcPr>
            <w:tcW w:w="927" w:type="pct"/>
            <w:shd w:val="clear" w:color="000000" w:fill="FFFFFF"/>
            <w:vAlign w:val="center"/>
          </w:tcPr>
          <w:p w14:paraId="52A6C90B">
            <w:pPr>
              <w:widowControl/>
              <w:spacing w:line="0" w:lineRule="atLeast"/>
              <w:rPr>
                <w:color w:val="000000"/>
                <w:kern w:val="0"/>
                <w:sz w:val="22"/>
                <w:szCs w:val="22"/>
                <w:highlight w:val="none"/>
              </w:rPr>
            </w:pPr>
            <w:r>
              <w:rPr>
                <w:color w:val="000000"/>
                <w:kern w:val="0"/>
                <w:sz w:val="22"/>
                <w:szCs w:val="22"/>
                <w:highlight w:val="none"/>
              </w:rPr>
              <w:t>实际到位资金与预算资金的比率，用以反映和考核资金落实情况对项目实施的总体保障程度。</w:t>
            </w:r>
          </w:p>
        </w:tc>
        <w:tc>
          <w:tcPr>
            <w:tcW w:w="2044" w:type="pct"/>
            <w:shd w:val="clear" w:color="000000" w:fill="FFFFFF"/>
            <w:vAlign w:val="center"/>
          </w:tcPr>
          <w:p w14:paraId="2D8080A1">
            <w:pPr>
              <w:widowControl/>
              <w:spacing w:line="0" w:lineRule="atLeast"/>
              <w:rPr>
                <w:color w:val="000000"/>
                <w:kern w:val="0"/>
                <w:sz w:val="22"/>
                <w:szCs w:val="22"/>
                <w:highlight w:val="none"/>
              </w:rPr>
            </w:pPr>
            <w:r>
              <w:rPr>
                <w:color w:val="000000"/>
                <w:kern w:val="0"/>
                <w:sz w:val="22"/>
                <w:szCs w:val="22"/>
                <w:highlight w:val="none"/>
              </w:rPr>
              <w:t>资金到位率=（实际到位资金/预算资金）×100%。</w:t>
            </w:r>
          </w:p>
          <w:p w14:paraId="72FEEB42">
            <w:pPr>
              <w:widowControl/>
              <w:spacing w:line="0" w:lineRule="atLeast"/>
              <w:rPr>
                <w:color w:val="000000"/>
                <w:kern w:val="0"/>
                <w:sz w:val="22"/>
                <w:szCs w:val="22"/>
                <w:highlight w:val="none"/>
              </w:rPr>
            </w:pPr>
            <w:r>
              <w:rPr>
                <w:color w:val="000000"/>
                <w:kern w:val="0"/>
                <w:sz w:val="22"/>
                <w:szCs w:val="22"/>
                <w:highlight w:val="none"/>
              </w:rPr>
              <w:t>实际到位资金：一定时期（本年度或项目期）内落实到具体项目的资金。</w:t>
            </w:r>
          </w:p>
          <w:p w14:paraId="08E98D58">
            <w:pPr>
              <w:widowControl/>
              <w:spacing w:line="0" w:lineRule="atLeast"/>
              <w:rPr>
                <w:color w:val="000000"/>
                <w:kern w:val="0"/>
                <w:sz w:val="22"/>
                <w:szCs w:val="22"/>
                <w:highlight w:val="none"/>
              </w:rPr>
            </w:pPr>
            <w:r>
              <w:rPr>
                <w:color w:val="000000"/>
                <w:kern w:val="0"/>
                <w:sz w:val="22"/>
                <w:szCs w:val="22"/>
                <w:highlight w:val="none"/>
              </w:rPr>
              <w:t>预算资金：一定时期（本年度或项目期）内预算安排到具体项目的资金。</w:t>
            </w:r>
          </w:p>
        </w:tc>
        <w:tc>
          <w:tcPr>
            <w:tcW w:w="512" w:type="pct"/>
            <w:shd w:val="clear" w:color="000000" w:fill="FFFFFF"/>
            <w:vAlign w:val="center"/>
          </w:tcPr>
          <w:p w14:paraId="2BEDCCF5">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14:paraId="1EA12918">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6FB8DC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1" w:type="pct"/>
            <w:vMerge w:val="continue"/>
            <w:shd w:val="clear" w:color="auto" w:fill="FFFFFF"/>
            <w:vAlign w:val="center"/>
          </w:tcPr>
          <w:p w14:paraId="0E97CE4B">
            <w:pPr>
              <w:spacing w:line="0" w:lineRule="atLeast"/>
              <w:jc w:val="center"/>
              <w:rPr>
                <w:color w:val="000000"/>
                <w:kern w:val="0"/>
                <w:sz w:val="22"/>
                <w:szCs w:val="22"/>
                <w:highlight w:val="none"/>
              </w:rPr>
            </w:pPr>
          </w:p>
        </w:tc>
        <w:tc>
          <w:tcPr>
            <w:tcW w:w="302" w:type="pct"/>
            <w:vMerge w:val="continue"/>
            <w:shd w:val="clear" w:color="auto" w:fill="FFFFFF"/>
            <w:vAlign w:val="center"/>
          </w:tcPr>
          <w:p w14:paraId="4CFC9D41">
            <w:pPr>
              <w:spacing w:line="0" w:lineRule="atLeast"/>
              <w:jc w:val="center"/>
              <w:rPr>
                <w:color w:val="000000"/>
                <w:kern w:val="0"/>
                <w:sz w:val="22"/>
                <w:szCs w:val="22"/>
                <w:highlight w:val="none"/>
              </w:rPr>
            </w:pPr>
          </w:p>
        </w:tc>
        <w:tc>
          <w:tcPr>
            <w:tcW w:w="344" w:type="pct"/>
            <w:shd w:val="clear" w:color="auto" w:fill="FFFFFF"/>
            <w:vAlign w:val="center"/>
          </w:tcPr>
          <w:p w14:paraId="0DD7D784">
            <w:pPr>
              <w:widowControl/>
              <w:spacing w:line="0" w:lineRule="atLeast"/>
              <w:jc w:val="center"/>
              <w:rPr>
                <w:color w:val="000000"/>
                <w:kern w:val="0"/>
                <w:sz w:val="22"/>
                <w:szCs w:val="22"/>
                <w:highlight w:val="none"/>
              </w:rPr>
            </w:pPr>
            <w:r>
              <w:rPr>
                <w:color w:val="000000"/>
                <w:kern w:val="0"/>
                <w:sz w:val="22"/>
                <w:szCs w:val="22"/>
                <w:highlight w:val="none"/>
              </w:rPr>
              <w:t>预算执行率</w:t>
            </w:r>
          </w:p>
        </w:tc>
        <w:tc>
          <w:tcPr>
            <w:tcW w:w="927" w:type="pct"/>
            <w:shd w:val="clear" w:color="auto" w:fill="FFFFFF"/>
            <w:vAlign w:val="center"/>
          </w:tcPr>
          <w:p w14:paraId="690FE8C9">
            <w:pPr>
              <w:widowControl/>
              <w:spacing w:line="0" w:lineRule="atLeast"/>
              <w:rPr>
                <w:color w:val="000000"/>
                <w:kern w:val="0"/>
                <w:sz w:val="22"/>
                <w:szCs w:val="22"/>
                <w:highlight w:val="none"/>
              </w:rPr>
            </w:pPr>
            <w:r>
              <w:rPr>
                <w:color w:val="000000"/>
                <w:kern w:val="0"/>
                <w:sz w:val="22"/>
                <w:szCs w:val="22"/>
                <w:highlight w:val="none"/>
              </w:rPr>
              <w:t>项目预算资金是否按照计划执行，用以反映或考核项目预算执行情况。</w:t>
            </w:r>
          </w:p>
        </w:tc>
        <w:tc>
          <w:tcPr>
            <w:tcW w:w="2044" w:type="pct"/>
            <w:shd w:val="clear" w:color="auto" w:fill="FFFFFF"/>
            <w:vAlign w:val="center"/>
          </w:tcPr>
          <w:p w14:paraId="311F5859">
            <w:pPr>
              <w:widowControl/>
              <w:spacing w:line="0" w:lineRule="atLeast"/>
              <w:rPr>
                <w:color w:val="000000"/>
                <w:kern w:val="0"/>
                <w:sz w:val="22"/>
                <w:szCs w:val="22"/>
                <w:highlight w:val="none"/>
              </w:rPr>
            </w:pPr>
            <w:r>
              <w:rPr>
                <w:color w:val="000000"/>
                <w:kern w:val="0"/>
                <w:sz w:val="22"/>
                <w:szCs w:val="22"/>
                <w:highlight w:val="none"/>
              </w:rPr>
              <w:t>预算执行率=（实际支出资金/实际到位资金）×100%。</w:t>
            </w:r>
            <w:r>
              <w:rPr>
                <w:color w:val="000000"/>
                <w:kern w:val="0"/>
                <w:sz w:val="22"/>
                <w:szCs w:val="22"/>
                <w:highlight w:val="none"/>
              </w:rPr>
              <w:br w:type="textWrapping"/>
            </w:r>
            <w:r>
              <w:rPr>
                <w:color w:val="000000"/>
                <w:kern w:val="0"/>
                <w:sz w:val="22"/>
                <w:szCs w:val="22"/>
                <w:highlight w:val="none"/>
              </w:rPr>
              <w:t>实际支出资金：一定时期（本年度或项目期）内项目实际拨付的资金。</w:t>
            </w:r>
          </w:p>
        </w:tc>
        <w:tc>
          <w:tcPr>
            <w:tcW w:w="512" w:type="pct"/>
            <w:shd w:val="clear" w:color="auto" w:fill="FFFFFF"/>
            <w:vAlign w:val="center"/>
          </w:tcPr>
          <w:p w14:paraId="00EA2DCA">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auto" w:fill="FFFFFF"/>
            <w:vAlign w:val="center"/>
          </w:tcPr>
          <w:p w14:paraId="05729946">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78E1D7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restart"/>
            <w:shd w:val="clear" w:color="auto" w:fill="FFFFFF"/>
            <w:vAlign w:val="center"/>
          </w:tcPr>
          <w:p w14:paraId="463ED5A8">
            <w:pPr>
              <w:widowControl/>
              <w:spacing w:line="0" w:lineRule="atLeast"/>
              <w:jc w:val="center"/>
              <w:rPr>
                <w:color w:val="000000"/>
                <w:kern w:val="0"/>
                <w:sz w:val="22"/>
                <w:szCs w:val="22"/>
                <w:highlight w:val="none"/>
              </w:rPr>
            </w:pPr>
            <w:r>
              <w:rPr>
                <w:color w:val="000000"/>
                <w:kern w:val="0"/>
                <w:sz w:val="22"/>
                <w:szCs w:val="22"/>
                <w:highlight w:val="none"/>
              </w:rPr>
              <w:t>　</w:t>
            </w:r>
          </w:p>
          <w:p w14:paraId="5D757D07">
            <w:pPr>
              <w:spacing w:line="0" w:lineRule="atLeast"/>
              <w:jc w:val="center"/>
              <w:rPr>
                <w:color w:val="000000"/>
                <w:kern w:val="0"/>
                <w:sz w:val="22"/>
                <w:szCs w:val="22"/>
                <w:highlight w:val="none"/>
              </w:rPr>
            </w:pPr>
            <w:r>
              <w:rPr>
                <w:color w:val="000000"/>
                <w:kern w:val="0"/>
                <w:sz w:val="22"/>
                <w:szCs w:val="22"/>
                <w:highlight w:val="none"/>
              </w:rPr>
              <w:t>过程　</w:t>
            </w:r>
          </w:p>
        </w:tc>
        <w:tc>
          <w:tcPr>
            <w:tcW w:w="302" w:type="pct"/>
            <w:shd w:val="clear" w:color="auto" w:fill="FFFFFF"/>
            <w:vAlign w:val="center"/>
          </w:tcPr>
          <w:p w14:paraId="405F9ACC">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344" w:type="pct"/>
            <w:shd w:val="clear" w:color="auto" w:fill="FFFFFF"/>
            <w:vAlign w:val="center"/>
          </w:tcPr>
          <w:p w14:paraId="0C421039">
            <w:pPr>
              <w:widowControl/>
              <w:spacing w:line="0" w:lineRule="atLeast"/>
              <w:jc w:val="center"/>
              <w:rPr>
                <w:color w:val="000000"/>
                <w:kern w:val="0"/>
                <w:sz w:val="22"/>
                <w:szCs w:val="22"/>
                <w:highlight w:val="none"/>
              </w:rPr>
            </w:pPr>
            <w:r>
              <w:rPr>
                <w:color w:val="000000"/>
                <w:kern w:val="0"/>
                <w:sz w:val="22"/>
                <w:szCs w:val="22"/>
                <w:highlight w:val="none"/>
              </w:rPr>
              <w:t>资金使用</w:t>
            </w:r>
          </w:p>
          <w:p w14:paraId="58BDDE5B">
            <w:pPr>
              <w:widowControl/>
              <w:spacing w:line="0" w:lineRule="atLeast"/>
              <w:jc w:val="center"/>
              <w:rPr>
                <w:color w:val="000000"/>
                <w:kern w:val="0"/>
                <w:sz w:val="22"/>
                <w:szCs w:val="22"/>
                <w:highlight w:val="none"/>
              </w:rPr>
            </w:pPr>
            <w:r>
              <w:rPr>
                <w:color w:val="000000"/>
                <w:kern w:val="0"/>
                <w:sz w:val="22"/>
                <w:szCs w:val="22"/>
                <w:highlight w:val="none"/>
              </w:rPr>
              <w:t>合规性</w:t>
            </w:r>
          </w:p>
        </w:tc>
        <w:tc>
          <w:tcPr>
            <w:tcW w:w="927" w:type="pct"/>
            <w:shd w:val="clear" w:color="000000" w:fill="FFFFFF"/>
            <w:vAlign w:val="center"/>
          </w:tcPr>
          <w:p w14:paraId="7E8679C9">
            <w:pPr>
              <w:widowControl/>
              <w:spacing w:line="0" w:lineRule="atLeast"/>
              <w:rPr>
                <w:color w:val="000000"/>
                <w:kern w:val="0"/>
                <w:sz w:val="22"/>
                <w:szCs w:val="22"/>
                <w:highlight w:val="none"/>
              </w:rPr>
            </w:pPr>
            <w:r>
              <w:rPr>
                <w:color w:val="000000"/>
                <w:kern w:val="0"/>
                <w:sz w:val="22"/>
                <w:szCs w:val="22"/>
                <w:highlight w:val="none"/>
              </w:rPr>
              <w:t>项目资金使用是否符合相关的财务管理制度规定，用以反映和考核项目资金的规范运行情况。</w:t>
            </w:r>
          </w:p>
        </w:tc>
        <w:tc>
          <w:tcPr>
            <w:tcW w:w="2044" w:type="pct"/>
            <w:shd w:val="clear" w:color="000000" w:fill="FFFFFF"/>
            <w:vAlign w:val="center"/>
          </w:tcPr>
          <w:p w14:paraId="0086B21E">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①是否符合国家财经法规和财务管理制度以及有关专项资金管理办法的规定；</w:t>
            </w:r>
            <w:r>
              <w:rPr>
                <w:color w:val="000000"/>
                <w:kern w:val="0"/>
                <w:sz w:val="22"/>
                <w:szCs w:val="22"/>
                <w:highlight w:val="none"/>
              </w:rPr>
              <w:br w:type="textWrapping"/>
            </w:r>
            <w:r>
              <w:rPr>
                <w:color w:val="000000"/>
                <w:kern w:val="0"/>
                <w:sz w:val="22"/>
                <w:szCs w:val="22"/>
                <w:highlight w:val="none"/>
              </w:rPr>
              <w:t>②资金的拨付是否有完整的审批程序和手续；</w:t>
            </w:r>
            <w:r>
              <w:rPr>
                <w:color w:val="000000"/>
                <w:kern w:val="0"/>
                <w:sz w:val="22"/>
                <w:szCs w:val="22"/>
                <w:highlight w:val="none"/>
              </w:rPr>
              <w:br w:type="textWrapping"/>
            </w:r>
            <w:r>
              <w:rPr>
                <w:color w:val="000000"/>
                <w:kern w:val="0"/>
                <w:sz w:val="22"/>
                <w:szCs w:val="22"/>
                <w:highlight w:val="none"/>
              </w:rPr>
              <w:t>③是否符合项目预算批复或合同规定的用途；</w:t>
            </w:r>
            <w:r>
              <w:rPr>
                <w:color w:val="000000"/>
                <w:kern w:val="0"/>
                <w:sz w:val="22"/>
                <w:szCs w:val="22"/>
                <w:highlight w:val="none"/>
              </w:rPr>
              <w:br w:type="textWrapping"/>
            </w:r>
            <w:r>
              <w:rPr>
                <w:color w:val="000000"/>
                <w:kern w:val="0"/>
                <w:sz w:val="22"/>
                <w:szCs w:val="22"/>
                <w:highlight w:val="none"/>
              </w:rPr>
              <w:t>④是否存在截留、挤占、挪用、虚列支出等情况。</w:t>
            </w:r>
          </w:p>
        </w:tc>
        <w:tc>
          <w:tcPr>
            <w:tcW w:w="512" w:type="pct"/>
            <w:shd w:val="clear" w:color="000000" w:fill="FFFFFF"/>
            <w:vAlign w:val="center"/>
          </w:tcPr>
          <w:p w14:paraId="3ECD2675">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14:paraId="76D58444">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20143B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1" w:type="pct"/>
            <w:vMerge w:val="continue"/>
            <w:shd w:val="clear" w:color="auto" w:fill="FFFFFF"/>
            <w:vAlign w:val="center"/>
          </w:tcPr>
          <w:p w14:paraId="7A33915C">
            <w:pPr>
              <w:spacing w:line="0" w:lineRule="atLeast"/>
              <w:jc w:val="center"/>
              <w:rPr>
                <w:color w:val="000000"/>
                <w:kern w:val="0"/>
                <w:sz w:val="22"/>
                <w:szCs w:val="22"/>
                <w:highlight w:val="none"/>
              </w:rPr>
            </w:pPr>
          </w:p>
        </w:tc>
        <w:tc>
          <w:tcPr>
            <w:tcW w:w="302" w:type="pct"/>
            <w:vMerge w:val="restart"/>
            <w:shd w:val="clear" w:color="auto" w:fill="FFFFFF"/>
            <w:vAlign w:val="center"/>
          </w:tcPr>
          <w:p w14:paraId="78E9C61F">
            <w:pPr>
              <w:widowControl/>
              <w:spacing w:line="0" w:lineRule="atLeast"/>
              <w:jc w:val="center"/>
              <w:rPr>
                <w:color w:val="000000"/>
                <w:kern w:val="0"/>
                <w:sz w:val="22"/>
                <w:szCs w:val="22"/>
                <w:highlight w:val="none"/>
              </w:rPr>
            </w:pPr>
            <w:r>
              <w:rPr>
                <w:color w:val="000000"/>
                <w:kern w:val="0"/>
                <w:sz w:val="22"/>
                <w:szCs w:val="22"/>
                <w:highlight w:val="none"/>
              </w:rPr>
              <w:t>组织实施</w:t>
            </w:r>
          </w:p>
          <w:p w14:paraId="1A07949A">
            <w:pPr>
              <w:spacing w:line="0" w:lineRule="atLeast"/>
              <w:jc w:val="center"/>
              <w:rPr>
                <w:color w:val="000000"/>
                <w:kern w:val="0"/>
                <w:sz w:val="22"/>
                <w:szCs w:val="22"/>
                <w:highlight w:val="none"/>
              </w:rPr>
            </w:pPr>
            <w:r>
              <w:rPr>
                <w:color w:val="000000"/>
                <w:kern w:val="0"/>
                <w:sz w:val="22"/>
                <w:szCs w:val="22"/>
                <w:highlight w:val="none"/>
              </w:rPr>
              <w:t>　</w:t>
            </w:r>
          </w:p>
        </w:tc>
        <w:tc>
          <w:tcPr>
            <w:tcW w:w="344" w:type="pct"/>
            <w:shd w:val="clear" w:color="auto" w:fill="FFFFFF"/>
            <w:vAlign w:val="center"/>
          </w:tcPr>
          <w:p w14:paraId="7A288568">
            <w:pPr>
              <w:widowControl/>
              <w:spacing w:line="0" w:lineRule="atLeast"/>
              <w:jc w:val="center"/>
              <w:rPr>
                <w:color w:val="000000"/>
                <w:kern w:val="0"/>
                <w:sz w:val="22"/>
                <w:szCs w:val="22"/>
                <w:highlight w:val="none"/>
              </w:rPr>
            </w:pPr>
            <w:r>
              <w:rPr>
                <w:color w:val="000000"/>
                <w:kern w:val="0"/>
                <w:sz w:val="22"/>
                <w:szCs w:val="22"/>
                <w:highlight w:val="none"/>
              </w:rPr>
              <w:t>管理制度</w:t>
            </w:r>
          </w:p>
          <w:p w14:paraId="0CD84612">
            <w:pPr>
              <w:widowControl/>
              <w:spacing w:line="0" w:lineRule="atLeast"/>
              <w:jc w:val="center"/>
              <w:rPr>
                <w:color w:val="000000"/>
                <w:kern w:val="0"/>
                <w:sz w:val="22"/>
                <w:szCs w:val="22"/>
                <w:highlight w:val="none"/>
              </w:rPr>
            </w:pPr>
            <w:r>
              <w:rPr>
                <w:color w:val="000000"/>
                <w:kern w:val="0"/>
                <w:sz w:val="22"/>
                <w:szCs w:val="22"/>
                <w:highlight w:val="none"/>
              </w:rPr>
              <w:t>健全性</w:t>
            </w:r>
          </w:p>
        </w:tc>
        <w:tc>
          <w:tcPr>
            <w:tcW w:w="927" w:type="pct"/>
            <w:shd w:val="clear" w:color="000000" w:fill="FFFFFF"/>
            <w:vAlign w:val="center"/>
          </w:tcPr>
          <w:p w14:paraId="567DE708">
            <w:pPr>
              <w:widowControl/>
              <w:spacing w:line="0" w:lineRule="atLeast"/>
              <w:rPr>
                <w:color w:val="000000"/>
                <w:kern w:val="0"/>
                <w:sz w:val="22"/>
                <w:szCs w:val="22"/>
                <w:highlight w:val="none"/>
              </w:rPr>
            </w:pPr>
            <w:r>
              <w:rPr>
                <w:color w:val="000000"/>
                <w:kern w:val="0"/>
                <w:sz w:val="22"/>
                <w:szCs w:val="22"/>
                <w:highlight w:val="none"/>
              </w:rPr>
              <w:t>项目实施单位的财务和业务管理制度是否健全，用以反映和考核财务和业务管理制度对项目顺利实施的保障情况。</w:t>
            </w:r>
          </w:p>
        </w:tc>
        <w:tc>
          <w:tcPr>
            <w:tcW w:w="2044" w:type="pct"/>
            <w:shd w:val="clear" w:color="000000" w:fill="FFFFFF"/>
            <w:vAlign w:val="center"/>
          </w:tcPr>
          <w:p w14:paraId="186004D7">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①是否已制定或具有相应的财务和业务管理制度；</w:t>
            </w:r>
            <w:r>
              <w:rPr>
                <w:color w:val="000000"/>
                <w:kern w:val="0"/>
                <w:sz w:val="22"/>
                <w:szCs w:val="22"/>
                <w:highlight w:val="none"/>
              </w:rPr>
              <w:br w:type="textWrapping"/>
            </w:r>
            <w:r>
              <w:rPr>
                <w:color w:val="000000"/>
                <w:kern w:val="0"/>
                <w:sz w:val="22"/>
                <w:szCs w:val="22"/>
                <w:highlight w:val="none"/>
              </w:rPr>
              <w:t>②财务和业务管理制度是否合法、合规、完整。</w:t>
            </w:r>
          </w:p>
        </w:tc>
        <w:tc>
          <w:tcPr>
            <w:tcW w:w="512" w:type="pct"/>
            <w:shd w:val="clear" w:color="000000" w:fill="FFFFFF"/>
            <w:vAlign w:val="center"/>
          </w:tcPr>
          <w:p w14:paraId="64BFAA35">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14:paraId="3CC35AC3">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65C771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31" w:type="pct"/>
            <w:vMerge w:val="continue"/>
            <w:shd w:val="clear" w:color="auto" w:fill="FFFFFF"/>
            <w:vAlign w:val="center"/>
          </w:tcPr>
          <w:p w14:paraId="0405020A">
            <w:pPr>
              <w:widowControl/>
              <w:spacing w:line="0" w:lineRule="atLeast"/>
              <w:jc w:val="center"/>
              <w:rPr>
                <w:color w:val="000000"/>
                <w:kern w:val="0"/>
                <w:sz w:val="22"/>
                <w:szCs w:val="22"/>
                <w:highlight w:val="none"/>
              </w:rPr>
            </w:pPr>
          </w:p>
        </w:tc>
        <w:tc>
          <w:tcPr>
            <w:tcW w:w="302" w:type="pct"/>
            <w:vMerge w:val="continue"/>
            <w:shd w:val="clear" w:color="auto" w:fill="FFFFFF"/>
            <w:vAlign w:val="center"/>
          </w:tcPr>
          <w:p w14:paraId="02B43A34">
            <w:pPr>
              <w:widowControl/>
              <w:spacing w:line="0" w:lineRule="atLeast"/>
              <w:jc w:val="center"/>
              <w:rPr>
                <w:color w:val="000000"/>
                <w:kern w:val="0"/>
                <w:sz w:val="22"/>
                <w:szCs w:val="22"/>
                <w:highlight w:val="none"/>
              </w:rPr>
            </w:pPr>
          </w:p>
        </w:tc>
        <w:tc>
          <w:tcPr>
            <w:tcW w:w="344" w:type="pct"/>
            <w:shd w:val="clear" w:color="auto" w:fill="FFFFFF"/>
            <w:vAlign w:val="center"/>
          </w:tcPr>
          <w:p w14:paraId="284E8EE1">
            <w:pPr>
              <w:widowControl/>
              <w:spacing w:line="0" w:lineRule="atLeast"/>
              <w:jc w:val="center"/>
              <w:rPr>
                <w:color w:val="000000"/>
                <w:kern w:val="0"/>
                <w:sz w:val="22"/>
                <w:szCs w:val="22"/>
                <w:highlight w:val="none"/>
              </w:rPr>
            </w:pPr>
            <w:r>
              <w:rPr>
                <w:color w:val="000000"/>
                <w:kern w:val="0"/>
                <w:sz w:val="22"/>
                <w:szCs w:val="22"/>
                <w:highlight w:val="none"/>
              </w:rPr>
              <w:t>制度执行</w:t>
            </w:r>
          </w:p>
          <w:p w14:paraId="61C1691C">
            <w:pPr>
              <w:widowControl/>
              <w:spacing w:line="0" w:lineRule="atLeast"/>
              <w:jc w:val="center"/>
              <w:rPr>
                <w:color w:val="000000"/>
                <w:kern w:val="0"/>
                <w:sz w:val="22"/>
                <w:szCs w:val="22"/>
                <w:highlight w:val="none"/>
              </w:rPr>
            </w:pPr>
            <w:r>
              <w:rPr>
                <w:color w:val="000000"/>
                <w:kern w:val="0"/>
                <w:sz w:val="22"/>
                <w:szCs w:val="22"/>
                <w:highlight w:val="none"/>
              </w:rPr>
              <w:t>有效性</w:t>
            </w:r>
          </w:p>
        </w:tc>
        <w:tc>
          <w:tcPr>
            <w:tcW w:w="927" w:type="pct"/>
            <w:shd w:val="clear" w:color="000000" w:fill="FFFFFF"/>
            <w:vAlign w:val="center"/>
          </w:tcPr>
          <w:p w14:paraId="5A1A5177">
            <w:pPr>
              <w:widowControl/>
              <w:spacing w:line="0" w:lineRule="atLeast"/>
              <w:rPr>
                <w:color w:val="000000"/>
                <w:kern w:val="0"/>
                <w:sz w:val="22"/>
                <w:szCs w:val="22"/>
                <w:highlight w:val="none"/>
              </w:rPr>
            </w:pPr>
            <w:r>
              <w:rPr>
                <w:color w:val="000000"/>
                <w:kern w:val="0"/>
                <w:sz w:val="22"/>
                <w:szCs w:val="22"/>
                <w:highlight w:val="none"/>
              </w:rPr>
              <w:t>项目实施是否符合相关管理规定，用以反映和考核相关管理制度的有效执行情况。</w:t>
            </w:r>
          </w:p>
        </w:tc>
        <w:tc>
          <w:tcPr>
            <w:tcW w:w="2044" w:type="pct"/>
            <w:shd w:val="clear" w:color="000000" w:fill="FFFFFF"/>
            <w:vAlign w:val="center"/>
          </w:tcPr>
          <w:p w14:paraId="15B0AA65">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①是否遵守相关法律法规和相关管理规定；</w:t>
            </w:r>
            <w:r>
              <w:rPr>
                <w:color w:val="000000"/>
                <w:kern w:val="0"/>
                <w:sz w:val="22"/>
                <w:szCs w:val="22"/>
                <w:highlight w:val="none"/>
              </w:rPr>
              <w:br w:type="textWrapping"/>
            </w:r>
            <w:r>
              <w:rPr>
                <w:color w:val="000000"/>
                <w:kern w:val="0"/>
                <w:sz w:val="22"/>
                <w:szCs w:val="22"/>
                <w:highlight w:val="none"/>
              </w:rPr>
              <w:t>②项目调整及支出调整手续是否完备；</w:t>
            </w:r>
            <w:r>
              <w:rPr>
                <w:color w:val="000000"/>
                <w:kern w:val="0"/>
                <w:sz w:val="22"/>
                <w:szCs w:val="22"/>
                <w:highlight w:val="none"/>
              </w:rPr>
              <w:br w:type="textWrapping"/>
            </w:r>
            <w:r>
              <w:rPr>
                <w:color w:val="000000"/>
                <w:kern w:val="0"/>
                <w:sz w:val="22"/>
                <w:szCs w:val="22"/>
                <w:highlight w:val="none"/>
              </w:rPr>
              <w:t>③项目合同书、验收报告、技术鉴定等资料是否齐全并及时归档；</w:t>
            </w:r>
            <w:r>
              <w:rPr>
                <w:color w:val="000000"/>
                <w:kern w:val="0"/>
                <w:sz w:val="22"/>
                <w:szCs w:val="22"/>
                <w:highlight w:val="none"/>
              </w:rPr>
              <w:br w:type="textWrapping"/>
            </w:r>
            <w:r>
              <w:rPr>
                <w:color w:val="000000"/>
                <w:kern w:val="0"/>
                <w:sz w:val="22"/>
                <w:szCs w:val="22"/>
                <w:highlight w:val="none"/>
              </w:rPr>
              <w:t>④项目实施的人员条件、场地设备、信息支撑等是否落实到位。</w:t>
            </w:r>
          </w:p>
        </w:tc>
        <w:tc>
          <w:tcPr>
            <w:tcW w:w="512" w:type="pct"/>
            <w:shd w:val="clear" w:color="000000" w:fill="FFFFFF"/>
            <w:vAlign w:val="center"/>
          </w:tcPr>
          <w:p w14:paraId="46883EA8">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14:paraId="3D379EB1">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2D0CE8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1" w:type="pct"/>
            <w:shd w:val="clear" w:color="auto" w:fill="FFFFFF"/>
            <w:vAlign w:val="center"/>
          </w:tcPr>
          <w:p w14:paraId="12D5E3CF">
            <w:pPr>
              <w:widowControl/>
              <w:spacing w:line="0" w:lineRule="atLeast"/>
              <w:jc w:val="center"/>
              <w:rPr>
                <w:color w:val="000000"/>
                <w:kern w:val="0"/>
                <w:sz w:val="22"/>
                <w:szCs w:val="22"/>
                <w:highlight w:val="none"/>
              </w:rPr>
            </w:pPr>
            <w:r>
              <w:rPr>
                <w:color w:val="000000"/>
                <w:kern w:val="0"/>
                <w:sz w:val="22"/>
                <w:szCs w:val="22"/>
                <w:highlight w:val="none"/>
              </w:rPr>
              <w:t>产出</w:t>
            </w:r>
          </w:p>
        </w:tc>
        <w:tc>
          <w:tcPr>
            <w:tcW w:w="302" w:type="pct"/>
            <w:shd w:val="clear" w:color="auto" w:fill="FFFFFF"/>
            <w:vAlign w:val="center"/>
          </w:tcPr>
          <w:p w14:paraId="582FFB6F">
            <w:pPr>
              <w:widowControl/>
              <w:spacing w:line="0" w:lineRule="atLeast"/>
              <w:jc w:val="center"/>
              <w:rPr>
                <w:color w:val="000000"/>
                <w:kern w:val="0"/>
                <w:sz w:val="22"/>
                <w:szCs w:val="22"/>
                <w:highlight w:val="none"/>
              </w:rPr>
            </w:pPr>
            <w:r>
              <w:rPr>
                <w:color w:val="000000"/>
                <w:kern w:val="0"/>
                <w:sz w:val="22"/>
                <w:szCs w:val="22"/>
                <w:highlight w:val="none"/>
              </w:rPr>
              <w:t>产出数量</w:t>
            </w:r>
          </w:p>
        </w:tc>
        <w:tc>
          <w:tcPr>
            <w:tcW w:w="344" w:type="pct"/>
            <w:shd w:val="clear" w:color="auto" w:fill="FFFFFF"/>
            <w:vAlign w:val="center"/>
          </w:tcPr>
          <w:p w14:paraId="4B35DC4C">
            <w:pPr>
              <w:widowControl/>
              <w:spacing w:line="0" w:lineRule="atLeast"/>
              <w:jc w:val="center"/>
              <w:rPr>
                <w:color w:val="000000"/>
                <w:kern w:val="0"/>
                <w:sz w:val="22"/>
                <w:szCs w:val="22"/>
                <w:highlight w:val="none"/>
              </w:rPr>
            </w:pPr>
            <w:r>
              <w:rPr>
                <w:color w:val="000000"/>
                <w:kern w:val="0"/>
                <w:sz w:val="22"/>
                <w:szCs w:val="22"/>
                <w:highlight w:val="none"/>
              </w:rPr>
              <w:t>实际完成率</w:t>
            </w:r>
          </w:p>
        </w:tc>
        <w:tc>
          <w:tcPr>
            <w:tcW w:w="927" w:type="pct"/>
            <w:shd w:val="clear" w:color="000000" w:fill="FFFFFF"/>
            <w:vAlign w:val="center"/>
          </w:tcPr>
          <w:p w14:paraId="3ADE1E20">
            <w:pPr>
              <w:widowControl/>
              <w:spacing w:line="0" w:lineRule="atLeast"/>
              <w:rPr>
                <w:color w:val="000000"/>
                <w:kern w:val="0"/>
                <w:sz w:val="22"/>
                <w:szCs w:val="22"/>
                <w:highlight w:val="none"/>
              </w:rPr>
            </w:pPr>
            <w:r>
              <w:rPr>
                <w:color w:val="000000"/>
                <w:kern w:val="0"/>
                <w:sz w:val="22"/>
                <w:szCs w:val="22"/>
                <w:highlight w:val="none"/>
              </w:rPr>
              <w:t>项目实施的实际产出数与计划产出数的比率，用以反映和考核项目产出数量目标的实现程度。</w:t>
            </w:r>
          </w:p>
        </w:tc>
        <w:tc>
          <w:tcPr>
            <w:tcW w:w="2044" w:type="pct"/>
            <w:shd w:val="clear" w:color="000000" w:fill="FFFFFF"/>
            <w:vAlign w:val="center"/>
          </w:tcPr>
          <w:p w14:paraId="63733D34">
            <w:pPr>
              <w:widowControl/>
              <w:spacing w:line="0" w:lineRule="atLeast"/>
              <w:rPr>
                <w:color w:val="000000"/>
                <w:kern w:val="0"/>
                <w:sz w:val="22"/>
                <w:szCs w:val="22"/>
                <w:highlight w:val="none"/>
              </w:rPr>
            </w:pPr>
            <w:r>
              <w:rPr>
                <w:color w:val="000000"/>
                <w:kern w:val="0"/>
                <w:sz w:val="22"/>
                <w:szCs w:val="22"/>
                <w:highlight w:val="none"/>
              </w:rPr>
              <w:t>实际完成率=（实际产出数/计划产出数）×100%。</w:t>
            </w:r>
            <w:r>
              <w:rPr>
                <w:color w:val="000000"/>
                <w:kern w:val="0"/>
                <w:sz w:val="22"/>
                <w:szCs w:val="22"/>
                <w:highlight w:val="none"/>
              </w:rPr>
              <w:br w:type="textWrapping"/>
            </w:r>
            <w:r>
              <w:rPr>
                <w:color w:val="000000"/>
                <w:kern w:val="0"/>
                <w:sz w:val="22"/>
                <w:szCs w:val="22"/>
                <w:highlight w:val="none"/>
              </w:rPr>
              <w:t>实际产出数：一定时期（本年度或项目期）内项目实际产出的产品或提供的服务数量。</w:t>
            </w:r>
            <w:r>
              <w:rPr>
                <w:color w:val="000000"/>
                <w:kern w:val="0"/>
                <w:sz w:val="22"/>
                <w:szCs w:val="22"/>
                <w:highlight w:val="none"/>
              </w:rPr>
              <w:br w:type="textWrapping"/>
            </w:r>
            <w:r>
              <w:rPr>
                <w:color w:val="000000"/>
                <w:kern w:val="0"/>
                <w:sz w:val="22"/>
                <w:szCs w:val="22"/>
                <w:highlight w:val="none"/>
              </w:rPr>
              <w:t>计划产出数</w:t>
            </w:r>
            <w:bookmarkStart w:id="10" w:name="_GoBack"/>
            <w:bookmarkEnd w:id="10"/>
            <w:r>
              <w:rPr>
                <w:color w:val="000000"/>
                <w:kern w:val="0"/>
                <w:sz w:val="22"/>
                <w:szCs w:val="22"/>
                <w:highlight w:val="none"/>
              </w:rPr>
              <w:t>：项目绩效目标确定的在一定时期（本年度或项目期）内计划产出的产品或提供的服务数量。</w:t>
            </w:r>
          </w:p>
        </w:tc>
        <w:tc>
          <w:tcPr>
            <w:tcW w:w="512" w:type="pct"/>
            <w:shd w:val="clear" w:color="000000" w:fill="FFFFFF"/>
            <w:vAlign w:val="center"/>
          </w:tcPr>
          <w:p w14:paraId="1A0B0D00">
            <w:pPr>
              <w:widowControl/>
              <w:spacing w:line="0" w:lineRule="atLeast"/>
              <w:jc w:val="center"/>
              <w:rPr>
                <w:b/>
                <w:bCs/>
                <w:color w:val="000000"/>
                <w:kern w:val="0"/>
                <w:sz w:val="22"/>
                <w:szCs w:val="22"/>
                <w:highlight w:val="none"/>
              </w:rPr>
            </w:pPr>
            <w:r>
              <w:rPr>
                <w:b/>
                <w:bCs/>
                <w:color w:val="000000"/>
                <w:kern w:val="0"/>
                <w:sz w:val="22"/>
                <w:szCs w:val="22"/>
                <w:highlight w:val="none"/>
              </w:rPr>
              <w:t>1</w:t>
            </w:r>
            <w:r>
              <w:rPr>
                <w:rFonts w:hint="eastAsia"/>
                <w:b/>
                <w:bCs/>
                <w:color w:val="000000"/>
                <w:kern w:val="0"/>
                <w:sz w:val="22"/>
                <w:szCs w:val="22"/>
                <w:highlight w:val="none"/>
              </w:rPr>
              <w:t>0</w:t>
            </w:r>
          </w:p>
        </w:tc>
        <w:tc>
          <w:tcPr>
            <w:tcW w:w="537" w:type="pct"/>
            <w:shd w:val="clear" w:color="000000" w:fill="FFFFFF"/>
            <w:vAlign w:val="center"/>
          </w:tcPr>
          <w:p w14:paraId="3CC9E348">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14:paraId="47AE1B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31" w:type="pct"/>
            <w:vMerge w:val="restart"/>
            <w:shd w:val="clear" w:color="auto" w:fill="FFFFFF"/>
            <w:vAlign w:val="center"/>
          </w:tcPr>
          <w:p w14:paraId="10F23F97">
            <w:pPr>
              <w:widowControl/>
              <w:spacing w:line="0" w:lineRule="atLeast"/>
              <w:jc w:val="center"/>
              <w:rPr>
                <w:color w:val="000000"/>
                <w:kern w:val="0"/>
                <w:sz w:val="22"/>
                <w:szCs w:val="22"/>
                <w:highlight w:val="none"/>
              </w:rPr>
            </w:pPr>
            <w:r>
              <w:rPr>
                <w:color w:val="000000"/>
                <w:kern w:val="0"/>
                <w:sz w:val="22"/>
                <w:szCs w:val="22"/>
                <w:highlight w:val="none"/>
              </w:rPr>
              <w:t>产出</w:t>
            </w:r>
          </w:p>
        </w:tc>
        <w:tc>
          <w:tcPr>
            <w:tcW w:w="302" w:type="pct"/>
            <w:shd w:val="clear" w:color="auto" w:fill="FFFFFF"/>
            <w:vAlign w:val="center"/>
          </w:tcPr>
          <w:p w14:paraId="2985D565">
            <w:pPr>
              <w:widowControl/>
              <w:spacing w:line="0" w:lineRule="atLeast"/>
              <w:jc w:val="center"/>
              <w:rPr>
                <w:color w:val="000000"/>
                <w:kern w:val="0"/>
                <w:sz w:val="22"/>
                <w:szCs w:val="22"/>
                <w:highlight w:val="none"/>
              </w:rPr>
            </w:pPr>
            <w:r>
              <w:rPr>
                <w:color w:val="000000"/>
                <w:kern w:val="0"/>
                <w:sz w:val="22"/>
                <w:szCs w:val="22"/>
                <w:highlight w:val="none"/>
              </w:rPr>
              <w:t>产出质量</w:t>
            </w:r>
          </w:p>
        </w:tc>
        <w:tc>
          <w:tcPr>
            <w:tcW w:w="344" w:type="pct"/>
            <w:shd w:val="clear" w:color="auto" w:fill="FFFFFF"/>
            <w:vAlign w:val="center"/>
          </w:tcPr>
          <w:p w14:paraId="65C16E8D">
            <w:pPr>
              <w:widowControl/>
              <w:spacing w:line="0" w:lineRule="atLeast"/>
              <w:jc w:val="center"/>
              <w:rPr>
                <w:color w:val="000000"/>
                <w:kern w:val="0"/>
                <w:sz w:val="22"/>
                <w:szCs w:val="22"/>
                <w:highlight w:val="none"/>
              </w:rPr>
            </w:pPr>
            <w:r>
              <w:rPr>
                <w:color w:val="000000"/>
                <w:kern w:val="0"/>
                <w:sz w:val="22"/>
                <w:szCs w:val="22"/>
                <w:highlight w:val="none"/>
              </w:rPr>
              <w:t>质量达标率</w:t>
            </w:r>
          </w:p>
        </w:tc>
        <w:tc>
          <w:tcPr>
            <w:tcW w:w="927" w:type="pct"/>
            <w:shd w:val="clear" w:color="000000" w:fill="FFFFFF"/>
            <w:vAlign w:val="center"/>
          </w:tcPr>
          <w:p w14:paraId="67EF2903">
            <w:pPr>
              <w:widowControl/>
              <w:spacing w:line="0" w:lineRule="atLeast"/>
              <w:rPr>
                <w:color w:val="000000"/>
                <w:kern w:val="0"/>
                <w:sz w:val="22"/>
                <w:szCs w:val="22"/>
                <w:highlight w:val="none"/>
              </w:rPr>
            </w:pPr>
            <w:r>
              <w:rPr>
                <w:color w:val="000000"/>
                <w:kern w:val="0"/>
                <w:sz w:val="22"/>
                <w:szCs w:val="22"/>
                <w:highlight w:val="none"/>
              </w:rPr>
              <w:t>项目完成的质量达标产出数与实际产出数的比率，用以反映和考核项目产出质量目标的实现程度。</w:t>
            </w:r>
          </w:p>
        </w:tc>
        <w:tc>
          <w:tcPr>
            <w:tcW w:w="2044" w:type="pct"/>
            <w:shd w:val="clear" w:color="000000" w:fill="FFFFFF"/>
            <w:vAlign w:val="center"/>
          </w:tcPr>
          <w:p w14:paraId="55A73800">
            <w:pPr>
              <w:widowControl/>
              <w:spacing w:line="0" w:lineRule="atLeast"/>
              <w:rPr>
                <w:color w:val="000000"/>
                <w:kern w:val="0"/>
                <w:sz w:val="22"/>
                <w:szCs w:val="22"/>
                <w:highlight w:val="none"/>
              </w:rPr>
            </w:pPr>
            <w:r>
              <w:rPr>
                <w:color w:val="000000"/>
                <w:kern w:val="0"/>
                <w:sz w:val="22"/>
                <w:szCs w:val="22"/>
                <w:highlight w:val="none"/>
              </w:rPr>
              <w:t>质量达标率=（质量达标产出数/实际产出数）×100%。</w:t>
            </w:r>
          </w:p>
          <w:p w14:paraId="1412D141">
            <w:pPr>
              <w:widowControl/>
              <w:spacing w:line="0" w:lineRule="atLeast"/>
              <w:rPr>
                <w:color w:val="000000"/>
                <w:kern w:val="0"/>
                <w:sz w:val="22"/>
                <w:szCs w:val="22"/>
                <w:highlight w:val="none"/>
              </w:rPr>
            </w:pPr>
            <w:r>
              <w:rPr>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532A64D9">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14:paraId="157CD8B0">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14:paraId="52FABA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1" w:type="pct"/>
            <w:vMerge w:val="continue"/>
            <w:shd w:val="clear" w:color="auto" w:fill="FFFFFF"/>
            <w:vAlign w:val="center"/>
          </w:tcPr>
          <w:p w14:paraId="203251F4">
            <w:pPr>
              <w:spacing w:line="0" w:lineRule="atLeast"/>
              <w:jc w:val="center"/>
              <w:rPr>
                <w:color w:val="000000"/>
                <w:kern w:val="0"/>
                <w:sz w:val="22"/>
                <w:szCs w:val="22"/>
                <w:highlight w:val="none"/>
              </w:rPr>
            </w:pPr>
          </w:p>
        </w:tc>
        <w:tc>
          <w:tcPr>
            <w:tcW w:w="302" w:type="pct"/>
            <w:shd w:val="clear" w:color="auto" w:fill="FFFFFF"/>
            <w:vAlign w:val="center"/>
          </w:tcPr>
          <w:p w14:paraId="2D13CEAD">
            <w:pPr>
              <w:spacing w:line="0" w:lineRule="atLeast"/>
              <w:jc w:val="center"/>
              <w:rPr>
                <w:color w:val="000000"/>
                <w:kern w:val="0"/>
                <w:sz w:val="22"/>
                <w:szCs w:val="22"/>
                <w:highlight w:val="none"/>
              </w:rPr>
            </w:pPr>
            <w:r>
              <w:rPr>
                <w:color w:val="000000"/>
                <w:kern w:val="0"/>
                <w:sz w:val="22"/>
                <w:szCs w:val="22"/>
                <w:highlight w:val="none"/>
              </w:rPr>
              <w:t>产出时效</w:t>
            </w:r>
          </w:p>
        </w:tc>
        <w:tc>
          <w:tcPr>
            <w:tcW w:w="344" w:type="pct"/>
            <w:shd w:val="clear" w:color="auto" w:fill="FFFFFF"/>
            <w:vAlign w:val="center"/>
          </w:tcPr>
          <w:p w14:paraId="55C6CF85">
            <w:pPr>
              <w:widowControl/>
              <w:spacing w:line="0" w:lineRule="atLeast"/>
              <w:jc w:val="center"/>
              <w:rPr>
                <w:color w:val="000000"/>
                <w:kern w:val="0"/>
                <w:sz w:val="22"/>
                <w:szCs w:val="22"/>
                <w:highlight w:val="none"/>
              </w:rPr>
            </w:pPr>
            <w:r>
              <w:rPr>
                <w:color w:val="000000"/>
                <w:kern w:val="0"/>
                <w:sz w:val="22"/>
                <w:szCs w:val="22"/>
                <w:highlight w:val="none"/>
              </w:rPr>
              <w:t>完成及时性</w:t>
            </w:r>
          </w:p>
        </w:tc>
        <w:tc>
          <w:tcPr>
            <w:tcW w:w="927" w:type="pct"/>
            <w:shd w:val="clear" w:color="000000" w:fill="FFFFFF"/>
            <w:vAlign w:val="center"/>
          </w:tcPr>
          <w:p w14:paraId="7B5966B7">
            <w:pPr>
              <w:widowControl/>
              <w:spacing w:line="0" w:lineRule="atLeast"/>
              <w:rPr>
                <w:color w:val="000000"/>
                <w:kern w:val="0"/>
                <w:sz w:val="22"/>
                <w:szCs w:val="22"/>
                <w:highlight w:val="none"/>
              </w:rPr>
            </w:pPr>
            <w:r>
              <w:rPr>
                <w:color w:val="000000"/>
                <w:kern w:val="0"/>
                <w:sz w:val="22"/>
                <w:szCs w:val="22"/>
                <w:highlight w:val="none"/>
              </w:rPr>
              <w:t>项目实际完成时间与计划完成时间的比较，用以反映和考核项目产出时效目标的实现程度。</w:t>
            </w:r>
          </w:p>
        </w:tc>
        <w:tc>
          <w:tcPr>
            <w:tcW w:w="2044" w:type="pct"/>
            <w:shd w:val="clear" w:color="000000" w:fill="FFFFFF"/>
            <w:vAlign w:val="center"/>
          </w:tcPr>
          <w:p w14:paraId="5B644949">
            <w:pPr>
              <w:widowControl/>
              <w:spacing w:line="0" w:lineRule="atLeast"/>
              <w:rPr>
                <w:color w:val="000000"/>
                <w:kern w:val="0"/>
                <w:sz w:val="22"/>
                <w:szCs w:val="22"/>
                <w:highlight w:val="none"/>
              </w:rPr>
            </w:pPr>
            <w:r>
              <w:rPr>
                <w:color w:val="000000"/>
                <w:kern w:val="0"/>
                <w:sz w:val="22"/>
                <w:szCs w:val="22"/>
                <w:highlight w:val="none"/>
              </w:rPr>
              <w:t>实际完成时间：项目实施单位完成该项目实际所耗用的时间。</w:t>
            </w:r>
            <w:r>
              <w:rPr>
                <w:color w:val="000000"/>
                <w:kern w:val="0"/>
                <w:sz w:val="22"/>
                <w:szCs w:val="22"/>
                <w:highlight w:val="none"/>
              </w:rPr>
              <w:br w:type="textWrapping"/>
            </w:r>
            <w:r>
              <w:rPr>
                <w:color w:val="000000"/>
                <w:kern w:val="0"/>
                <w:sz w:val="22"/>
                <w:szCs w:val="22"/>
                <w:highlight w:val="none"/>
              </w:rPr>
              <w:t>计划完成时间：按照项目实施计划或相关规定完成该项目所需的时间。</w:t>
            </w:r>
          </w:p>
        </w:tc>
        <w:tc>
          <w:tcPr>
            <w:tcW w:w="512" w:type="pct"/>
            <w:shd w:val="clear" w:color="000000" w:fill="FFFFFF"/>
            <w:vAlign w:val="center"/>
          </w:tcPr>
          <w:p w14:paraId="388DE397">
            <w:pPr>
              <w:widowControl/>
              <w:spacing w:line="0" w:lineRule="atLeast"/>
              <w:jc w:val="center"/>
              <w:rPr>
                <w:b/>
                <w:bCs/>
                <w:color w:val="000000"/>
                <w:kern w:val="0"/>
                <w:sz w:val="22"/>
                <w:szCs w:val="22"/>
                <w:highlight w:val="none"/>
              </w:rPr>
            </w:pPr>
            <w:r>
              <w:rPr>
                <w:b/>
                <w:bCs/>
                <w:color w:val="000000"/>
                <w:kern w:val="0"/>
                <w:sz w:val="22"/>
                <w:szCs w:val="22"/>
                <w:highlight w:val="none"/>
              </w:rPr>
              <w:t>1</w:t>
            </w:r>
            <w:r>
              <w:rPr>
                <w:rFonts w:hint="eastAsia"/>
                <w:b/>
                <w:bCs/>
                <w:color w:val="000000"/>
                <w:kern w:val="0"/>
                <w:sz w:val="22"/>
                <w:szCs w:val="22"/>
                <w:highlight w:val="none"/>
              </w:rPr>
              <w:t>0</w:t>
            </w:r>
          </w:p>
        </w:tc>
        <w:tc>
          <w:tcPr>
            <w:tcW w:w="537" w:type="pct"/>
            <w:shd w:val="clear" w:color="000000" w:fill="FFFFFF"/>
            <w:vAlign w:val="center"/>
          </w:tcPr>
          <w:p w14:paraId="62769EC9">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14:paraId="103C24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continue"/>
            <w:shd w:val="clear" w:color="auto" w:fill="FFFFFF"/>
            <w:vAlign w:val="center"/>
          </w:tcPr>
          <w:p w14:paraId="78F9EB3D">
            <w:pPr>
              <w:widowControl/>
              <w:spacing w:line="0" w:lineRule="atLeast"/>
              <w:jc w:val="center"/>
              <w:rPr>
                <w:color w:val="000000"/>
                <w:kern w:val="0"/>
                <w:sz w:val="22"/>
                <w:szCs w:val="22"/>
                <w:highlight w:val="none"/>
              </w:rPr>
            </w:pPr>
          </w:p>
        </w:tc>
        <w:tc>
          <w:tcPr>
            <w:tcW w:w="302" w:type="pct"/>
            <w:shd w:val="clear" w:color="auto" w:fill="FFFFFF"/>
            <w:vAlign w:val="center"/>
          </w:tcPr>
          <w:p w14:paraId="3C172594">
            <w:pPr>
              <w:widowControl/>
              <w:spacing w:line="0" w:lineRule="atLeast"/>
              <w:jc w:val="center"/>
              <w:rPr>
                <w:color w:val="000000"/>
                <w:kern w:val="0"/>
                <w:sz w:val="22"/>
                <w:szCs w:val="22"/>
                <w:highlight w:val="none"/>
              </w:rPr>
            </w:pPr>
            <w:r>
              <w:rPr>
                <w:color w:val="000000"/>
                <w:kern w:val="0"/>
                <w:sz w:val="22"/>
                <w:szCs w:val="22"/>
                <w:highlight w:val="none"/>
              </w:rPr>
              <w:t>产出成本</w:t>
            </w:r>
          </w:p>
        </w:tc>
        <w:tc>
          <w:tcPr>
            <w:tcW w:w="344" w:type="pct"/>
            <w:shd w:val="clear" w:color="auto" w:fill="FFFFFF"/>
            <w:vAlign w:val="center"/>
          </w:tcPr>
          <w:p w14:paraId="1EEFA460">
            <w:pPr>
              <w:widowControl/>
              <w:spacing w:line="0" w:lineRule="atLeast"/>
              <w:jc w:val="center"/>
              <w:rPr>
                <w:color w:val="000000"/>
                <w:kern w:val="0"/>
                <w:sz w:val="22"/>
                <w:szCs w:val="22"/>
                <w:highlight w:val="none"/>
              </w:rPr>
            </w:pPr>
            <w:r>
              <w:rPr>
                <w:color w:val="000000"/>
                <w:kern w:val="0"/>
                <w:sz w:val="22"/>
                <w:szCs w:val="22"/>
                <w:highlight w:val="none"/>
              </w:rPr>
              <w:t>成本节约率</w:t>
            </w:r>
          </w:p>
        </w:tc>
        <w:tc>
          <w:tcPr>
            <w:tcW w:w="927" w:type="pct"/>
            <w:shd w:val="clear" w:color="000000" w:fill="FFFFFF"/>
            <w:vAlign w:val="center"/>
          </w:tcPr>
          <w:p w14:paraId="16EF2EF9">
            <w:pPr>
              <w:widowControl/>
              <w:spacing w:line="0" w:lineRule="atLeast"/>
              <w:rPr>
                <w:color w:val="000000"/>
                <w:kern w:val="0"/>
                <w:sz w:val="22"/>
                <w:szCs w:val="22"/>
                <w:highlight w:val="none"/>
              </w:rPr>
            </w:pPr>
            <w:r>
              <w:rPr>
                <w:color w:val="000000"/>
                <w:kern w:val="0"/>
                <w:sz w:val="22"/>
                <w:szCs w:val="22"/>
                <w:highlight w:val="none"/>
              </w:rPr>
              <w:t>完成项目计划工作目标的实际节约成本与计划成本的比率，用以反映和考核项目的成本节约程度。</w:t>
            </w:r>
          </w:p>
        </w:tc>
        <w:tc>
          <w:tcPr>
            <w:tcW w:w="2044" w:type="pct"/>
            <w:shd w:val="clear" w:color="000000" w:fill="FFFFFF"/>
            <w:vAlign w:val="center"/>
          </w:tcPr>
          <w:p w14:paraId="3E384B47">
            <w:pPr>
              <w:widowControl/>
              <w:spacing w:line="0" w:lineRule="atLeast"/>
              <w:rPr>
                <w:color w:val="000000"/>
                <w:kern w:val="0"/>
                <w:sz w:val="22"/>
                <w:szCs w:val="22"/>
                <w:highlight w:val="none"/>
              </w:rPr>
            </w:pPr>
            <w:r>
              <w:rPr>
                <w:color w:val="000000"/>
                <w:kern w:val="0"/>
                <w:sz w:val="22"/>
                <w:szCs w:val="22"/>
                <w:highlight w:val="none"/>
              </w:rPr>
              <w:br w:type="textWrapping"/>
            </w:r>
            <w:r>
              <w:rPr>
                <w:color w:val="000000"/>
                <w:kern w:val="0"/>
                <w:sz w:val="22"/>
                <w:szCs w:val="22"/>
                <w:highlight w:val="none"/>
              </w:rPr>
              <w:t>成本节约率=[（计划成本-实际成本）/计划成本]×100%。</w:t>
            </w:r>
            <w:r>
              <w:rPr>
                <w:color w:val="000000"/>
                <w:kern w:val="0"/>
                <w:sz w:val="22"/>
                <w:szCs w:val="22"/>
                <w:highlight w:val="none"/>
              </w:rPr>
              <w:br w:type="textWrapping"/>
            </w:r>
            <w:r>
              <w:rPr>
                <w:color w:val="000000"/>
                <w:kern w:val="0"/>
                <w:sz w:val="22"/>
                <w:szCs w:val="22"/>
                <w:highlight w:val="none"/>
              </w:rPr>
              <w:t>实际成本：项目实施单位如期、保质、保量完成既定工作目标实际所耗费的支出。</w:t>
            </w:r>
            <w:r>
              <w:rPr>
                <w:color w:val="000000"/>
                <w:kern w:val="0"/>
                <w:sz w:val="22"/>
                <w:szCs w:val="22"/>
                <w:highlight w:val="none"/>
              </w:rPr>
              <w:br w:type="textWrapping"/>
            </w:r>
            <w:r>
              <w:rPr>
                <w:color w:val="000000"/>
                <w:kern w:val="0"/>
                <w:sz w:val="22"/>
                <w:szCs w:val="22"/>
                <w:highlight w:val="none"/>
              </w:rPr>
              <w:t>计划成本：项目实施单位为完成工作目标计划安排的支出，一般以项目预算为参考。</w:t>
            </w:r>
          </w:p>
        </w:tc>
        <w:tc>
          <w:tcPr>
            <w:tcW w:w="512" w:type="pct"/>
            <w:shd w:val="clear" w:color="000000" w:fill="FFFFFF"/>
            <w:vAlign w:val="center"/>
          </w:tcPr>
          <w:p w14:paraId="7CBF53EA">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14:paraId="76C36588">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14:paraId="0D6ADE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1" w:type="pct"/>
            <w:vMerge w:val="restart"/>
            <w:shd w:val="clear" w:color="auto" w:fill="FFFFFF"/>
            <w:vAlign w:val="center"/>
          </w:tcPr>
          <w:p w14:paraId="3A59D6AC">
            <w:pPr>
              <w:widowControl/>
              <w:spacing w:line="0" w:lineRule="atLeast"/>
              <w:jc w:val="center"/>
              <w:rPr>
                <w:color w:val="000000"/>
                <w:kern w:val="0"/>
                <w:sz w:val="22"/>
                <w:szCs w:val="22"/>
                <w:highlight w:val="none"/>
              </w:rPr>
            </w:pPr>
            <w:r>
              <w:rPr>
                <w:color w:val="000000"/>
                <w:kern w:val="0"/>
                <w:sz w:val="22"/>
                <w:szCs w:val="22"/>
                <w:highlight w:val="none"/>
              </w:rPr>
              <w:t>效益　</w:t>
            </w:r>
          </w:p>
        </w:tc>
        <w:tc>
          <w:tcPr>
            <w:tcW w:w="302" w:type="pct"/>
            <w:vMerge w:val="restart"/>
            <w:shd w:val="clear" w:color="auto" w:fill="FFFFFF"/>
            <w:vAlign w:val="center"/>
          </w:tcPr>
          <w:p w14:paraId="16B05406">
            <w:pPr>
              <w:widowControl/>
              <w:spacing w:line="0" w:lineRule="atLeast"/>
              <w:jc w:val="center"/>
              <w:rPr>
                <w:color w:val="000000"/>
                <w:kern w:val="0"/>
                <w:sz w:val="22"/>
                <w:szCs w:val="22"/>
                <w:highlight w:val="none"/>
              </w:rPr>
            </w:pPr>
            <w:r>
              <w:rPr>
                <w:color w:val="000000"/>
                <w:kern w:val="0"/>
                <w:sz w:val="22"/>
                <w:szCs w:val="22"/>
                <w:highlight w:val="none"/>
              </w:rPr>
              <w:t>项目效益　</w:t>
            </w:r>
          </w:p>
        </w:tc>
        <w:tc>
          <w:tcPr>
            <w:tcW w:w="344" w:type="pct"/>
            <w:shd w:val="clear" w:color="auto" w:fill="FFFFFF"/>
            <w:vAlign w:val="center"/>
          </w:tcPr>
          <w:p w14:paraId="16B71D22">
            <w:pPr>
              <w:widowControl/>
              <w:spacing w:line="0" w:lineRule="atLeast"/>
              <w:jc w:val="center"/>
              <w:rPr>
                <w:color w:val="000000"/>
                <w:kern w:val="0"/>
                <w:sz w:val="22"/>
                <w:szCs w:val="22"/>
                <w:highlight w:val="none"/>
              </w:rPr>
            </w:pPr>
            <w:r>
              <w:rPr>
                <w:color w:val="000000"/>
                <w:kern w:val="0"/>
                <w:sz w:val="22"/>
                <w:szCs w:val="22"/>
                <w:highlight w:val="none"/>
              </w:rPr>
              <w:t>实施效益</w:t>
            </w:r>
          </w:p>
        </w:tc>
        <w:tc>
          <w:tcPr>
            <w:tcW w:w="927" w:type="pct"/>
            <w:shd w:val="clear" w:color="auto" w:fill="FFFFFF"/>
            <w:vAlign w:val="center"/>
          </w:tcPr>
          <w:p w14:paraId="1160B06B">
            <w:pPr>
              <w:widowControl/>
              <w:spacing w:line="0" w:lineRule="atLeast"/>
              <w:jc w:val="left"/>
              <w:rPr>
                <w:color w:val="000000"/>
                <w:kern w:val="0"/>
                <w:sz w:val="22"/>
                <w:szCs w:val="22"/>
                <w:highlight w:val="none"/>
              </w:rPr>
            </w:pPr>
            <w:r>
              <w:rPr>
                <w:color w:val="000000"/>
                <w:kern w:val="0"/>
                <w:sz w:val="22"/>
                <w:szCs w:val="22"/>
                <w:highlight w:val="none"/>
              </w:rPr>
              <w:t>项目实施所产生的效益。</w:t>
            </w:r>
          </w:p>
        </w:tc>
        <w:tc>
          <w:tcPr>
            <w:tcW w:w="2044" w:type="pct"/>
            <w:shd w:val="clear" w:color="auto" w:fill="FFFFFF"/>
            <w:vAlign w:val="center"/>
          </w:tcPr>
          <w:p w14:paraId="25E9E76C">
            <w:pPr>
              <w:widowControl/>
              <w:spacing w:line="0" w:lineRule="atLeast"/>
              <w:rPr>
                <w:color w:val="000000"/>
                <w:kern w:val="0"/>
                <w:sz w:val="22"/>
                <w:szCs w:val="22"/>
                <w:highlight w:val="none"/>
              </w:rPr>
            </w:pPr>
            <w:r>
              <w:rPr>
                <w:color w:val="000000"/>
                <w:kern w:val="0"/>
                <w:sz w:val="22"/>
                <w:szCs w:val="22"/>
                <w:highlight w:val="none"/>
              </w:rPr>
              <w:t>项目实施所产生的社会效益、经济效益、生态效益、可持续影响等。可根据项目实际情况有选择地设置和细化。</w:t>
            </w:r>
          </w:p>
        </w:tc>
        <w:tc>
          <w:tcPr>
            <w:tcW w:w="512" w:type="pct"/>
            <w:shd w:val="clear" w:color="auto" w:fill="FFFFFF"/>
            <w:vAlign w:val="center"/>
          </w:tcPr>
          <w:p w14:paraId="378EA5E9">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15</w:t>
            </w:r>
          </w:p>
        </w:tc>
        <w:tc>
          <w:tcPr>
            <w:tcW w:w="537" w:type="pct"/>
            <w:shd w:val="clear" w:color="auto" w:fill="FFFFFF"/>
            <w:vAlign w:val="center"/>
          </w:tcPr>
          <w:p w14:paraId="09BE3BEB">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15</w:t>
            </w:r>
          </w:p>
        </w:tc>
      </w:tr>
      <w:tr w14:paraId="2681B5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31" w:type="pct"/>
            <w:vMerge w:val="continue"/>
            <w:shd w:val="clear" w:color="auto" w:fill="FFFFFF"/>
            <w:vAlign w:val="center"/>
          </w:tcPr>
          <w:p w14:paraId="074CF2F6">
            <w:pPr>
              <w:widowControl/>
              <w:spacing w:line="0" w:lineRule="atLeast"/>
              <w:jc w:val="center"/>
              <w:rPr>
                <w:color w:val="000000"/>
                <w:kern w:val="0"/>
                <w:sz w:val="22"/>
                <w:szCs w:val="22"/>
                <w:highlight w:val="none"/>
              </w:rPr>
            </w:pPr>
          </w:p>
        </w:tc>
        <w:tc>
          <w:tcPr>
            <w:tcW w:w="302" w:type="pct"/>
            <w:vMerge w:val="continue"/>
            <w:shd w:val="clear" w:color="auto" w:fill="FFFFFF"/>
            <w:vAlign w:val="center"/>
          </w:tcPr>
          <w:p w14:paraId="0F3B5D18">
            <w:pPr>
              <w:widowControl/>
              <w:spacing w:line="0" w:lineRule="atLeast"/>
              <w:jc w:val="center"/>
              <w:rPr>
                <w:color w:val="000000"/>
                <w:kern w:val="0"/>
                <w:sz w:val="22"/>
                <w:szCs w:val="22"/>
                <w:highlight w:val="none"/>
              </w:rPr>
            </w:pPr>
          </w:p>
        </w:tc>
        <w:tc>
          <w:tcPr>
            <w:tcW w:w="344" w:type="pct"/>
            <w:shd w:val="clear" w:color="auto" w:fill="FFFFFF"/>
            <w:vAlign w:val="center"/>
          </w:tcPr>
          <w:p w14:paraId="3A6253EF">
            <w:pPr>
              <w:widowControl/>
              <w:spacing w:line="0" w:lineRule="atLeast"/>
              <w:jc w:val="center"/>
              <w:rPr>
                <w:color w:val="000000"/>
                <w:kern w:val="0"/>
                <w:sz w:val="22"/>
                <w:szCs w:val="22"/>
                <w:highlight w:val="none"/>
              </w:rPr>
            </w:pPr>
            <w:r>
              <w:rPr>
                <w:color w:val="000000"/>
                <w:kern w:val="0"/>
                <w:sz w:val="22"/>
                <w:szCs w:val="22"/>
                <w:highlight w:val="none"/>
              </w:rPr>
              <w:t>满意度</w:t>
            </w:r>
          </w:p>
        </w:tc>
        <w:tc>
          <w:tcPr>
            <w:tcW w:w="927" w:type="pct"/>
            <w:shd w:val="clear" w:color="000000" w:fill="FFFFFF"/>
            <w:vAlign w:val="center"/>
          </w:tcPr>
          <w:p w14:paraId="4914C5B9">
            <w:pPr>
              <w:widowControl/>
              <w:spacing w:line="0" w:lineRule="atLeast"/>
              <w:rPr>
                <w:color w:val="000000"/>
                <w:kern w:val="0"/>
                <w:sz w:val="22"/>
                <w:szCs w:val="22"/>
                <w:highlight w:val="none"/>
              </w:rPr>
            </w:pPr>
            <w:r>
              <w:rPr>
                <w:color w:val="000000"/>
                <w:kern w:val="0"/>
                <w:sz w:val="22"/>
                <w:szCs w:val="22"/>
                <w:highlight w:val="none"/>
              </w:rPr>
              <w:t>社会公众或服务对象对项目实施效果的满意程度。</w:t>
            </w:r>
          </w:p>
        </w:tc>
        <w:tc>
          <w:tcPr>
            <w:tcW w:w="2044" w:type="pct"/>
            <w:shd w:val="clear" w:color="000000" w:fill="FFFFFF"/>
            <w:vAlign w:val="center"/>
          </w:tcPr>
          <w:p w14:paraId="1FD4C58F">
            <w:pPr>
              <w:widowControl/>
              <w:spacing w:line="0" w:lineRule="atLeast"/>
              <w:rPr>
                <w:color w:val="000000"/>
                <w:kern w:val="0"/>
                <w:sz w:val="22"/>
                <w:szCs w:val="22"/>
                <w:highlight w:val="none"/>
              </w:rPr>
            </w:pPr>
            <w:r>
              <w:rPr>
                <w:color w:val="000000"/>
                <w:kern w:val="0"/>
                <w:sz w:val="22"/>
                <w:szCs w:val="22"/>
                <w:highlight w:val="none"/>
              </w:rPr>
              <w:t>社会公众或服务对象是指因该项目实施而受到影响的部门（单位）、群体或个人。一般采取社会调查的方式。</w:t>
            </w:r>
          </w:p>
        </w:tc>
        <w:tc>
          <w:tcPr>
            <w:tcW w:w="512" w:type="pct"/>
            <w:shd w:val="clear" w:color="000000" w:fill="FFFFFF"/>
            <w:vAlign w:val="center"/>
          </w:tcPr>
          <w:p w14:paraId="5DF6D3E1">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5</w:t>
            </w:r>
          </w:p>
        </w:tc>
        <w:tc>
          <w:tcPr>
            <w:tcW w:w="537" w:type="pct"/>
            <w:shd w:val="clear" w:color="000000" w:fill="FFFFFF"/>
            <w:vAlign w:val="center"/>
          </w:tcPr>
          <w:p w14:paraId="1146B9DD">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5</w:t>
            </w:r>
          </w:p>
        </w:tc>
      </w:tr>
    </w:tbl>
    <w:p w14:paraId="2E3578CC">
      <w:pPr>
        <w:pStyle w:val="2"/>
        <w:rPr>
          <w:rFonts w:ascii="Times New Roman" w:hAnsi="Times New Roman"/>
          <w:highlight w:val="none"/>
        </w:rPr>
      </w:pPr>
    </w:p>
    <w:p w14:paraId="10ACC6B7">
      <w:pPr>
        <w:rPr>
          <w:highlight w:val="none"/>
        </w:rPr>
      </w:pPr>
    </w:p>
    <w:p w14:paraId="72FB0526">
      <w:pPr>
        <w:spacing w:line="540" w:lineRule="exact"/>
        <w:ind w:firstLine="640"/>
        <w:rPr>
          <w:rStyle w:val="23"/>
          <w:rFonts w:eastAsia="黑体"/>
          <w:bCs w:val="0"/>
          <w:spacing w:val="-4"/>
          <w:sz w:val="32"/>
          <w:szCs w:val="32"/>
          <w:highlight w:val="none"/>
        </w:rPr>
      </w:pPr>
    </w:p>
    <w:p w14:paraId="363C786D">
      <w:pPr>
        <w:spacing w:line="540" w:lineRule="exact"/>
        <w:ind w:firstLine="640"/>
        <w:rPr>
          <w:rStyle w:val="23"/>
          <w:rFonts w:eastAsia="黑体"/>
          <w:bCs w:val="0"/>
          <w:spacing w:val="-4"/>
          <w:sz w:val="32"/>
          <w:szCs w:val="32"/>
          <w:highlight w:val="none"/>
        </w:rPr>
      </w:pPr>
    </w:p>
    <w:p w14:paraId="172D4048">
      <w:pPr>
        <w:spacing w:line="540" w:lineRule="exact"/>
        <w:ind w:firstLine="640"/>
        <w:rPr>
          <w:rStyle w:val="23"/>
          <w:rFonts w:eastAsia="黑体"/>
          <w:bCs w:val="0"/>
          <w:spacing w:val="-4"/>
          <w:sz w:val="32"/>
          <w:szCs w:val="32"/>
          <w:highlight w:val="none"/>
        </w:rPr>
      </w:pPr>
    </w:p>
    <w:p w14:paraId="02C8C10E">
      <w:pPr>
        <w:spacing w:line="540" w:lineRule="exact"/>
        <w:ind w:firstLine="640"/>
        <w:rPr>
          <w:rStyle w:val="23"/>
          <w:rFonts w:eastAsia="黑体"/>
          <w:bCs w:val="0"/>
          <w:spacing w:val="-4"/>
          <w:sz w:val="32"/>
          <w:szCs w:val="32"/>
          <w:highlight w:val="none"/>
        </w:rPr>
      </w:pPr>
    </w:p>
    <w:p w14:paraId="02199435">
      <w:pPr>
        <w:spacing w:line="540" w:lineRule="exact"/>
        <w:ind w:firstLine="640"/>
        <w:rPr>
          <w:rStyle w:val="23"/>
          <w:rFonts w:eastAsia="黑体"/>
          <w:bCs w:val="0"/>
          <w:spacing w:val="-4"/>
          <w:sz w:val="32"/>
          <w:szCs w:val="32"/>
          <w:highlight w:val="none"/>
        </w:rPr>
      </w:pPr>
    </w:p>
    <w:p w14:paraId="16F27C5E">
      <w:pPr>
        <w:spacing w:line="540" w:lineRule="exact"/>
        <w:ind w:firstLine="640"/>
        <w:rPr>
          <w:rStyle w:val="23"/>
          <w:rFonts w:eastAsia="黑体"/>
          <w:bCs w:val="0"/>
          <w:spacing w:val="-4"/>
          <w:sz w:val="32"/>
          <w:szCs w:val="32"/>
          <w:highlight w:val="none"/>
        </w:rPr>
      </w:pPr>
    </w:p>
    <w:p w14:paraId="48D2DD99">
      <w:pPr>
        <w:spacing w:line="540" w:lineRule="exact"/>
        <w:rPr>
          <w:rStyle w:val="23"/>
          <w:rFonts w:eastAsia="仿宋"/>
          <w:b w:val="0"/>
          <w:spacing w:val="-4"/>
          <w:sz w:val="32"/>
          <w:szCs w:val="32"/>
          <w:highlight w:val="none"/>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MingLiU">
    <w:panose1 w:val="02020509000000000000"/>
    <w:charset w:val="88"/>
    <w:family w:val="modern"/>
    <w:pitch w:val="default"/>
    <w:sig w:usb0="A00002FF" w:usb1="28CFFCFA" w:usb2="00000016" w:usb3="00000000" w:csb0="0010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C0D0D3A">
        <w:pPr>
          <w:pStyle w:val="16"/>
          <w:jc w:val="center"/>
        </w:pPr>
        <w:r>
          <w:fldChar w:fldCharType="begin"/>
        </w:r>
        <w:r>
          <w:instrText xml:space="preserve">PAGE   \* MERGEFORMAT</w:instrText>
        </w:r>
        <w:r>
          <w:fldChar w:fldCharType="separate"/>
        </w:r>
        <w:r>
          <w:rPr>
            <w:lang w:val="zh-CN"/>
          </w:rPr>
          <w:t>17</w:t>
        </w:r>
        <w:r>
          <w:fldChar w:fldCharType="end"/>
        </w:r>
      </w:p>
    </w:sdtContent>
  </w:sdt>
  <w:p w14:paraId="118601BC">
    <w:pPr>
      <w:pStyle w:val="1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3D2FA9"/>
    <w:multiLevelType w:val="singleLevel"/>
    <w:tmpl w:val="9D3D2FA9"/>
    <w:lvl w:ilvl="0" w:tentative="0">
      <w:start w:val="6"/>
      <w:numFmt w:val="chineseCounting"/>
      <w:suff w:val="nothing"/>
      <w:lvlText w:val="%1、"/>
      <w:lvlJc w:val="left"/>
      <w:rPr>
        <w:rFonts w:hint="eastAsia"/>
      </w:rPr>
    </w:lvl>
  </w:abstractNum>
  <w:abstractNum w:abstractNumId="1">
    <w:nsid w:val="F3BFECA3"/>
    <w:multiLevelType w:val="singleLevel"/>
    <w:tmpl w:val="F3BFECA3"/>
    <w:lvl w:ilvl="0" w:tentative="0">
      <w:start w:val="2"/>
      <w:numFmt w:val="chineseCounting"/>
      <w:suff w:val="nothing"/>
      <w:lvlText w:val="（%1）"/>
      <w:lvlJc w:val="left"/>
      <w:rPr>
        <w:rFonts w:hint="eastAsia"/>
      </w:rPr>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I4MzUzNGJiODkyZDFhMmQ5MjgxYmUwYzA3OTkzYzMifQ=="/>
  </w:docVars>
  <w:rsids>
    <w:rsidRoot w:val="00CA6457"/>
    <w:rsid w:val="00056465"/>
    <w:rsid w:val="000E50F0"/>
    <w:rsid w:val="000E586C"/>
    <w:rsid w:val="00121AE4"/>
    <w:rsid w:val="00146AAD"/>
    <w:rsid w:val="001B3A40"/>
    <w:rsid w:val="00200850"/>
    <w:rsid w:val="003748BB"/>
    <w:rsid w:val="003C18BC"/>
    <w:rsid w:val="00430B95"/>
    <w:rsid w:val="004366A8"/>
    <w:rsid w:val="00464900"/>
    <w:rsid w:val="004672B9"/>
    <w:rsid w:val="0050203C"/>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10333FC"/>
    <w:rsid w:val="02074908"/>
    <w:rsid w:val="03C35B3E"/>
    <w:rsid w:val="051A56F5"/>
    <w:rsid w:val="066D6EAA"/>
    <w:rsid w:val="06DC1681"/>
    <w:rsid w:val="08A4289F"/>
    <w:rsid w:val="08C662D4"/>
    <w:rsid w:val="09BD4D95"/>
    <w:rsid w:val="0B0F58D6"/>
    <w:rsid w:val="0F8D41CB"/>
    <w:rsid w:val="0FA6356D"/>
    <w:rsid w:val="0FEE2F21"/>
    <w:rsid w:val="11C75270"/>
    <w:rsid w:val="12637CC3"/>
    <w:rsid w:val="12E657C5"/>
    <w:rsid w:val="133C6E2A"/>
    <w:rsid w:val="167C7687"/>
    <w:rsid w:val="168B3546"/>
    <w:rsid w:val="1A2374E0"/>
    <w:rsid w:val="1C317CE2"/>
    <w:rsid w:val="1DD45808"/>
    <w:rsid w:val="1DED42AC"/>
    <w:rsid w:val="20005763"/>
    <w:rsid w:val="20FB313D"/>
    <w:rsid w:val="21C916A0"/>
    <w:rsid w:val="220B4804"/>
    <w:rsid w:val="23472415"/>
    <w:rsid w:val="278B653F"/>
    <w:rsid w:val="282475E3"/>
    <w:rsid w:val="29E421D9"/>
    <w:rsid w:val="2A635B13"/>
    <w:rsid w:val="2C6100C1"/>
    <w:rsid w:val="2D325E43"/>
    <w:rsid w:val="2F201611"/>
    <w:rsid w:val="3082607D"/>
    <w:rsid w:val="30B80651"/>
    <w:rsid w:val="31FF76AE"/>
    <w:rsid w:val="3235157C"/>
    <w:rsid w:val="3264220D"/>
    <w:rsid w:val="32A83563"/>
    <w:rsid w:val="32C7778E"/>
    <w:rsid w:val="38872456"/>
    <w:rsid w:val="3963178C"/>
    <w:rsid w:val="39B01A53"/>
    <w:rsid w:val="3CED0699"/>
    <w:rsid w:val="3EB02FD6"/>
    <w:rsid w:val="41CC2676"/>
    <w:rsid w:val="43BF53FF"/>
    <w:rsid w:val="43C76714"/>
    <w:rsid w:val="46B21672"/>
    <w:rsid w:val="496F4578"/>
    <w:rsid w:val="4CD805F1"/>
    <w:rsid w:val="4D3110EF"/>
    <w:rsid w:val="4F552460"/>
    <w:rsid w:val="4FCC6863"/>
    <w:rsid w:val="500A214A"/>
    <w:rsid w:val="522D604D"/>
    <w:rsid w:val="525A2CF0"/>
    <w:rsid w:val="5297585E"/>
    <w:rsid w:val="52AD7D6F"/>
    <w:rsid w:val="5549519D"/>
    <w:rsid w:val="5557596B"/>
    <w:rsid w:val="58BF28DA"/>
    <w:rsid w:val="59EC3BA2"/>
    <w:rsid w:val="5B596DFC"/>
    <w:rsid w:val="5C3A6E47"/>
    <w:rsid w:val="5CB5471F"/>
    <w:rsid w:val="5DAE6D00"/>
    <w:rsid w:val="5DF03945"/>
    <w:rsid w:val="5F03526B"/>
    <w:rsid w:val="62E515AF"/>
    <w:rsid w:val="637C2815"/>
    <w:rsid w:val="666B4FDC"/>
    <w:rsid w:val="682144B7"/>
    <w:rsid w:val="6AB63BFC"/>
    <w:rsid w:val="6B503F77"/>
    <w:rsid w:val="6D092FE5"/>
    <w:rsid w:val="6E311968"/>
    <w:rsid w:val="6F2968A7"/>
    <w:rsid w:val="6FBB9088"/>
    <w:rsid w:val="71D87094"/>
    <w:rsid w:val="728C6D3C"/>
    <w:rsid w:val="76D02235"/>
    <w:rsid w:val="7A353D0B"/>
    <w:rsid w:val="7AC9729F"/>
    <w:rsid w:val="7ADDD9AD"/>
    <w:rsid w:val="7CB927D8"/>
    <w:rsid w:val="7CC72598"/>
    <w:rsid w:val="7D3A5E2F"/>
    <w:rsid w:val="7D843A7F"/>
    <w:rsid w:val="7DBD4D8A"/>
    <w:rsid w:val="7DF84014"/>
    <w:rsid w:val="7EA57E2B"/>
    <w:rsid w:val="B76769DB"/>
    <w:rsid w:val="B9BB1B33"/>
    <w:rsid w:val="E2F128F4"/>
    <w:rsid w:val="F3DB1520"/>
    <w:rsid w:val="FBFEA4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autoRedefine/>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9"/>
    <w:autoRedefine/>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30"/>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31"/>
    <w:autoRedefine/>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32"/>
    <w:autoRedefine/>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33"/>
    <w:autoRedefine/>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34"/>
    <w:autoRedefine/>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5"/>
    <w:autoRedefine/>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6"/>
    <w:autoRedefine/>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2">
    <w:name w:val="Default Paragraph Font"/>
    <w:autoRedefine/>
    <w:semiHidden/>
    <w:unhideWhenUsed/>
    <w:qFormat/>
    <w:uiPriority w:val="1"/>
  </w:style>
  <w:style w:type="table" w:default="1" w:styleId="21">
    <w:name w:val="Normal Table"/>
    <w:autoRedefine/>
    <w:semiHidden/>
    <w:unhideWhenUsed/>
    <w:qFormat/>
    <w:uiPriority w:val="99"/>
    <w:tblPr>
      <w:tblCellMar>
        <w:top w:w="0" w:type="dxa"/>
        <w:left w:w="108" w:type="dxa"/>
        <w:bottom w:w="0" w:type="dxa"/>
        <w:right w:w="108" w:type="dxa"/>
      </w:tblCellMar>
    </w:tblPr>
  </w:style>
  <w:style w:type="paragraph" w:styleId="2">
    <w:name w:val="Title"/>
    <w:basedOn w:val="1"/>
    <w:next w:val="1"/>
    <w:link w:val="37"/>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text"/>
    <w:basedOn w:val="1"/>
    <w:autoRedefine/>
    <w:semiHidden/>
    <w:unhideWhenUsed/>
    <w:qFormat/>
    <w:uiPriority w:val="99"/>
    <w:pPr>
      <w:jc w:val="left"/>
    </w:pPr>
  </w:style>
  <w:style w:type="paragraph" w:styleId="13">
    <w:name w:val="Body Text"/>
    <w:basedOn w:val="1"/>
    <w:next w:val="1"/>
    <w:autoRedefine/>
    <w:qFormat/>
    <w:uiPriority w:val="0"/>
    <w:pPr>
      <w:spacing w:after="120"/>
    </w:pPr>
  </w:style>
  <w:style w:type="paragraph" w:styleId="14">
    <w:name w:val="Body Text Indent"/>
    <w:basedOn w:val="1"/>
    <w:autoRedefine/>
    <w:qFormat/>
    <w:uiPriority w:val="0"/>
    <w:pPr>
      <w:spacing w:after="120"/>
      <w:ind w:left="420" w:leftChars="200"/>
    </w:pPr>
    <w:rPr>
      <w:rFonts w:ascii="Calibri" w:hAnsi="Calibri"/>
    </w:rPr>
  </w:style>
  <w:style w:type="paragraph" w:styleId="15">
    <w:name w:val="Balloon Text"/>
    <w:basedOn w:val="1"/>
    <w:link w:val="53"/>
    <w:autoRedefine/>
    <w:semiHidden/>
    <w:unhideWhenUsed/>
    <w:qFormat/>
    <w:uiPriority w:val="99"/>
    <w:rPr>
      <w:sz w:val="18"/>
      <w:szCs w:val="18"/>
    </w:rPr>
  </w:style>
  <w:style w:type="paragraph" w:styleId="16">
    <w:name w:val="footer"/>
    <w:basedOn w:val="1"/>
    <w:link w:val="52"/>
    <w:autoRedefine/>
    <w:unhideWhenUsed/>
    <w:qFormat/>
    <w:uiPriority w:val="99"/>
    <w:pPr>
      <w:tabs>
        <w:tab w:val="center" w:pos="4153"/>
        <w:tab w:val="right" w:pos="8306"/>
      </w:tabs>
      <w:snapToGrid w:val="0"/>
      <w:jc w:val="left"/>
    </w:pPr>
    <w:rPr>
      <w:rFonts w:ascii="Calibri" w:hAnsi="Calibri"/>
      <w:sz w:val="18"/>
      <w:szCs w:val="18"/>
    </w:rPr>
  </w:style>
  <w:style w:type="paragraph" w:styleId="17">
    <w:name w:val="header"/>
    <w:basedOn w:val="1"/>
    <w:link w:val="51"/>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8">
    <w:name w:val="Subtitle"/>
    <w:basedOn w:val="1"/>
    <w:next w:val="1"/>
    <w:link w:val="38"/>
    <w:autoRedefine/>
    <w:qFormat/>
    <w:uiPriority w:val="11"/>
    <w:pPr>
      <w:widowControl/>
      <w:spacing w:after="60"/>
      <w:jc w:val="center"/>
      <w:outlineLvl w:val="1"/>
    </w:pPr>
    <w:rPr>
      <w:rFonts w:asciiTheme="majorHAnsi" w:hAnsiTheme="majorHAnsi" w:eastAsiaTheme="majorEastAsia"/>
      <w:kern w:val="0"/>
      <w:sz w:val="24"/>
    </w:rPr>
  </w:style>
  <w:style w:type="paragraph" w:styleId="19">
    <w:name w:val="Body Text First Indent"/>
    <w:basedOn w:val="13"/>
    <w:autoRedefine/>
    <w:qFormat/>
    <w:uiPriority w:val="0"/>
    <w:pPr>
      <w:spacing w:after="0"/>
      <w:ind w:firstLine="200" w:firstLineChars="200"/>
    </w:pPr>
  </w:style>
  <w:style w:type="paragraph" w:styleId="20">
    <w:name w:val="Body Text First Indent 2"/>
    <w:basedOn w:val="14"/>
    <w:autoRedefine/>
    <w:qFormat/>
    <w:uiPriority w:val="0"/>
    <w:pPr>
      <w:ind w:firstLine="420" w:firstLineChars="200"/>
    </w:pPr>
  </w:style>
  <w:style w:type="character" w:styleId="23">
    <w:name w:val="Strong"/>
    <w:basedOn w:val="22"/>
    <w:autoRedefine/>
    <w:qFormat/>
    <w:uiPriority w:val="0"/>
    <w:rPr>
      <w:b/>
      <w:bCs/>
    </w:rPr>
  </w:style>
  <w:style w:type="character" w:styleId="24">
    <w:name w:val="Emphasis"/>
    <w:basedOn w:val="22"/>
    <w:autoRedefine/>
    <w:qFormat/>
    <w:uiPriority w:val="20"/>
    <w:rPr>
      <w:rFonts w:asciiTheme="minorHAnsi" w:hAnsiTheme="minorHAnsi"/>
      <w:b/>
      <w:i/>
      <w:iCs/>
    </w:rPr>
  </w:style>
  <w:style w:type="character" w:customStyle="1" w:styleId="25">
    <w:name w:val="标题 1 字符"/>
    <w:basedOn w:val="22"/>
    <w:link w:val="3"/>
    <w:autoRedefine/>
    <w:qFormat/>
    <w:uiPriority w:val="9"/>
    <w:rPr>
      <w:rFonts w:asciiTheme="majorHAnsi" w:hAnsiTheme="majorHAnsi" w:eastAsiaTheme="majorEastAsia"/>
      <w:b/>
      <w:bCs/>
      <w:kern w:val="32"/>
      <w:sz w:val="32"/>
      <w:szCs w:val="32"/>
    </w:rPr>
  </w:style>
  <w:style w:type="paragraph" w:customStyle="1" w:styleId="26">
    <w:name w:val="样式1"/>
    <w:basedOn w:val="27"/>
    <w:next w:val="28"/>
    <w:autoRedefine/>
    <w:qFormat/>
    <w:uiPriority w:val="0"/>
  </w:style>
  <w:style w:type="paragraph" w:customStyle="1" w:styleId="27">
    <w:name w:val="正文文本1"/>
    <w:basedOn w:val="1"/>
    <w:autoRedefine/>
    <w:qFormat/>
    <w:uiPriority w:val="0"/>
    <w:pPr>
      <w:shd w:val="clear" w:color="auto" w:fill="FFFFFF"/>
      <w:spacing w:line="398" w:lineRule="auto"/>
      <w:ind w:firstLine="400"/>
      <w:jc w:val="left"/>
    </w:pPr>
    <w:rPr>
      <w:rFonts w:ascii="MingLiU" w:hAnsi="MingLiU" w:eastAsia="MingLiU" w:cs="MingLiU"/>
      <w:sz w:val="30"/>
      <w:szCs w:val="30"/>
      <w:lang w:val="zh-CN" w:bidi="zh-CN"/>
    </w:rPr>
  </w:style>
  <w:style w:type="paragraph" w:customStyle="1" w:styleId="28">
    <w:name w:val="样式2"/>
    <w:basedOn w:val="1"/>
    <w:autoRedefine/>
    <w:qFormat/>
    <w:uiPriority w:val="0"/>
    <w:rPr>
      <w:rFonts w:ascii="Calibri" w:hAnsi="Calibri"/>
    </w:rPr>
  </w:style>
  <w:style w:type="character" w:customStyle="1" w:styleId="29">
    <w:name w:val="标题 2 字符"/>
    <w:basedOn w:val="22"/>
    <w:link w:val="4"/>
    <w:autoRedefine/>
    <w:semiHidden/>
    <w:qFormat/>
    <w:uiPriority w:val="9"/>
    <w:rPr>
      <w:rFonts w:asciiTheme="majorHAnsi" w:hAnsiTheme="majorHAnsi" w:eastAsiaTheme="majorEastAsia"/>
      <w:b/>
      <w:bCs/>
      <w:i/>
      <w:iCs/>
      <w:sz w:val="28"/>
      <w:szCs w:val="28"/>
    </w:rPr>
  </w:style>
  <w:style w:type="character" w:customStyle="1" w:styleId="30">
    <w:name w:val="标题 3 字符"/>
    <w:basedOn w:val="22"/>
    <w:link w:val="5"/>
    <w:autoRedefine/>
    <w:semiHidden/>
    <w:qFormat/>
    <w:uiPriority w:val="9"/>
    <w:rPr>
      <w:rFonts w:asciiTheme="majorHAnsi" w:hAnsiTheme="majorHAnsi" w:eastAsiaTheme="majorEastAsia"/>
      <w:b/>
      <w:bCs/>
      <w:sz w:val="26"/>
      <w:szCs w:val="26"/>
    </w:rPr>
  </w:style>
  <w:style w:type="character" w:customStyle="1" w:styleId="31">
    <w:name w:val="标题 4 字符"/>
    <w:basedOn w:val="22"/>
    <w:link w:val="6"/>
    <w:autoRedefine/>
    <w:semiHidden/>
    <w:qFormat/>
    <w:uiPriority w:val="9"/>
    <w:rPr>
      <w:b/>
      <w:bCs/>
      <w:sz w:val="28"/>
      <w:szCs w:val="28"/>
    </w:rPr>
  </w:style>
  <w:style w:type="character" w:customStyle="1" w:styleId="32">
    <w:name w:val="标题 5 字符"/>
    <w:basedOn w:val="22"/>
    <w:link w:val="7"/>
    <w:autoRedefine/>
    <w:semiHidden/>
    <w:qFormat/>
    <w:uiPriority w:val="9"/>
    <w:rPr>
      <w:b/>
      <w:bCs/>
      <w:i/>
      <w:iCs/>
      <w:sz w:val="26"/>
      <w:szCs w:val="26"/>
    </w:rPr>
  </w:style>
  <w:style w:type="character" w:customStyle="1" w:styleId="33">
    <w:name w:val="标题 6 字符"/>
    <w:basedOn w:val="22"/>
    <w:link w:val="8"/>
    <w:autoRedefine/>
    <w:semiHidden/>
    <w:qFormat/>
    <w:uiPriority w:val="9"/>
    <w:rPr>
      <w:b/>
      <w:bCs/>
    </w:rPr>
  </w:style>
  <w:style w:type="character" w:customStyle="1" w:styleId="34">
    <w:name w:val="标题 7 字符"/>
    <w:basedOn w:val="22"/>
    <w:link w:val="9"/>
    <w:autoRedefine/>
    <w:semiHidden/>
    <w:qFormat/>
    <w:uiPriority w:val="9"/>
    <w:rPr>
      <w:sz w:val="24"/>
      <w:szCs w:val="24"/>
    </w:rPr>
  </w:style>
  <w:style w:type="character" w:customStyle="1" w:styleId="35">
    <w:name w:val="标题 8 字符"/>
    <w:basedOn w:val="22"/>
    <w:link w:val="10"/>
    <w:autoRedefine/>
    <w:semiHidden/>
    <w:qFormat/>
    <w:uiPriority w:val="9"/>
    <w:rPr>
      <w:i/>
      <w:iCs/>
      <w:sz w:val="24"/>
      <w:szCs w:val="24"/>
    </w:rPr>
  </w:style>
  <w:style w:type="character" w:customStyle="1" w:styleId="36">
    <w:name w:val="标题 9 字符"/>
    <w:basedOn w:val="22"/>
    <w:link w:val="11"/>
    <w:autoRedefine/>
    <w:semiHidden/>
    <w:qFormat/>
    <w:uiPriority w:val="9"/>
    <w:rPr>
      <w:rFonts w:asciiTheme="majorHAnsi" w:hAnsiTheme="majorHAnsi" w:eastAsiaTheme="majorEastAsia"/>
    </w:rPr>
  </w:style>
  <w:style w:type="character" w:customStyle="1" w:styleId="37">
    <w:name w:val="标题 字符"/>
    <w:basedOn w:val="22"/>
    <w:link w:val="2"/>
    <w:autoRedefine/>
    <w:qFormat/>
    <w:uiPriority w:val="10"/>
    <w:rPr>
      <w:rFonts w:asciiTheme="majorHAnsi" w:hAnsiTheme="majorHAnsi" w:eastAsiaTheme="majorEastAsia"/>
      <w:b/>
      <w:bCs/>
      <w:kern w:val="28"/>
      <w:sz w:val="32"/>
      <w:szCs w:val="32"/>
    </w:rPr>
  </w:style>
  <w:style w:type="character" w:customStyle="1" w:styleId="38">
    <w:name w:val="副标题 字符"/>
    <w:basedOn w:val="22"/>
    <w:link w:val="18"/>
    <w:autoRedefine/>
    <w:qFormat/>
    <w:uiPriority w:val="11"/>
    <w:rPr>
      <w:rFonts w:asciiTheme="majorHAnsi" w:hAnsiTheme="majorHAnsi" w:eastAsiaTheme="majorEastAsia"/>
      <w:sz w:val="24"/>
      <w:szCs w:val="24"/>
    </w:rPr>
  </w:style>
  <w:style w:type="paragraph" w:styleId="39">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40">
    <w:name w:val="List Paragraph"/>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styleId="41">
    <w:name w:val="Quote"/>
    <w:basedOn w:val="1"/>
    <w:next w:val="1"/>
    <w:link w:val="42"/>
    <w:autoRedefine/>
    <w:qFormat/>
    <w:uiPriority w:val="29"/>
    <w:pPr>
      <w:widowControl/>
      <w:jc w:val="left"/>
    </w:pPr>
    <w:rPr>
      <w:rFonts w:asciiTheme="minorHAnsi" w:hAnsiTheme="minorHAnsi" w:eastAsiaTheme="minorEastAsia"/>
      <w:i/>
      <w:kern w:val="0"/>
      <w:sz w:val="24"/>
    </w:rPr>
  </w:style>
  <w:style w:type="character" w:customStyle="1" w:styleId="42">
    <w:name w:val="引用 字符"/>
    <w:basedOn w:val="22"/>
    <w:link w:val="41"/>
    <w:autoRedefine/>
    <w:qFormat/>
    <w:uiPriority w:val="29"/>
    <w:rPr>
      <w:i/>
      <w:sz w:val="24"/>
      <w:szCs w:val="24"/>
    </w:rPr>
  </w:style>
  <w:style w:type="paragraph" w:styleId="43">
    <w:name w:val="Intense Quote"/>
    <w:basedOn w:val="1"/>
    <w:next w:val="1"/>
    <w:link w:val="44"/>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44">
    <w:name w:val="明显引用 字符"/>
    <w:basedOn w:val="22"/>
    <w:link w:val="43"/>
    <w:autoRedefine/>
    <w:qFormat/>
    <w:uiPriority w:val="30"/>
    <w:rPr>
      <w:b/>
      <w:i/>
      <w:sz w:val="24"/>
    </w:rPr>
  </w:style>
  <w:style w:type="character" w:customStyle="1" w:styleId="45">
    <w:name w:val="不明显强调1"/>
    <w:autoRedefine/>
    <w:qFormat/>
    <w:uiPriority w:val="19"/>
    <w:rPr>
      <w:i/>
      <w:color w:val="595959" w:themeColor="text1" w:themeTint="A6"/>
      <w14:textFill>
        <w14:solidFill>
          <w14:schemeClr w14:val="tx1">
            <w14:lumMod w14:val="65000"/>
            <w14:lumOff w14:val="35000"/>
          </w14:schemeClr>
        </w14:solidFill>
      </w14:textFill>
    </w:rPr>
  </w:style>
  <w:style w:type="character" w:customStyle="1" w:styleId="46">
    <w:name w:val="明显强调1"/>
    <w:basedOn w:val="22"/>
    <w:autoRedefine/>
    <w:qFormat/>
    <w:uiPriority w:val="21"/>
    <w:rPr>
      <w:b/>
      <w:i/>
      <w:sz w:val="24"/>
      <w:szCs w:val="24"/>
      <w:u w:val="single"/>
    </w:rPr>
  </w:style>
  <w:style w:type="character" w:customStyle="1" w:styleId="47">
    <w:name w:val="不明显参考1"/>
    <w:basedOn w:val="22"/>
    <w:autoRedefine/>
    <w:qFormat/>
    <w:uiPriority w:val="31"/>
    <w:rPr>
      <w:sz w:val="24"/>
      <w:szCs w:val="24"/>
      <w:u w:val="single"/>
    </w:rPr>
  </w:style>
  <w:style w:type="character" w:customStyle="1" w:styleId="48">
    <w:name w:val="明显参考1"/>
    <w:basedOn w:val="22"/>
    <w:autoRedefine/>
    <w:qFormat/>
    <w:uiPriority w:val="32"/>
    <w:rPr>
      <w:b/>
      <w:sz w:val="24"/>
      <w:u w:val="single"/>
    </w:rPr>
  </w:style>
  <w:style w:type="character" w:customStyle="1" w:styleId="49">
    <w:name w:val="书籍标题1"/>
    <w:basedOn w:val="22"/>
    <w:autoRedefine/>
    <w:qFormat/>
    <w:uiPriority w:val="33"/>
    <w:rPr>
      <w:rFonts w:asciiTheme="majorHAnsi" w:hAnsiTheme="majorHAnsi" w:eastAsiaTheme="majorEastAsia"/>
      <w:b/>
      <w:i/>
      <w:sz w:val="24"/>
      <w:szCs w:val="24"/>
    </w:rPr>
  </w:style>
  <w:style w:type="paragraph" w:customStyle="1" w:styleId="50">
    <w:name w:val="TOC 标题1"/>
    <w:basedOn w:val="3"/>
    <w:next w:val="1"/>
    <w:autoRedefine/>
    <w:semiHidden/>
    <w:unhideWhenUsed/>
    <w:qFormat/>
    <w:uiPriority w:val="39"/>
    <w:pPr>
      <w:outlineLvl w:val="9"/>
    </w:pPr>
    <w:rPr>
      <w:lang w:eastAsia="en-US" w:bidi="en-US"/>
    </w:rPr>
  </w:style>
  <w:style w:type="character" w:customStyle="1" w:styleId="51">
    <w:name w:val="页眉 字符"/>
    <w:basedOn w:val="22"/>
    <w:link w:val="17"/>
    <w:autoRedefine/>
    <w:qFormat/>
    <w:uiPriority w:val="99"/>
    <w:rPr>
      <w:rFonts w:ascii="Calibri" w:hAnsi="Calibri" w:eastAsia="宋体"/>
      <w:kern w:val="2"/>
      <w:sz w:val="18"/>
      <w:szCs w:val="18"/>
    </w:rPr>
  </w:style>
  <w:style w:type="character" w:customStyle="1" w:styleId="52">
    <w:name w:val="页脚 字符"/>
    <w:basedOn w:val="22"/>
    <w:link w:val="16"/>
    <w:autoRedefine/>
    <w:qFormat/>
    <w:uiPriority w:val="99"/>
    <w:rPr>
      <w:rFonts w:ascii="Calibri" w:hAnsi="Calibri" w:eastAsia="宋体"/>
      <w:kern w:val="2"/>
      <w:sz w:val="18"/>
      <w:szCs w:val="18"/>
    </w:rPr>
  </w:style>
  <w:style w:type="character" w:customStyle="1" w:styleId="53">
    <w:name w:val="批注框文本 字符"/>
    <w:basedOn w:val="22"/>
    <w:link w:val="15"/>
    <w:autoRedefine/>
    <w:semiHidden/>
    <w:qFormat/>
    <w:uiPriority w:val="99"/>
    <w:rPr>
      <w:rFonts w:ascii="Times New Roman" w:hAnsi="Times New Roman" w:eastAsia="宋体"/>
      <w:kern w:val="2"/>
      <w:sz w:val="18"/>
      <w:szCs w:val="18"/>
    </w:rPr>
  </w:style>
  <w:style w:type="paragraph" w:customStyle="1" w:styleId="54">
    <w:name w:val="Heading2"/>
    <w:next w:val="1"/>
    <w:autoRedefine/>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5">
    <w:name w:val="fontstyle01"/>
    <w:autoRedefine/>
    <w:qFormat/>
    <w:uiPriority w:val="0"/>
    <w:rPr>
      <w:rFonts w:ascii="仿宋_GB2312" w:hAnsi="仿宋_GB2312" w:eastAsia="仿宋_GB2312" w:cs="仿宋_GB2312"/>
      <w:color w:val="000000"/>
      <w:sz w:val="32"/>
      <w:szCs w:val="32"/>
    </w:rPr>
  </w:style>
  <w:style w:type="paragraph" w:customStyle="1" w:styleId="56">
    <w:name w:val="Body Text First Indent1"/>
    <w:basedOn w:val="13"/>
    <w:autoRedefine/>
    <w:qFormat/>
    <w:uiPriority w:val="99"/>
    <w:pPr>
      <w:spacing w:after="0"/>
      <w:ind w:firstLine="420" w:firstLineChars="100"/>
    </w:pPr>
    <w:rPr>
      <w:rFonts w:hAnsi="仿宋" w:cs="Calibri"/>
      <w:szCs w:val="21"/>
      <w:lang w:val="zh-CN" w:bidi="zh-CN"/>
    </w:rPr>
  </w:style>
  <w:style w:type="paragraph" w:customStyle="1" w:styleId="57">
    <w:name w:val="闻政-正文段落文字"/>
    <w:basedOn w:val="1"/>
    <w:autoRedefine/>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11188</Words>
  <Characters>11829</Characters>
  <Lines>50</Lines>
  <Paragraphs>14</Paragraphs>
  <TotalTime>11</TotalTime>
  <ScaleCrop>false</ScaleCrop>
  <LinksUpToDate>false</LinksUpToDate>
  <CharactersWithSpaces>11852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2020-07-06T16:35:00Z</dcterms:created>
  <dc:creator>赵 恺（预算处）</dc:creator>
  <cp:lastModifiedBy>桔子</cp:lastModifiedBy>
  <cp:lastPrinted>2020-01-02T16:02:00Z</cp:lastPrinted>
  <dcterms:modified xsi:type="dcterms:W3CDTF">2024-08-12T10:16:14Z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E1105AF120A3464485D65FCC77749838</vt:lpwstr>
  </property>
  <property fmtid="{D5CDD505-2E9C-101B-9397-08002B2CF9AE}" pid="4" name="KSOSaveFontToCloudKey">
    <vt:lpwstr>0_btnclosed</vt:lpwstr>
  </property>
</Properties>
</file>