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A332A">
      <w:pPr>
        <w:jc w:val="center"/>
        <w:rPr>
          <w:rFonts w:hint="default" w:ascii="Times New Roman" w:hAnsi="Times New Roman" w:eastAsia="宋体" w:cs="Times New Roman"/>
          <w:b/>
          <w:bCs/>
          <w:color w:val="auto"/>
          <w:sz w:val="48"/>
          <w:szCs w:val="48"/>
          <w:highlight w:val="none"/>
        </w:rPr>
      </w:pPr>
    </w:p>
    <w:p w14:paraId="6A475472">
      <w:pPr>
        <w:jc w:val="center"/>
        <w:rPr>
          <w:rFonts w:hint="default" w:ascii="Times New Roman" w:hAnsi="Times New Roman" w:eastAsia="宋体" w:cs="Times New Roman"/>
          <w:b/>
          <w:bCs/>
          <w:color w:val="auto"/>
          <w:sz w:val="48"/>
          <w:szCs w:val="48"/>
          <w:highlight w:val="none"/>
        </w:rPr>
      </w:pPr>
    </w:p>
    <w:p w14:paraId="69FB9294">
      <w:pPr>
        <w:jc w:val="center"/>
        <w:rPr>
          <w:rFonts w:hint="default" w:ascii="Times New Roman" w:hAnsi="Times New Roman" w:eastAsia="宋体" w:cs="Times New Roman"/>
          <w:b/>
          <w:bCs/>
          <w:color w:val="auto"/>
          <w:sz w:val="48"/>
          <w:szCs w:val="48"/>
          <w:highlight w:val="none"/>
        </w:rPr>
      </w:pPr>
    </w:p>
    <w:p w14:paraId="4705BCF1">
      <w:pPr>
        <w:jc w:val="center"/>
        <w:rPr>
          <w:rFonts w:hint="default" w:ascii="Times New Roman" w:hAnsi="Times New Roman" w:eastAsia="宋体" w:cs="Times New Roman"/>
          <w:b/>
          <w:bCs/>
          <w:color w:val="auto"/>
          <w:sz w:val="52"/>
          <w:szCs w:val="52"/>
          <w:highlight w:val="none"/>
        </w:rPr>
      </w:pPr>
      <w:r>
        <w:rPr>
          <w:rFonts w:hint="default" w:ascii="Times New Roman" w:hAnsi="Times New Roman" w:eastAsia="宋体" w:cs="Times New Roman"/>
          <w:b/>
          <w:bCs/>
          <w:color w:val="auto"/>
          <w:sz w:val="52"/>
          <w:szCs w:val="52"/>
          <w:highlight w:val="none"/>
        </w:rPr>
        <w:t>项目支出绩效评价报告</w:t>
      </w:r>
    </w:p>
    <w:p w14:paraId="23B7F67F">
      <w:pPr>
        <w:jc w:val="center"/>
        <w:rPr>
          <w:rFonts w:hint="default" w:ascii="Times New Roman" w:hAnsi="Times New Roman" w:eastAsia="宋体" w:cs="Times New Roman"/>
          <w:b/>
          <w:bCs/>
          <w:color w:val="auto"/>
          <w:sz w:val="48"/>
          <w:szCs w:val="48"/>
          <w:highlight w:val="none"/>
        </w:rPr>
      </w:pPr>
    </w:p>
    <w:p w14:paraId="238A6747">
      <w:pPr>
        <w:widowControl/>
        <w:spacing w:line="560" w:lineRule="exact"/>
        <w:jc w:val="center"/>
        <w:rPr>
          <w:rFonts w:hint="default" w:ascii="Times New Roman" w:hAnsi="Times New Roman" w:cs="Times New Roman"/>
          <w:b/>
          <w:color w:val="auto"/>
          <w:kern w:val="0"/>
          <w:sz w:val="50"/>
          <w:szCs w:val="50"/>
          <w:highlight w:val="none"/>
          <w:lang w:bidi="en-US"/>
        </w:rPr>
      </w:pPr>
      <w:r>
        <w:rPr>
          <w:rFonts w:hint="default" w:ascii="Times New Roman" w:hAnsi="Times New Roman" w:eastAsia="方正小标宋简体" w:cs="Times New Roman"/>
          <w:color w:val="auto"/>
          <w:kern w:val="0"/>
          <w:sz w:val="36"/>
          <w:szCs w:val="36"/>
          <w:highlight w:val="none"/>
        </w:rPr>
        <w:t>（202</w:t>
      </w:r>
      <w:r>
        <w:rPr>
          <w:rFonts w:hint="default" w:ascii="Times New Roman" w:hAnsi="Times New Roman" w:eastAsia="方正小标宋简体" w:cs="Times New Roman"/>
          <w:color w:val="auto"/>
          <w:kern w:val="0"/>
          <w:sz w:val="36"/>
          <w:szCs w:val="36"/>
          <w:highlight w:val="none"/>
          <w:lang w:val="en-US" w:eastAsia="zh-CN"/>
        </w:rPr>
        <w:t>3</w:t>
      </w:r>
      <w:r>
        <w:rPr>
          <w:rFonts w:hint="default" w:ascii="Times New Roman" w:hAnsi="Times New Roman" w:eastAsia="方正小标宋简体" w:cs="Times New Roman"/>
          <w:color w:val="auto"/>
          <w:kern w:val="0"/>
          <w:sz w:val="36"/>
          <w:szCs w:val="36"/>
          <w:highlight w:val="none"/>
        </w:rPr>
        <w:t>年度）</w:t>
      </w:r>
    </w:p>
    <w:p w14:paraId="686709D5">
      <w:pPr>
        <w:spacing w:line="480" w:lineRule="auto"/>
        <w:jc w:val="center"/>
        <w:rPr>
          <w:rFonts w:hint="default" w:ascii="Times New Roman" w:hAnsi="Times New Roman" w:cs="Times New Roman"/>
          <w:b/>
          <w:color w:val="auto"/>
          <w:kern w:val="0"/>
          <w:sz w:val="50"/>
          <w:szCs w:val="50"/>
          <w:highlight w:val="none"/>
          <w:lang w:bidi="en-US"/>
        </w:rPr>
      </w:pPr>
    </w:p>
    <w:p w14:paraId="5AF1D8C0">
      <w:pPr>
        <w:spacing w:line="480" w:lineRule="auto"/>
        <w:jc w:val="center"/>
        <w:rPr>
          <w:rFonts w:hint="default" w:ascii="Times New Roman" w:hAnsi="Times New Roman" w:cs="Times New Roman"/>
          <w:b/>
          <w:color w:val="auto"/>
          <w:kern w:val="0"/>
          <w:sz w:val="50"/>
          <w:szCs w:val="50"/>
          <w:highlight w:val="none"/>
          <w:lang w:bidi="en-US"/>
        </w:rPr>
      </w:pPr>
    </w:p>
    <w:p w14:paraId="6B614E2A">
      <w:pPr>
        <w:spacing w:line="480" w:lineRule="auto"/>
        <w:jc w:val="center"/>
        <w:rPr>
          <w:rFonts w:hint="default" w:ascii="Times New Roman" w:hAnsi="Times New Roman" w:cs="Times New Roman"/>
          <w:b/>
          <w:color w:val="auto"/>
          <w:kern w:val="0"/>
          <w:sz w:val="50"/>
          <w:szCs w:val="50"/>
          <w:highlight w:val="none"/>
          <w:lang w:bidi="en-US"/>
        </w:rPr>
      </w:pPr>
    </w:p>
    <w:p w14:paraId="582C1212">
      <w:pPr>
        <w:spacing w:line="480" w:lineRule="auto"/>
        <w:jc w:val="center"/>
        <w:rPr>
          <w:rFonts w:hint="default" w:ascii="Times New Roman" w:hAnsi="Times New Roman" w:cs="Times New Roman"/>
          <w:b/>
          <w:color w:val="auto"/>
          <w:kern w:val="0"/>
          <w:sz w:val="50"/>
          <w:szCs w:val="50"/>
          <w:highlight w:val="none"/>
          <w:lang w:bidi="en-US"/>
        </w:rPr>
      </w:pPr>
    </w:p>
    <w:p w14:paraId="0C0EC64E">
      <w:pPr>
        <w:spacing w:line="480" w:lineRule="auto"/>
        <w:jc w:val="center"/>
        <w:rPr>
          <w:rFonts w:hint="default" w:ascii="Times New Roman" w:hAnsi="Times New Roman" w:cs="Times New Roman"/>
          <w:b/>
          <w:color w:val="auto"/>
          <w:kern w:val="0"/>
          <w:sz w:val="50"/>
          <w:szCs w:val="50"/>
          <w:highlight w:val="none"/>
          <w:lang w:bidi="en-US"/>
        </w:rPr>
      </w:pPr>
    </w:p>
    <w:p w14:paraId="53761BDF">
      <w:pPr>
        <w:spacing w:line="560" w:lineRule="exact"/>
        <w:ind w:firstLine="321" w:firstLineChars="100"/>
        <w:rPr>
          <w:rFonts w:hint="default" w:ascii="Times New Roman" w:hAnsi="Times New Roman" w:eastAsia="宋体" w:cs="Times New Roman"/>
          <w:b/>
          <w:bCs/>
          <w:color w:val="auto"/>
          <w:kern w:val="0"/>
          <w:sz w:val="32"/>
          <w:szCs w:val="32"/>
          <w:highlight w:val="none"/>
        </w:rPr>
      </w:pPr>
      <w:r>
        <w:rPr>
          <w:rFonts w:hint="default" w:ascii="Times New Roman" w:hAnsi="Times New Roman" w:eastAsia="宋体" w:cs="Times New Roman"/>
          <w:b/>
          <w:bCs/>
          <w:color w:val="auto"/>
          <w:kern w:val="0"/>
          <w:sz w:val="32"/>
          <w:szCs w:val="32"/>
          <w:highlight w:val="none"/>
        </w:rPr>
        <w:t>项目名称：202</w:t>
      </w:r>
      <w:r>
        <w:rPr>
          <w:rFonts w:hint="default" w:ascii="Times New Roman" w:hAnsi="Times New Roman" w:eastAsia="宋体" w:cs="Times New Roman"/>
          <w:b/>
          <w:bCs/>
          <w:color w:val="auto"/>
          <w:kern w:val="0"/>
          <w:sz w:val="32"/>
          <w:szCs w:val="32"/>
          <w:highlight w:val="none"/>
          <w:lang w:val="en-US" w:eastAsia="zh-CN"/>
        </w:rPr>
        <w:t>3</w:t>
      </w:r>
      <w:r>
        <w:rPr>
          <w:rFonts w:hint="default" w:ascii="Times New Roman" w:hAnsi="Times New Roman" w:eastAsia="宋体" w:cs="Times New Roman"/>
          <w:b/>
          <w:bCs/>
          <w:color w:val="auto"/>
          <w:kern w:val="0"/>
          <w:sz w:val="32"/>
          <w:szCs w:val="32"/>
          <w:highlight w:val="none"/>
        </w:rPr>
        <w:t>年自治区食品安全抽检项目</w:t>
      </w:r>
      <w:r>
        <w:rPr>
          <w:rFonts w:hint="default" w:ascii="Times New Roman" w:hAnsi="Times New Roman" w:eastAsia="宋体" w:cs="Times New Roman"/>
          <w:b/>
          <w:bCs/>
          <w:color w:val="auto"/>
          <w:kern w:val="0"/>
          <w:sz w:val="32"/>
          <w:szCs w:val="32"/>
          <w:highlight w:val="none"/>
          <w:lang w:val="en-US" w:eastAsia="zh-CN"/>
        </w:rPr>
        <w:t>追加经费</w:t>
      </w:r>
    </w:p>
    <w:p w14:paraId="5B7A81F6">
      <w:pPr>
        <w:spacing w:line="560" w:lineRule="exact"/>
        <w:ind w:firstLine="321" w:firstLineChars="100"/>
        <w:rPr>
          <w:rFonts w:hint="default" w:ascii="Times New Roman" w:hAnsi="Times New Roman" w:eastAsia="宋体" w:cs="Times New Roman"/>
          <w:b/>
          <w:bCs/>
          <w:color w:val="auto"/>
          <w:kern w:val="0"/>
          <w:sz w:val="32"/>
          <w:szCs w:val="32"/>
          <w:highlight w:val="none"/>
        </w:rPr>
      </w:pPr>
      <w:r>
        <w:rPr>
          <w:rFonts w:hint="default" w:ascii="Times New Roman" w:hAnsi="Times New Roman" w:eastAsia="宋体" w:cs="Times New Roman"/>
          <w:b/>
          <w:bCs/>
          <w:color w:val="auto"/>
          <w:kern w:val="0"/>
          <w:sz w:val="32"/>
          <w:szCs w:val="32"/>
          <w:highlight w:val="none"/>
        </w:rPr>
        <w:t>实施单位（公章）：食品抽检处</w:t>
      </w:r>
    </w:p>
    <w:p w14:paraId="5DFBC724">
      <w:pPr>
        <w:spacing w:line="560" w:lineRule="exact"/>
        <w:ind w:firstLine="321" w:firstLineChars="100"/>
        <w:rPr>
          <w:rFonts w:hint="default" w:ascii="Times New Roman" w:hAnsi="Times New Roman" w:eastAsia="宋体" w:cs="Times New Roman"/>
          <w:b/>
          <w:bCs/>
          <w:color w:val="auto"/>
          <w:kern w:val="0"/>
          <w:sz w:val="32"/>
          <w:szCs w:val="32"/>
          <w:highlight w:val="none"/>
        </w:rPr>
      </w:pPr>
      <w:r>
        <w:rPr>
          <w:rFonts w:hint="default" w:ascii="Times New Roman" w:hAnsi="Times New Roman" w:eastAsia="宋体" w:cs="Times New Roman"/>
          <w:b/>
          <w:bCs/>
          <w:color w:val="auto"/>
          <w:kern w:val="0"/>
          <w:sz w:val="32"/>
          <w:szCs w:val="32"/>
          <w:highlight w:val="none"/>
        </w:rPr>
        <w:t>主管部门（公章）：自治区市场监管局</w:t>
      </w:r>
    </w:p>
    <w:p w14:paraId="0B3A622A">
      <w:pPr>
        <w:spacing w:line="560" w:lineRule="exact"/>
        <w:ind w:firstLine="321" w:firstLineChars="100"/>
        <w:rPr>
          <w:rFonts w:hint="default" w:ascii="Times New Roman" w:hAnsi="Times New Roman" w:eastAsia="宋体" w:cs="Times New Roman"/>
          <w:b/>
          <w:bCs/>
          <w:color w:val="auto"/>
          <w:kern w:val="0"/>
          <w:sz w:val="32"/>
          <w:szCs w:val="32"/>
          <w:highlight w:val="none"/>
          <w:lang w:eastAsia="zh-CN"/>
        </w:rPr>
      </w:pPr>
      <w:r>
        <w:rPr>
          <w:rFonts w:hint="default" w:ascii="Times New Roman" w:hAnsi="Times New Roman" w:eastAsia="宋体" w:cs="Times New Roman"/>
          <w:b/>
          <w:bCs/>
          <w:color w:val="auto"/>
          <w:kern w:val="0"/>
          <w:sz w:val="32"/>
          <w:szCs w:val="32"/>
          <w:highlight w:val="none"/>
        </w:rPr>
        <w:t>项目负责人（签章）：</w:t>
      </w:r>
      <w:r>
        <w:rPr>
          <w:rFonts w:hint="default" w:ascii="Times New Roman" w:hAnsi="Times New Roman" w:eastAsia="宋体" w:cs="Times New Roman"/>
          <w:b/>
          <w:bCs/>
          <w:color w:val="auto"/>
          <w:kern w:val="0"/>
          <w:sz w:val="32"/>
          <w:szCs w:val="32"/>
          <w:highlight w:val="none"/>
          <w:lang w:val="en-US" w:eastAsia="zh-CN"/>
        </w:rPr>
        <w:t>张华</w:t>
      </w:r>
    </w:p>
    <w:p w14:paraId="6D996737">
      <w:pPr>
        <w:spacing w:line="560" w:lineRule="exact"/>
        <w:ind w:firstLine="321" w:firstLineChars="100"/>
        <w:rPr>
          <w:rFonts w:hint="default" w:ascii="Times New Roman" w:hAnsi="Times New Roman" w:eastAsia="宋体" w:cs="Times New Roman"/>
          <w:b/>
          <w:bCs/>
          <w:color w:val="auto"/>
          <w:kern w:val="0"/>
          <w:sz w:val="32"/>
          <w:szCs w:val="32"/>
          <w:highlight w:val="none"/>
        </w:rPr>
      </w:pPr>
      <w:r>
        <w:rPr>
          <w:rFonts w:hint="default" w:ascii="Times New Roman" w:hAnsi="Times New Roman" w:eastAsia="宋体" w:cs="Times New Roman"/>
          <w:b/>
          <w:bCs/>
          <w:color w:val="auto"/>
          <w:kern w:val="0"/>
          <w:sz w:val="32"/>
          <w:szCs w:val="32"/>
          <w:highlight w:val="none"/>
        </w:rPr>
        <w:t>填报时间：202</w:t>
      </w:r>
      <w:r>
        <w:rPr>
          <w:rFonts w:hint="default" w:ascii="Times New Roman" w:hAnsi="Times New Roman" w:eastAsia="宋体" w:cs="Times New Roman"/>
          <w:b/>
          <w:bCs/>
          <w:color w:val="auto"/>
          <w:kern w:val="0"/>
          <w:sz w:val="32"/>
          <w:szCs w:val="32"/>
          <w:highlight w:val="none"/>
          <w:lang w:val="en-US" w:eastAsia="zh-CN"/>
        </w:rPr>
        <w:t>4</w:t>
      </w:r>
      <w:r>
        <w:rPr>
          <w:rFonts w:hint="default" w:ascii="Times New Roman" w:hAnsi="Times New Roman" w:eastAsia="宋体" w:cs="Times New Roman"/>
          <w:b/>
          <w:bCs/>
          <w:color w:val="auto"/>
          <w:kern w:val="0"/>
          <w:sz w:val="32"/>
          <w:szCs w:val="32"/>
          <w:highlight w:val="none"/>
        </w:rPr>
        <w:t>年</w:t>
      </w:r>
      <w:r>
        <w:rPr>
          <w:rFonts w:hint="eastAsia" w:eastAsia="宋体" w:cs="Times New Roman"/>
          <w:b/>
          <w:bCs/>
          <w:color w:val="auto"/>
          <w:kern w:val="0"/>
          <w:sz w:val="32"/>
          <w:szCs w:val="32"/>
          <w:highlight w:val="none"/>
          <w:lang w:val="en-US" w:eastAsia="zh-CN"/>
        </w:rPr>
        <w:t>3</w:t>
      </w:r>
      <w:r>
        <w:rPr>
          <w:rFonts w:hint="default" w:ascii="Times New Roman" w:hAnsi="Times New Roman" w:eastAsia="宋体" w:cs="Times New Roman"/>
          <w:b/>
          <w:bCs/>
          <w:color w:val="auto"/>
          <w:kern w:val="0"/>
          <w:sz w:val="32"/>
          <w:szCs w:val="32"/>
          <w:highlight w:val="none"/>
        </w:rPr>
        <w:t>月</w:t>
      </w:r>
      <w:r>
        <w:rPr>
          <w:rFonts w:hint="eastAsia" w:eastAsia="宋体" w:cs="Times New Roman"/>
          <w:b/>
          <w:bCs/>
          <w:color w:val="auto"/>
          <w:kern w:val="0"/>
          <w:sz w:val="32"/>
          <w:szCs w:val="32"/>
          <w:highlight w:val="none"/>
          <w:lang w:val="en-US" w:eastAsia="zh-CN"/>
        </w:rPr>
        <w:t>2</w:t>
      </w:r>
      <w:r>
        <w:rPr>
          <w:rFonts w:hint="default" w:ascii="Times New Roman" w:hAnsi="Times New Roman" w:eastAsia="宋体" w:cs="Times New Roman"/>
          <w:b/>
          <w:bCs/>
          <w:color w:val="auto"/>
          <w:kern w:val="0"/>
          <w:sz w:val="32"/>
          <w:szCs w:val="32"/>
          <w:highlight w:val="none"/>
          <w:lang w:val="en-US" w:eastAsia="zh-CN"/>
        </w:rPr>
        <w:t>8</w:t>
      </w:r>
      <w:r>
        <w:rPr>
          <w:rFonts w:hint="default" w:ascii="Times New Roman" w:hAnsi="Times New Roman" w:eastAsia="宋体" w:cs="Times New Roman"/>
          <w:b/>
          <w:bCs/>
          <w:color w:val="auto"/>
          <w:kern w:val="0"/>
          <w:sz w:val="32"/>
          <w:szCs w:val="32"/>
          <w:highlight w:val="none"/>
        </w:rPr>
        <w:t>日</w:t>
      </w:r>
    </w:p>
    <w:p w14:paraId="1B6925A2">
      <w:pPr>
        <w:jc w:val="center"/>
        <w:rPr>
          <w:rFonts w:hint="default" w:ascii="Times New Roman" w:hAnsi="Times New Roman" w:eastAsia="宋体" w:cs="Times New Roman"/>
          <w:b/>
          <w:bCs/>
          <w:color w:val="auto"/>
          <w:sz w:val="36"/>
          <w:szCs w:val="36"/>
          <w:highlight w:val="none"/>
        </w:rPr>
      </w:pPr>
    </w:p>
    <w:p w14:paraId="11989AC0">
      <w:pPr>
        <w:widowControl/>
        <w:jc w:val="left"/>
        <w:rPr>
          <w:rFonts w:hint="default" w:ascii="Times New Roman" w:hAnsi="Times New Roman" w:eastAsia="宋体" w:cs="Times New Roman"/>
          <w:b/>
          <w:bCs/>
          <w:color w:val="auto"/>
          <w:sz w:val="36"/>
          <w:szCs w:val="36"/>
          <w:highlight w:val="none"/>
        </w:rPr>
      </w:pPr>
      <w:r>
        <w:rPr>
          <w:rFonts w:hint="default" w:ascii="Times New Roman" w:hAnsi="Times New Roman" w:eastAsia="宋体" w:cs="Times New Roman"/>
          <w:b/>
          <w:bCs/>
          <w:color w:val="auto"/>
          <w:sz w:val="36"/>
          <w:szCs w:val="36"/>
          <w:highlight w:val="none"/>
        </w:rPr>
        <w:br w:type="page"/>
      </w:r>
    </w:p>
    <w:sdt>
      <w:sdtPr>
        <w:rPr>
          <w:rFonts w:hint="default" w:ascii="Times New Roman" w:hAnsi="Times New Roman" w:eastAsia="仿宋_GB2312" w:cs="Times New Roman"/>
          <w:color w:val="auto"/>
          <w:kern w:val="2"/>
          <w:sz w:val="30"/>
          <w:szCs w:val="24"/>
          <w:highlight w:val="none"/>
          <w:lang w:val="zh-CN"/>
        </w:rPr>
        <w:id w:val="-514851075"/>
        <w:docPartObj>
          <w:docPartGallery w:val="Table of Contents"/>
          <w:docPartUnique/>
        </w:docPartObj>
      </w:sdtPr>
      <w:sdtEndPr>
        <w:rPr>
          <w:rFonts w:hint="default" w:ascii="Times New Roman" w:hAnsi="Times New Roman" w:eastAsia="仿宋_GB2312" w:cs="Times New Roman"/>
          <w:b/>
          <w:bCs/>
          <w:color w:val="auto"/>
          <w:kern w:val="2"/>
          <w:sz w:val="30"/>
          <w:szCs w:val="24"/>
          <w:highlight w:val="none"/>
          <w:lang w:val="zh-CN"/>
        </w:rPr>
      </w:sdtEndPr>
      <w:sdtContent>
        <w:p w14:paraId="361D8002">
          <w:pPr>
            <w:pStyle w:val="13"/>
            <w:jc w:val="center"/>
            <w:rPr>
              <w:rFonts w:hint="default" w:ascii="Times New Roman" w:hAnsi="Times New Roman" w:eastAsia="宋体" w:cs="Times New Roman"/>
              <w:b/>
              <w:bCs/>
              <w:color w:val="auto"/>
              <w:highlight w:val="none"/>
              <w:lang w:val="zh-CN"/>
            </w:rPr>
          </w:pPr>
          <w:r>
            <w:rPr>
              <w:rFonts w:hint="default" w:ascii="Times New Roman" w:hAnsi="Times New Roman" w:eastAsia="宋体" w:cs="Times New Roman"/>
              <w:b/>
              <w:bCs/>
              <w:color w:val="auto"/>
              <w:highlight w:val="none"/>
              <w:lang w:val="zh-CN"/>
            </w:rPr>
            <w:t>目录</w:t>
          </w:r>
        </w:p>
        <w:p w14:paraId="5A436C9F">
          <w:pPr>
            <w:pStyle w:val="6"/>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"_Toc68702112" </w:instrText>
          </w:r>
          <w:r>
            <w:rPr>
              <w:rFonts w:hint="default" w:ascii="Times New Roman" w:hAnsi="Times New Roman" w:cs="Times New Roman"/>
              <w:color w:val="auto"/>
              <w:highlight w:val="none"/>
            </w:rPr>
            <w:fldChar w:fldCharType="separate"/>
          </w:r>
          <w:r>
            <w:rPr>
              <w:rStyle w:val="12"/>
              <w:rFonts w:hint="default" w:ascii="Times New Roman" w:hAnsi="Times New Roman" w:eastAsia="宋体" w:cs="Times New Roman"/>
              <w:color w:val="auto"/>
              <w:highlight w:val="none"/>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_Toc68702112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735A43C5">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"_Toc68702113"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_Toc68702113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465DB31">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"_Toc68702114"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_Toc68702114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714B16C7">
          <w:pPr>
            <w:pStyle w:val="6"/>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"_Toc68702115" </w:instrText>
          </w:r>
          <w:r>
            <w:rPr>
              <w:rFonts w:hint="default" w:ascii="Times New Roman" w:hAnsi="Times New Roman" w:cs="Times New Roman"/>
              <w:color w:val="auto"/>
              <w:highlight w:val="none"/>
            </w:rPr>
            <w:fldChar w:fldCharType="separate"/>
          </w:r>
          <w:r>
            <w:rPr>
              <w:rStyle w:val="12"/>
              <w:rFonts w:hint="default" w:ascii="Times New Roman" w:hAnsi="Times New Roman" w:eastAsia="宋体" w:cs="Times New Roman"/>
              <w:color w:val="auto"/>
              <w:highlight w:val="none"/>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_Toc68702115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78790BAB">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"_Toc68702116"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_Toc68702116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157A64F4">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"_Toc68702117"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（二）绩效评价原则、评价指标体系、评价方法、评价标准等</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_Toc68702117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779595AC">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"_Toc68702118"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_Toc68702118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6EB9EDAC">
          <w:pPr>
            <w:pStyle w:val="6"/>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"_Toc68702119" </w:instrText>
          </w:r>
          <w:r>
            <w:rPr>
              <w:rFonts w:hint="default" w:ascii="Times New Roman" w:hAnsi="Times New Roman" w:cs="Times New Roman"/>
              <w:color w:val="auto"/>
              <w:highlight w:val="none"/>
            </w:rPr>
            <w:fldChar w:fldCharType="separate"/>
          </w:r>
          <w:r>
            <w:rPr>
              <w:rStyle w:val="12"/>
              <w:rFonts w:hint="default" w:ascii="Times New Roman" w:hAnsi="Times New Roman" w:eastAsia="宋体" w:cs="Times New Roman"/>
              <w:color w:val="auto"/>
              <w:highlight w:val="none"/>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_Toc68702119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475DFCD4">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"_Toc68702120"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（一）综合评价情况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467B8DE2">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"_Toc68702121"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（二）评价结论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57D2DD53">
          <w:pPr>
            <w:pStyle w:val="6"/>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"_Toc68702122" </w:instrText>
          </w:r>
          <w:r>
            <w:rPr>
              <w:rFonts w:hint="default" w:ascii="Times New Roman" w:hAnsi="Times New Roman" w:cs="Times New Roman"/>
              <w:color w:val="auto"/>
              <w:highlight w:val="none"/>
            </w:rPr>
            <w:fldChar w:fldCharType="separate"/>
          </w:r>
          <w:r>
            <w:rPr>
              <w:rStyle w:val="12"/>
              <w:rFonts w:hint="default" w:ascii="Times New Roman" w:hAnsi="Times New Roman" w:eastAsia="宋体" w:cs="Times New Roman"/>
              <w:color w:val="auto"/>
              <w:highlight w:val="none"/>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B533874">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"_Toc68702123"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3AC258CC">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"_Toc68702124"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49F746C9">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"_Toc68702125"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5287481B">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"_Toc68702126"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0E6559D4">
          <w:pPr>
            <w:pStyle w:val="6"/>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"_Toc68702127" </w:instrText>
          </w:r>
          <w:r>
            <w:rPr>
              <w:rFonts w:hint="default" w:ascii="Times New Roman" w:hAnsi="Times New Roman" w:cs="Times New Roman"/>
              <w:color w:val="auto"/>
              <w:highlight w:val="none"/>
            </w:rPr>
            <w:fldChar w:fldCharType="separate"/>
          </w:r>
          <w:r>
            <w:rPr>
              <w:rStyle w:val="12"/>
              <w:rFonts w:hint="default" w:ascii="Times New Roman" w:hAnsi="Times New Roman" w:eastAsia="宋体" w:cs="Times New Roman"/>
              <w:color w:val="auto"/>
              <w:highlight w:val="none"/>
            </w:rPr>
            <w:t>五、主要经验及做法、存在的问题及原因分析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099E085E">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"_Toc68702128"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45CD9FEF">
          <w:pPr>
            <w:pStyle w:val="7"/>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"_Toc68702129" </w:instrText>
          </w:r>
          <w:r>
            <w:rPr>
              <w:rFonts w:hint="default" w:ascii="Times New Roman" w:hAnsi="Times New Roman" w:cs="Times New Roman"/>
              <w:color w:val="auto"/>
              <w:highlight w:val="none"/>
            </w:rPr>
            <w:fldChar w:fldCharType="separate"/>
          </w:r>
          <w:r>
            <w:rPr>
              <w:rStyle w:val="12"/>
              <w:rFonts w:hint="default" w:ascii="Times New Roman" w:hAnsi="Times New Roman" w:eastAsia="仿宋_GB2312" w:cs="Times New Roman"/>
              <w:color w:val="auto"/>
              <w:highlight w:val="none"/>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_Toc68702129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54EC1CD9">
          <w:pPr>
            <w:pStyle w:val="6"/>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"_Toc68702130" </w:instrText>
          </w:r>
          <w:r>
            <w:rPr>
              <w:rFonts w:hint="default" w:ascii="Times New Roman" w:hAnsi="Times New Roman" w:cs="Times New Roman"/>
              <w:color w:val="auto"/>
              <w:highlight w:val="none"/>
            </w:rPr>
            <w:fldChar w:fldCharType="separate"/>
          </w:r>
          <w:r>
            <w:rPr>
              <w:rStyle w:val="12"/>
              <w:rFonts w:hint="default" w:ascii="Times New Roman" w:hAnsi="Times New Roman" w:eastAsia="宋体" w:cs="Times New Roman"/>
              <w:color w:val="auto"/>
              <w:highlight w:val="none"/>
            </w:rPr>
            <w:t>六、有关建议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_Toc68702130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17B0E22C">
          <w:pPr>
            <w:pStyle w:val="6"/>
            <w:tabs>
              <w:tab w:val="right" w:leader="dot" w:pos="8834"/>
            </w:tabs>
            <w:rPr>
              <w:rFonts w:hint="default" w:ascii="Times New Roman" w:hAnsi="Times New Roman" w:cs="Times New Roman"/>
              <w:color w:val="auto"/>
              <w:kern w:val="2"/>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"_Toc68702131" </w:instrText>
          </w:r>
          <w:r>
            <w:rPr>
              <w:rFonts w:hint="default" w:ascii="Times New Roman" w:hAnsi="Times New Roman" w:cs="Times New Roman"/>
              <w:color w:val="auto"/>
              <w:highlight w:val="none"/>
            </w:rPr>
            <w:fldChar w:fldCharType="separate"/>
          </w:r>
          <w:r>
            <w:rPr>
              <w:rStyle w:val="12"/>
              <w:rFonts w:hint="default" w:ascii="Times New Roman" w:hAnsi="Times New Roman" w:eastAsia="宋体" w:cs="Times New Roman"/>
              <w:color w:val="auto"/>
              <w:highlight w:val="none"/>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_Toc68702131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5D61C12B">
          <w:pPr>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14:paraId="674130A1">
      <w:pPr>
        <w:widowControl/>
        <w:jc w:val="left"/>
        <w:rPr>
          <w:rFonts w:hint="default" w:ascii="Times New Roman" w:hAnsi="Times New Roman" w:eastAsia="宋体" w:cs="Times New Roman"/>
          <w:b/>
          <w:bCs/>
          <w:color w:val="auto"/>
          <w:sz w:val="36"/>
          <w:szCs w:val="36"/>
          <w:highlight w:val="none"/>
        </w:rPr>
      </w:pPr>
      <w:r>
        <w:rPr>
          <w:rFonts w:hint="default" w:ascii="Times New Roman" w:hAnsi="Times New Roman" w:eastAsia="宋体" w:cs="Times New Roman"/>
          <w:b/>
          <w:bCs/>
          <w:color w:val="auto"/>
          <w:sz w:val="36"/>
          <w:szCs w:val="36"/>
          <w:highlight w:val="none"/>
        </w:rPr>
        <w:br w:type="page"/>
      </w:r>
    </w:p>
    <w:p w14:paraId="1FAC4185">
      <w:pPr>
        <w:jc w:val="center"/>
        <w:rPr>
          <w:rFonts w:hint="default" w:ascii="Times New Roman" w:hAnsi="Times New Roman" w:eastAsia="宋体" w:cs="Times New Roman"/>
          <w:b/>
          <w:bCs/>
          <w:color w:val="auto"/>
          <w:sz w:val="36"/>
          <w:szCs w:val="36"/>
          <w:highlight w:val="none"/>
        </w:rPr>
      </w:pPr>
      <w:r>
        <w:rPr>
          <w:rFonts w:hint="default" w:ascii="Times New Roman" w:hAnsi="Times New Roman" w:eastAsia="宋体" w:cs="Times New Roman"/>
          <w:b/>
          <w:bCs/>
          <w:color w:val="auto"/>
          <w:sz w:val="36"/>
          <w:szCs w:val="36"/>
          <w:highlight w:val="none"/>
        </w:rPr>
        <w:t>项目支出绩效评价报告</w:t>
      </w:r>
    </w:p>
    <w:p w14:paraId="116609B3">
      <w:pPr>
        <w:jc w:val="center"/>
        <w:rPr>
          <w:rFonts w:hint="default" w:ascii="Times New Roman" w:hAnsi="Times New Roman" w:cs="Times New Roman"/>
          <w:color w:val="auto"/>
          <w:szCs w:val="30"/>
          <w:highlight w:val="none"/>
        </w:rPr>
      </w:pPr>
    </w:p>
    <w:p w14:paraId="1B2899D2">
      <w:pPr>
        <w:pStyle w:val="3"/>
        <w:pageBreakBefore w:val="0"/>
        <w:kinsoku/>
        <w:wordWrap/>
        <w:overflowPunct/>
        <w:topLinePunct w:val="0"/>
        <w:autoSpaceDE/>
        <w:autoSpaceDN/>
        <w:bidi w:val="0"/>
        <w:adjustRightInd/>
        <w:snapToGrid/>
        <w:spacing w:before="0" w:after="0" w:line="500" w:lineRule="exact"/>
        <w:ind w:firstLine="643" w:firstLineChars="200"/>
        <w:textAlignment w:val="auto"/>
        <w:rPr>
          <w:rFonts w:hint="default" w:ascii="Times New Roman" w:hAnsi="Times New Roman" w:eastAsia="宋体" w:cs="Times New Roman"/>
          <w:color w:val="auto"/>
          <w:sz w:val="32"/>
          <w:szCs w:val="32"/>
          <w:highlight w:val="none"/>
        </w:rPr>
      </w:pPr>
      <w:bookmarkStart w:id="0" w:name="_Toc68702112"/>
      <w:r>
        <w:rPr>
          <w:rFonts w:hint="default" w:ascii="Times New Roman" w:hAnsi="Times New Roman" w:eastAsia="宋体" w:cs="Times New Roman"/>
          <w:color w:val="auto"/>
          <w:sz w:val="32"/>
          <w:szCs w:val="32"/>
          <w:highlight w:val="none"/>
        </w:rPr>
        <w:t>一、基本情况</w:t>
      </w:r>
      <w:bookmarkEnd w:id="0"/>
    </w:p>
    <w:p w14:paraId="18A16EEA">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default" w:ascii="Times New Roman" w:hAnsi="Times New Roman" w:eastAsia="仿宋_GB2312" w:cs="Times New Roman"/>
          <w:b w:val="0"/>
          <w:bCs w:val="0"/>
          <w:color w:val="auto"/>
          <w:highlight w:val="none"/>
        </w:rPr>
      </w:pPr>
      <w:bookmarkStart w:id="1" w:name="_Toc68702113"/>
      <w:r>
        <w:rPr>
          <w:rFonts w:hint="default" w:ascii="Times New Roman" w:hAnsi="Times New Roman" w:eastAsia="仿宋_GB2312" w:cs="Times New Roman"/>
          <w:b w:val="0"/>
          <w:bCs w:val="0"/>
          <w:color w:val="auto"/>
          <w:highlight w:val="none"/>
        </w:rPr>
        <w:t>（一）项目概况。</w:t>
      </w:r>
      <w:bookmarkEnd w:id="1"/>
    </w:p>
    <w:p w14:paraId="6BB148FD">
      <w:pPr>
        <w:pageBreakBefore w:val="0"/>
        <w:kinsoku/>
        <w:wordWrap/>
        <w:overflowPunct/>
        <w:topLinePunct w:val="0"/>
        <w:autoSpaceDE/>
        <w:autoSpaceDN/>
        <w:bidi w:val="0"/>
        <w:adjustRightInd/>
        <w:snapToGrid/>
        <w:spacing w:line="500" w:lineRule="exact"/>
        <w:ind w:firstLine="641"/>
        <w:textAlignment w:val="auto"/>
        <w:rPr>
          <w:rFonts w:hint="default" w:ascii="Times New Roman" w:hAnsi="Times New Roman" w:cs="Times New Roman"/>
          <w:b/>
          <w:bCs/>
          <w:color w:val="auto"/>
          <w:sz w:val="32"/>
          <w:szCs w:val="32"/>
          <w:highlight w:val="none"/>
        </w:rPr>
      </w:pPr>
      <w:r>
        <w:rPr>
          <w:rFonts w:hint="default" w:ascii="Times New Roman" w:hAnsi="Times New Roman" w:cs="Times New Roman"/>
          <w:b/>
          <w:bCs/>
          <w:color w:val="auto"/>
          <w:sz w:val="32"/>
          <w:szCs w:val="32"/>
          <w:highlight w:val="none"/>
        </w:rPr>
        <w:t>1、项目背景</w:t>
      </w:r>
    </w:p>
    <w:p w14:paraId="1EE25846">
      <w:pPr>
        <w:pageBreakBefore w:val="0"/>
        <w:kinsoku/>
        <w:wordWrap/>
        <w:overflowPunct/>
        <w:topLinePunct w:val="0"/>
        <w:autoSpaceDE/>
        <w:autoSpaceDN/>
        <w:bidi w:val="0"/>
        <w:adjustRightInd/>
        <w:snapToGrid/>
        <w:spacing w:line="500" w:lineRule="exact"/>
        <w:ind w:firstLine="641"/>
        <w:textAlignment w:val="auto"/>
        <w:rPr>
          <w:rFonts w:hint="default" w:ascii="Times New Roman" w:hAnsi="Times New Roman" w:eastAsia="方正仿宋_GB2312" w:cs="Times New Roman"/>
          <w:color w:val="auto"/>
          <w:sz w:val="32"/>
          <w:szCs w:val="32"/>
          <w:highlight w:val="none"/>
          <w:lang w:val="en-US" w:eastAsia="zh-CN"/>
        </w:rPr>
      </w:pPr>
      <w:r>
        <w:rPr>
          <w:rFonts w:hint="default" w:ascii="Times New Roman" w:hAnsi="Times New Roman" w:eastAsia="方正仿宋_GB2312" w:cs="Times New Roman"/>
          <w:color w:val="auto"/>
          <w:sz w:val="32"/>
          <w:szCs w:val="32"/>
          <w:highlight w:val="none"/>
        </w:rPr>
        <w:t>为贯彻落实自治区食品安全委员会202</w:t>
      </w:r>
      <w:r>
        <w:rPr>
          <w:rFonts w:hint="default" w:ascii="Times New Roman" w:hAnsi="Times New Roman" w:eastAsia="方正仿宋_GB2312" w:cs="Times New Roman"/>
          <w:color w:val="auto"/>
          <w:sz w:val="32"/>
          <w:szCs w:val="32"/>
          <w:highlight w:val="none"/>
          <w:lang w:val="en-US" w:eastAsia="zh-CN"/>
        </w:rPr>
        <w:t>3</w:t>
      </w:r>
      <w:r>
        <w:rPr>
          <w:rFonts w:hint="default" w:ascii="Times New Roman" w:hAnsi="Times New Roman" w:eastAsia="方正仿宋_GB2312" w:cs="Times New Roman"/>
          <w:color w:val="auto"/>
          <w:sz w:val="32"/>
          <w:szCs w:val="32"/>
          <w:highlight w:val="none"/>
        </w:rPr>
        <w:t>年食品安全重点工作部署，依法、科学、规范做好食品安全抽检监测工作，根据市场监管总局工作部署，结合我区食品安全监管工作实际，自治区市场监督管理局</w:t>
      </w:r>
      <w:r>
        <w:rPr>
          <w:rFonts w:hint="default" w:ascii="Times New Roman" w:hAnsi="Times New Roman" w:eastAsia="方正仿宋_GB2312" w:cs="Times New Roman"/>
          <w:color w:val="auto"/>
          <w:sz w:val="32"/>
          <w:szCs w:val="32"/>
          <w:highlight w:val="none"/>
          <w:lang w:val="en-US" w:eastAsia="zh-CN"/>
        </w:rPr>
        <w:t>组织开展了</w:t>
      </w:r>
      <w:r>
        <w:rPr>
          <w:rFonts w:hint="default" w:ascii="Times New Roman" w:hAnsi="Times New Roman" w:eastAsia="方正仿宋_GB2312" w:cs="Times New Roman"/>
          <w:color w:val="auto"/>
          <w:sz w:val="32"/>
          <w:szCs w:val="32"/>
          <w:highlight w:val="none"/>
        </w:rPr>
        <w:t>202</w:t>
      </w:r>
      <w:r>
        <w:rPr>
          <w:rFonts w:hint="default" w:ascii="Times New Roman" w:hAnsi="Times New Roman" w:eastAsia="方正仿宋_GB2312" w:cs="Times New Roman"/>
          <w:color w:val="auto"/>
          <w:sz w:val="32"/>
          <w:szCs w:val="32"/>
          <w:highlight w:val="none"/>
          <w:lang w:val="en-US" w:eastAsia="zh-CN"/>
        </w:rPr>
        <w:t>3</w:t>
      </w:r>
      <w:r>
        <w:rPr>
          <w:rFonts w:hint="default" w:ascii="Times New Roman" w:hAnsi="Times New Roman" w:eastAsia="方正仿宋_GB2312" w:cs="Times New Roman"/>
          <w:color w:val="auto"/>
          <w:sz w:val="32"/>
          <w:szCs w:val="32"/>
          <w:highlight w:val="none"/>
        </w:rPr>
        <w:t>年食品安全抽检监测</w:t>
      </w:r>
      <w:r>
        <w:rPr>
          <w:rFonts w:hint="default" w:ascii="Times New Roman" w:hAnsi="Times New Roman" w:eastAsia="方正仿宋_GB2312" w:cs="Times New Roman"/>
          <w:color w:val="auto"/>
          <w:sz w:val="32"/>
          <w:szCs w:val="32"/>
          <w:highlight w:val="none"/>
          <w:lang w:val="en-US" w:eastAsia="zh-CN"/>
        </w:rPr>
        <w:t>工作。</w:t>
      </w:r>
    </w:p>
    <w:p w14:paraId="5063D37B">
      <w:pPr>
        <w:pageBreakBefore w:val="0"/>
        <w:kinsoku/>
        <w:wordWrap/>
        <w:overflowPunct/>
        <w:topLinePunct w:val="0"/>
        <w:autoSpaceDE/>
        <w:autoSpaceDN/>
        <w:bidi w:val="0"/>
        <w:adjustRightInd/>
        <w:snapToGrid/>
        <w:spacing w:line="500" w:lineRule="exact"/>
        <w:ind w:firstLine="641"/>
        <w:textAlignment w:val="auto"/>
        <w:rPr>
          <w:rFonts w:hint="default" w:ascii="Times New Roman" w:hAnsi="Times New Roman" w:cs="Times New Roman"/>
          <w:b/>
          <w:bCs/>
          <w:color w:val="auto"/>
          <w:sz w:val="32"/>
          <w:szCs w:val="32"/>
          <w:highlight w:val="none"/>
        </w:rPr>
      </w:pPr>
      <w:r>
        <w:rPr>
          <w:rFonts w:hint="default" w:ascii="Times New Roman" w:hAnsi="Times New Roman" w:cs="Times New Roman"/>
          <w:b/>
          <w:bCs/>
          <w:color w:val="auto"/>
          <w:sz w:val="32"/>
          <w:szCs w:val="32"/>
          <w:highlight w:val="none"/>
        </w:rPr>
        <w:t>2、主要内容及实施情况</w:t>
      </w:r>
    </w:p>
    <w:p w14:paraId="7956DEC1">
      <w:pPr>
        <w:pStyle w:val="2"/>
        <w:pageBreakBefore w:val="0"/>
        <w:numPr>
          <w:ilvl w:val="0"/>
          <w:numId w:val="0"/>
        </w:numPr>
        <w:kinsoku/>
        <w:wordWrap/>
        <w:overflowPunct/>
        <w:topLinePunct w:val="0"/>
        <w:autoSpaceDE/>
        <w:autoSpaceDN/>
        <w:bidi w:val="0"/>
        <w:adjustRightInd/>
        <w:snapToGrid/>
        <w:spacing w:before="0" w:after="0" w:line="500" w:lineRule="exact"/>
        <w:ind w:firstLine="643" w:firstLineChars="200"/>
        <w:jc w:val="both"/>
        <w:textAlignment w:val="auto"/>
        <w:rPr>
          <w:rFonts w:hint="default" w:ascii="Times New Roman" w:hAnsi="Times New Roman" w:eastAsia="方正仿宋_GB2312" w:cs="Times New Roman"/>
          <w:b w:val="0"/>
          <w:bCs w:val="0"/>
          <w:color w:val="auto"/>
          <w:kern w:val="2"/>
          <w:sz w:val="32"/>
          <w:szCs w:val="32"/>
          <w:highlight w:val="none"/>
          <w:lang w:val="en-US" w:eastAsia="zh-CN" w:bidi="ar-SA"/>
        </w:rPr>
      </w:pPr>
      <w:r>
        <w:rPr>
          <w:rFonts w:hint="default" w:ascii="Times New Roman" w:hAnsi="Times New Roman" w:cs="Times New Roman"/>
          <w:color w:val="auto"/>
          <w:highlight w:val="none"/>
        </w:rPr>
        <w:t>主要内容</w:t>
      </w:r>
      <w:r>
        <w:rPr>
          <w:rFonts w:hint="default" w:ascii="Times New Roman" w:hAnsi="Times New Roman" w:cs="Times New Roman"/>
          <w:color w:val="auto"/>
          <w:highlight w:val="none"/>
          <w:lang w:eastAsia="zh-CN"/>
        </w:rPr>
        <w:t>：</w:t>
      </w:r>
      <w:r>
        <w:rPr>
          <w:rFonts w:hint="default" w:ascii="Times New Roman" w:hAnsi="Times New Roman" w:eastAsia="方正仿宋_GB2312" w:cs="Times New Roman"/>
          <w:b w:val="0"/>
          <w:bCs w:val="0"/>
          <w:color w:val="auto"/>
          <w:kern w:val="2"/>
          <w:sz w:val="32"/>
          <w:szCs w:val="32"/>
          <w:highlight w:val="none"/>
          <w:lang w:val="en-US" w:eastAsia="zh-CN" w:bidi="ar-SA"/>
        </w:rPr>
        <w:t>为进一步加强食品安全监管、全面掌握我区食品安全总体状况，以发现食品安全问题为导向，及时发现苗头性、系统性、区域性食品安全风险和问题，有效预防食品安全事故发生，确保公众饮食安全，根据《市场监管总局关于2023年全国食品安全抽检监测计划的通知》等文件精神，依据《中华人民共和国食品安全法》及其实施条例、《食品安全抽样检验管理办法》《食用农产品抽样检验和核查处置规定》等有关规定，</w:t>
      </w:r>
      <w:r>
        <w:rPr>
          <w:rFonts w:hint="eastAsia" w:ascii="Times New Roman" w:hAnsi="Times New Roman" w:eastAsia="方正仿宋_GB2312" w:cs="Times New Roman"/>
          <w:b w:val="0"/>
          <w:bCs w:val="0"/>
          <w:color w:val="auto"/>
          <w:kern w:val="2"/>
          <w:sz w:val="32"/>
          <w:szCs w:val="32"/>
          <w:highlight w:val="none"/>
          <w:lang w:val="en-US" w:eastAsia="zh-CN" w:bidi="ar-SA"/>
        </w:rPr>
        <w:t>2023年8月，</w:t>
      </w:r>
      <w:r>
        <w:rPr>
          <w:rFonts w:hint="default" w:ascii="Times New Roman" w:hAnsi="Times New Roman" w:eastAsia="方正仿宋_GB2312" w:cs="Times New Roman"/>
          <w:b w:val="0"/>
          <w:bCs w:val="0"/>
          <w:color w:val="auto"/>
          <w:kern w:val="2"/>
          <w:sz w:val="32"/>
          <w:szCs w:val="32"/>
          <w:highlight w:val="none"/>
          <w:lang w:val="en-US" w:eastAsia="zh-CN" w:bidi="ar-SA"/>
        </w:rPr>
        <w:t>自治区市场监督管理局</w:t>
      </w:r>
      <w:r>
        <w:rPr>
          <w:rFonts w:hint="eastAsia" w:ascii="Times New Roman" w:hAnsi="Times New Roman" w:eastAsia="方正仿宋_GB2312" w:cs="Times New Roman"/>
          <w:b w:val="0"/>
          <w:bCs w:val="0"/>
          <w:color w:val="auto"/>
          <w:kern w:val="2"/>
          <w:sz w:val="32"/>
          <w:szCs w:val="32"/>
          <w:highlight w:val="none"/>
          <w:lang w:val="en-US" w:eastAsia="zh-CN" w:bidi="ar-SA"/>
        </w:rPr>
        <w:t>通过公开招标方式确定6家承检机构，</w:t>
      </w:r>
      <w:r>
        <w:rPr>
          <w:rFonts w:hint="default" w:ascii="Times New Roman" w:hAnsi="Times New Roman" w:eastAsia="方正仿宋_GB2312" w:cs="Times New Roman"/>
          <w:b w:val="0"/>
          <w:bCs w:val="0"/>
          <w:color w:val="auto"/>
          <w:kern w:val="2"/>
          <w:sz w:val="32"/>
          <w:szCs w:val="32"/>
          <w:highlight w:val="none"/>
          <w:lang w:val="en-US" w:eastAsia="zh-CN" w:bidi="ar-SA"/>
        </w:rPr>
        <w:t>安排部署</w:t>
      </w:r>
      <w:r>
        <w:rPr>
          <w:rFonts w:hint="eastAsia" w:ascii="Times New Roman" w:hAnsi="Times New Roman" w:eastAsia="方正仿宋_GB2312" w:cs="Times New Roman"/>
          <w:b w:val="0"/>
          <w:bCs w:val="0"/>
          <w:color w:val="auto"/>
          <w:kern w:val="2"/>
          <w:sz w:val="32"/>
          <w:szCs w:val="32"/>
          <w:highlight w:val="none"/>
          <w:lang w:val="en-US" w:eastAsia="zh-CN" w:bidi="ar-SA"/>
        </w:rPr>
        <w:t>8-10月</w:t>
      </w:r>
      <w:r>
        <w:rPr>
          <w:rFonts w:hint="default" w:ascii="Times New Roman" w:hAnsi="Times New Roman" w:eastAsia="方正仿宋_GB2312" w:cs="Times New Roman"/>
          <w:b w:val="0"/>
          <w:bCs w:val="0"/>
          <w:color w:val="auto"/>
          <w:kern w:val="2"/>
          <w:sz w:val="32"/>
          <w:szCs w:val="32"/>
          <w:highlight w:val="none"/>
          <w:lang w:val="en-US" w:eastAsia="zh-CN" w:bidi="ar-SA"/>
        </w:rPr>
        <w:t>监督抽检任务</w:t>
      </w:r>
      <w:r>
        <w:rPr>
          <w:rFonts w:hint="eastAsia" w:ascii="Times New Roman" w:hAnsi="Times New Roman" w:eastAsia="方正仿宋_GB2312" w:cs="Times New Roman"/>
          <w:b w:val="0"/>
          <w:bCs w:val="0"/>
          <w:color w:val="auto"/>
          <w:kern w:val="2"/>
          <w:sz w:val="32"/>
          <w:szCs w:val="32"/>
          <w:highlight w:val="none"/>
          <w:lang w:val="en-US" w:eastAsia="zh-CN" w:bidi="ar-SA"/>
        </w:rPr>
        <w:t>7049批次</w:t>
      </w:r>
      <w:r>
        <w:rPr>
          <w:rFonts w:hint="default" w:ascii="Times New Roman" w:hAnsi="Times New Roman" w:eastAsia="方正仿宋_GB2312" w:cs="Times New Roman"/>
          <w:b w:val="0"/>
          <w:bCs w:val="0"/>
          <w:color w:val="auto"/>
          <w:kern w:val="2"/>
          <w:sz w:val="32"/>
          <w:szCs w:val="32"/>
          <w:highlight w:val="none"/>
          <w:lang w:val="en-US" w:eastAsia="zh-CN" w:bidi="ar-SA"/>
        </w:rPr>
        <w:t>。</w:t>
      </w:r>
    </w:p>
    <w:p w14:paraId="2999C0FE">
      <w:pPr>
        <w:pageBreakBefore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方正仿宋_GB2312" w:cs="Times New Roman"/>
          <w:b w:val="0"/>
          <w:bCs w:val="0"/>
          <w:color w:val="auto"/>
          <w:kern w:val="2"/>
          <w:sz w:val="32"/>
          <w:szCs w:val="32"/>
          <w:highlight w:val="none"/>
          <w:lang w:val="en-US" w:eastAsia="zh-CN" w:bidi="ar-SA"/>
        </w:rPr>
      </w:pPr>
      <w:r>
        <w:rPr>
          <w:rFonts w:hint="default" w:ascii="Times New Roman" w:hAnsi="Times New Roman" w:cs="Times New Roman" w:eastAsiaTheme="majorEastAsia"/>
          <w:b/>
          <w:bCs/>
          <w:color w:val="auto"/>
          <w:kern w:val="28"/>
          <w:sz w:val="32"/>
          <w:szCs w:val="32"/>
          <w:highlight w:val="none"/>
          <w:lang w:val="en-US" w:eastAsia="zh-CN" w:bidi="ar-SA"/>
        </w:rPr>
        <w:t>实施情况：</w:t>
      </w:r>
      <w:r>
        <w:rPr>
          <w:rFonts w:hint="default" w:ascii="Times New Roman" w:hAnsi="Times New Roman" w:eastAsia="方正仿宋_GB2312" w:cs="Times New Roman"/>
          <w:b w:val="0"/>
          <w:bCs w:val="0"/>
          <w:color w:val="auto"/>
          <w:kern w:val="2"/>
          <w:sz w:val="32"/>
          <w:szCs w:val="32"/>
          <w:highlight w:val="none"/>
          <w:lang w:val="en-US" w:eastAsia="zh-CN" w:bidi="ar-SA"/>
        </w:rPr>
        <w:t>完成8-10月食品安全抽检任务7182批次，完成率101.</w:t>
      </w:r>
      <w:r>
        <w:rPr>
          <w:rFonts w:hint="eastAsia" w:eastAsia="方正仿宋_GB2312" w:cs="Times New Roman"/>
          <w:b w:val="0"/>
          <w:bCs w:val="0"/>
          <w:color w:val="auto"/>
          <w:kern w:val="2"/>
          <w:sz w:val="32"/>
          <w:szCs w:val="32"/>
          <w:highlight w:val="none"/>
          <w:lang w:val="en-US" w:eastAsia="zh-CN" w:bidi="ar-SA"/>
        </w:rPr>
        <w:t>88</w:t>
      </w:r>
      <w:r>
        <w:rPr>
          <w:rFonts w:hint="default" w:ascii="Times New Roman" w:hAnsi="Times New Roman" w:eastAsia="方正仿宋_GB2312" w:cs="Times New Roman"/>
          <w:b w:val="0"/>
          <w:bCs w:val="0"/>
          <w:color w:val="auto"/>
          <w:kern w:val="2"/>
          <w:sz w:val="32"/>
          <w:szCs w:val="32"/>
          <w:highlight w:val="none"/>
          <w:lang w:val="en-US" w:eastAsia="zh-CN" w:bidi="ar-SA"/>
        </w:rPr>
        <w:t>%；定期公布抽检结果信息7180批次，</w:t>
      </w:r>
      <w:r>
        <w:rPr>
          <w:rFonts w:hint="eastAsia" w:eastAsia="方正仿宋_GB2312" w:cs="Times New Roman"/>
          <w:b w:val="0"/>
          <w:bCs w:val="0"/>
          <w:color w:val="auto"/>
          <w:kern w:val="2"/>
          <w:sz w:val="32"/>
          <w:szCs w:val="32"/>
          <w:highlight w:val="none"/>
          <w:lang w:val="en-US" w:eastAsia="zh-CN" w:bidi="ar-SA"/>
        </w:rPr>
        <w:t>召开</w:t>
      </w:r>
      <w:r>
        <w:rPr>
          <w:rFonts w:hint="default" w:ascii="Times New Roman" w:hAnsi="Times New Roman" w:eastAsia="方正仿宋_GB2312" w:cs="Times New Roman"/>
          <w:b w:val="0"/>
          <w:bCs w:val="0"/>
          <w:color w:val="auto"/>
          <w:kern w:val="2"/>
          <w:sz w:val="32"/>
          <w:szCs w:val="32"/>
          <w:highlight w:val="none"/>
          <w:lang w:val="en-US" w:eastAsia="zh-CN" w:bidi="ar-SA"/>
        </w:rPr>
        <w:t>预警交流会议1期，提升食品安全水平。</w:t>
      </w:r>
    </w:p>
    <w:p w14:paraId="799CB903">
      <w:pPr>
        <w:pageBreakBefore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2312" w:cs="Times New Roman"/>
          <w:b w:val="0"/>
          <w:bCs w:val="0"/>
          <w:color w:val="auto"/>
          <w:kern w:val="2"/>
          <w:sz w:val="32"/>
          <w:szCs w:val="32"/>
          <w:highlight w:val="none"/>
          <w:lang w:val="en-US" w:eastAsia="zh-CN" w:bidi="ar-SA"/>
        </w:rPr>
      </w:pPr>
      <w:r>
        <w:rPr>
          <w:rFonts w:hint="default" w:ascii="Times New Roman" w:hAnsi="Times New Roman" w:eastAsia="方正仿宋_GB2312" w:cs="Times New Roman"/>
          <w:b w:val="0"/>
          <w:bCs w:val="0"/>
          <w:color w:val="auto"/>
          <w:kern w:val="2"/>
          <w:sz w:val="32"/>
          <w:szCs w:val="32"/>
          <w:highlight w:val="none"/>
          <w:lang w:val="en-US" w:eastAsia="zh-CN" w:bidi="ar-SA"/>
        </w:rPr>
        <w:t>本项目总投资1254.97万元，其中：财政本级资金1254.97万元。项目实际支出1254.97万元，支出率为100%。</w:t>
      </w:r>
    </w:p>
    <w:p w14:paraId="1ABE4F3A">
      <w:pPr>
        <w:pageBreakBefore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cs="Times New Roman"/>
          <w:b/>
          <w:bCs/>
          <w:color w:val="auto"/>
          <w:sz w:val="32"/>
          <w:szCs w:val="32"/>
          <w:highlight w:val="none"/>
        </w:rPr>
      </w:pPr>
      <w:r>
        <w:rPr>
          <w:rFonts w:hint="default" w:ascii="Times New Roman" w:hAnsi="Times New Roman" w:cs="Times New Roman"/>
          <w:b/>
          <w:bCs/>
          <w:color w:val="auto"/>
          <w:sz w:val="32"/>
          <w:szCs w:val="32"/>
          <w:highlight w:val="none"/>
        </w:rPr>
        <w:t>3、资金投入和使用情况</w:t>
      </w:r>
    </w:p>
    <w:p w14:paraId="55BFF048">
      <w:pPr>
        <w:pageBreakBefore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方正仿宋_GB2312" w:cs="Times New Roman"/>
          <w:b w:val="0"/>
          <w:bCs w:val="0"/>
          <w:color w:val="auto"/>
          <w:kern w:val="2"/>
          <w:sz w:val="32"/>
          <w:szCs w:val="32"/>
          <w:highlight w:val="none"/>
          <w:lang w:val="en-US" w:eastAsia="zh-CN" w:bidi="ar-SA"/>
        </w:rPr>
      </w:pPr>
      <w:r>
        <w:rPr>
          <w:rFonts w:hint="eastAsia" w:ascii="仿宋_GB2312" w:hAnsi="仿宋_GB2312" w:eastAsia="仿宋_GB2312" w:cs="仿宋_GB2312"/>
          <w:b/>
          <w:bCs/>
          <w:color w:val="auto"/>
          <w:kern w:val="28"/>
          <w:sz w:val="32"/>
          <w:szCs w:val="32"/>
          <w:highlight w:val="none"/>
          <w:lang w:val="en-US" w:eastAsia="zh-CN" w:bidi="ar-SA"/>
        </w:rPr>
        <w:t>资金投入情况</w:t>
      </w:r>
      <w:r>
        <w:rPr>
          <w:rFonts w:hint="default" w:ascii="Times New Roman" w:hAnsi="Times New Roman" w:cs="Times New Roman" w:eastAsiaTheme="majorEastAsia"/>
          <w:b/>
          <w:bCs/>
          <w:color w:val="auto"/>
          <w:kern w:val="28"/>
          <w:sz w:val="32"/>
          <w:szCs w:val="32"/>
          <w:highlight w:val="none"/>
          <w:lang w:val="en-US" w:eastAsia="zh-CN" w:bidi="ar-SA"/>
        </w:rPr>
        <w:t>：</w:t>
      </w:r>
      <w:r>
        <w:rPr>
          <w:rFonts w:hint="default" w:ascii="Times New Roman" w:hAnsi="Times New Roman" w:eastAsia="方正仿宋_GB2312" w:cs="Times New Roman"/>
          <w:b w:val="0"/>
          <w:bCs w:val="0"/>
          <w:color w:val="auto"/>
          <w:kern w:val="2"/>
          <w:sz w:val="32"/>
          <w:szCs w:val="32"/>
          <w:highlight w:val="none"/>
          <w:lang w:val="en-US" w:eastAsia="zh-CN" w:bidi="ar-SA"/>
        </w:rPr>
        <w:t>该项目年初预算数</w:t>
      </w:r>
      <w:r>
        <w:rPr>
          <w:rFonts w:hint="eastAsia" w:eastAsia="方正仿宋_GB2312" w:cs="Times New Roman"/>
          <w:b w:val="0"/>
          <w:bCs w:val="0"/>
          <w:color w:val="auto"/>
          <w:kern w:val="2"/>
          <w:sz w:val="32"/>
          <w:szCs w:val="32"/>
          <w:highlight w:val="none"/>
          <w:lang w:val="en-US" w:eastAsia="zh-CN" w:bidi="ar-SA"/>
        </w:rPr>
        <w:t>1254.97</w:t>
      </w:r>
      <w:r>
        <w:rPr>
          <w:rFonts w:hint="default" w:ascii="Times New Roman" w:hAnsi="Times New Roman" w:eastAsia="方正仿宋_GB2312" w:cs="Times New Roman"/>
          <w:b w:val="0"/>
          <w:bCs w:val="0"/>
          <w:color w:val="auto"/>
          <w:kern w:val="2"/>
          <w:sz w:val="32"/>
          <w:szCs w:val="32"/>
          <w:highlight w:val="none"/>
          <w:lang w:val="en-US" w:eastAsia="zh-CN" w:bidi="ar-SA"/>
        </w:rPr>
        <w:t>万元，全年预算数1254.97万元，实际总投入1254.97万元，该项目资金已全部落实到位，资金来源为</w:t>
      </w:r>
      <w:r>
        <w:rPr>
          <w:rFonts w:hint="eastAsia" w:eastAsia="方正仿宋_GB2312" w:cs="Times New Roman"/>
          <w:b w:val="0"/>
          <w:bCs w:val="0"/>
          <w:color w:val="auto"/>
          <w:kern w:val="2"/>
          <w:sz w:val="32"/>
          <w:szCs w:val="32"/>
          <w:highlight w:val="none"/>
          <w:lang w:val="en-US" w:eastAsia="zh-CN" w:bidi="ar-SA"/>
        </w:rPr>
        <w:t>财政拨款</w:t>
      </w:r>
      <w:r>
        <w:rPr>
          <w:rFonts w:hint="default" w:ascii="Times New Roman" w:hAnsi="Times New Roman" w:eastAsia="方正仿宋_GB2312" w:cs="Times New Roman"/>
          <w:b w:val="0"/>
          <w:bCs w:val="0"/>
          <w:color w:val="auto"/>
          <w:kern w:val="2"/>
          <w:sz w:val="32"/>
          <w:szCs w:val="32"/>
          <w:highlight w:val="none"/>
          <w:lang w:val="en-US" w:eastAsia="zh-CN" w:bidi="ar-SA"/>
        </w:rPr>
        <w:t>。</w:t>
      </w:r>
    </w:p>
    <w:p w14:paraId="557C502E">
      <w:pPr>
        <w:pStyle w:val="2"/>
        <w:pageBreakBefore w:val="0"/>
        <w:kinsoku/>
        <w:wordWrap/>
        <w:overflowPunct/>
        <w:topLinePunct w:val="0"/>
        <w:autoSpaceDE/>
        <w:autoSpaceDN/>
        <w:bidi w:val="0"/>
        <w:adjustRightInd/>
        <w:snapToGrid/>
        <w:spacing w:before="0" w:after="0" w:line="500" w:lineRule="exact"/>
        <w:ind w:firstLine="643" w:firstLineChars="200"/>
        <w:jc w:val="both"/>
        <w:textAlignment w:val="auto"/>
        <w:rPr>
          <w:rFonts w:hint="default" w:ascii="Times New Roman" w:hAnsi="Times New Roman" w:eastAsia="方正仿宋_GB2312" w:cs="Times New Roman"/>
          <w:b w:val="0"/>
          <w:bCs w:val="0"/>
          <w:color w:val="auto"/>
          <w:kern w:val="2"/>
          <w:sz w:val="32"/>
          <w:szCs w:val="32"/>
          <w:highlight w:val="none"/>
          <w:lang w:val="en-US" w:eastAsia="zh-CN" w:bidi="ar-SA"/>
        </w:rPr>
      </w:pPr>
      <w:r>
        <w:rPr>
          <w:rFonts w:hint="eastAsia" w:ascii="仿宋_GB2312" w:hAnsi="仿宋_GB2312" w:eastAsia="仿宋_GB2312" w:cs="仿宋_GB2312"/>
          <w:b/>
          <w:bCs/>
          <w:color w:val="auto"/>
          <w:kern w:val="28"/>
          <w:sz w:val="32"/>
          <w:szCs w:val="32"/>
          <w:highlight w:val="none"/>
          <w:lang w:val="en-US" w:eastAsia="zh-CN" w:bidi="ar-SA"/>
        </w:rPr>
        <w:t>资金使用情况：</w:t>
      </w:r>
      <w:r>
        <w:rPr>
          <w:rFonts w:hint="default" w:ascii="Times New Roman" w:hAnsi="Times New Roman" w:eastAsia="方正仿宋_GB2312" w:cs="Times New Roman"/>
          <w:b w:val="0"/>
          <w:bCs w:val="0"/>
          <w:color w:val="auto"/>
          <w:kern w:val="2"/>
          <w:sz w:val="32"/>
          <w:szCs w:val="32"/>
          <w:highlight w:val="none"/>
          <w:lang w:val="en-US" w:eastAsia="zh-CN" w:bidi="ar-SA"/>
        </w:rPr>
        <w:t>该项目年初预算数1254.97万元，全年预算数1254.97万元，用于支付项目</w:t>
      </w:r>
      <w:r>
        <w:rPr>
          <w:rFonts w:hint="eastAsia" w:ascii="Times New Roman" w:hAnsi="Times New Roman" w:eastAsia="方正仿宋_GB2312" w:cs="Times New Roman"/>
          <w:b w:val="0"/>
          <w:bCs w:val="0"/>
          <w:color w:val="auto"/>
          <w:kern w:val="2"/>
          <w:sz w:val="32"/>
          <w:szCs w:val="32"/>
          <w:highlight w:val="none"/>
          <w:lang w:val="en-US" w:eastAsia="zh-CN" w:bidi="ar-SA"/>
        </w:rPr>
        <w:t>实施过程</w:t>
      </w:r>
      <w:r>
        <w:rPr>
          <w:rFonts w:hint="default" w:ascii="Times New Roman" w:hAnsi="Times New Roman" w:eastAsia="方正仿宋_GB2312" w:cs="Times New Roman"/>
          <w:b w:val="0"/>
          <w:bCs w:val="0"/>
          <w:color w:val="auto"/>
          <w:kern w:val="2"/>
          <w:sz w:val="32"/>
          <w:szCs w:val="32"/>
          <w:highlight w:val="none"/>
          <w:lang w:val="en-US" w:eastAsia="zh-CN" w:bidi="ar-SA"/>
        </w:rPr>
        <w:t>中的各项费用。</w:t>
      </w:r>
      <w:bookmarkStart w:id="2" w:name="_Toc68702114"/>
    </w:p>
    <w:p w14:paraId="61B351CE">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kern w:val="2"/>
          <w:sz w:val="32"/>
          <w:szCs w:val="32"/>
          <w:highlight w:val="none"/>
          <w:lang w:val="en-US" w:eastAsia="zh-CN" w:bidi="ar-SA"/>
        </w:rPr>
      </w:pPr>
      <w:r>
        <w:rPr>
          <w:rFonts w:hint="default" w:ascii="Times New Roman" w:hAnsi="Times New Roman" w:eastAsia="方正仿宋_GB2312" w:cs="Times New Roman"/>
          <w:b w:val="0"/>
          <w:bCs w:val="0"/>
          <w:color w:val="auto"/>
          <w:kern w:val="2"/>
          <w:sz w:val="32"/>
          <w:szCs w:val="32"/>
          <w:highlight w:val="none"/>
          <w:lang w:val="en-US" w:eastAsia="zh-CN" w:bidi="ar-SA"/>
        </w:rPr>
        <w:t>（二）项目绩效目标。</w:t>
      </w:r>
      <w:bookmarkEnd w:id="2"/>
    </w:p>
    <w:p w14:paraId="18D36A98">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kern w:val="2"/>
          <w:sz w:val="32"/>
          <w:szCs w:val="32"/>
          <w:highlight w:val="none"/>
          <w:lang w:val="en-US" w:eastAsia="zh-CN" w:bidi="ar-SA"/>
        </w:rPr>
      </w:pPr>
      <w:r>
        <w:rPr>
          <w:rFonts w:hint="default" w:ascii="Times New Roman" w:hAnsi="Times New Roman" w:eastAsia="方正仿宋_GB2312" w:cs="Times New Roman"/>
          <w:b w:val="0"/>
          <w:bCs w:val="0"/>
          <w:color w:val="auto"/>
          <w:kern w:val="2"/>
          <w:sz w:val="32"/>
          <w:szCs w:val="32"/>
          <w:highlight w:val="none"/>
          <w:lang w:val="en-US" w:eastAsia="zh-CN" w:bidi="ar-SA"/>
        </w:rPr>
        <w:t>1、总体目标：坚持问题导向，开展食品安全抽检监测工作，2023年8-10月计划完成抽检监测任务：≥7049批次；定期公布抽检结果，深化风险预警交流工作，提升食品安全水平。</w:t>
      </w:r>
      <w:bookmarkStart w:id="3" w:name="_Toc68702115"/>
    </w:p>
    <w:p w14:paraId="1D21B980">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hint="eastAsia" w:ascii="仿宋_GB2312" w:hAnsi="仿宋_GB2312" w:eastAsia="仿宋_GB2312" w:cs="仿宋_GB2312"/>
          <w:sz w:val="32"/>
          <w:szCs w:val="32"/>
          <w:highlight w:val="none"/>
        </w:rPr>
        <w:t>2、阶段性目标</w:t>
      </w:r>
    </w:p>
    <w:p w14:paraId="684067CD">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2312" w:cs="Times New Roman"/>
          <w:b w:val="0"/>
          <w:bCs w:val="0"/>
          <w:color w:val="auto"/>
          <w:kern w:val="2"/>
          <w:sz w:val="32"/>
          <w:szCs w:val="32"/>
          <w:highlight w:val="none"/>
          <w:lang w:val="en-US" w:eastAsia="zh-CN" w:bidi="ar-SA"/>
        </w:rPr>
      </w:pPr>
      <w:r>
        <w:rPr>
          <w:rFonts w:hint="eastAsia" w:eastAsia="方正仿宋_GB2312" w:cs="Times New Roman"/>
          <w:b w:val="0"/>
          <w:bCs w:val="0"/>
          <w:color w:val="auto"/>
          <w:kern w:val="2"/>
          <w:sz w:val="32"/>
          <w:szCs w:val="32"/>
          <w:highlight w:val="none"/>
          <w:lang w:val="en-US" w:eastAsia="zh-CN" w:bidi="ar-SA"/>
        </w:rPr>
        <w:t>①</w:t>
      </w:r>
      <w:r>
        <w:rPr>
          <w:rFonts w:hint="default" w:ascii="Times New Roman" w:hAnsi="Times New Roman" w:eastAsia="方正仿宋_GB2312" w:cs="Times New Roman"/>
          <w:b w:val="0"/>
          <w:bCs w:val="0"/>
          <w:color w:val="auto"/>
          <w:kern w:val="2"/>
          <w:sz w:val="32"/>
          <w:szCs w:val="32"/>
          <w:highlight w:val="none"/>
          <w:lang w:val="en-US" w:eastAsia="zh-CN" w:bidi="ar-SA"/>
        </w:rPr>
        <w:t>2023年2月，制定印发《全区市场监管系统食品安全抽检监测计划》，安排部署全区三级抽检监测任务83630批次，其中自治区本级需完成抽检监测计划任务28000批次。</w:t>
      </w:r>
    </w:p>
    <w:p w14:paraId="0AE84EE9">
      <w:pPr>
        <w:pageBreakBefore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2312" w:cs="Times New Roman"/>
          <w:b w:val="0"/>
          <w:bCs w:val="0"/>
          <w:color w:val="auto"/>
          <w:kern w:val="2"/>
          <w:sz w:val="32"/>
          <w:szCs w:val="32"/>
          <w:highlight w:val="none"/>
          <w:lang w:val="en-US" w:eastAsia="zh-CN" w:bidi="ar-SA"/>
        </w:rPr>
      </w:pPr>
      <w:r>
        <w:rPr>
          <w:rFonts w:hint="eastAsia" w:eastAsia="方正仿宋_GB2312" w:cs="Times New Roman"/>
          <w:b w:val="0"/>
          <w:bCs w:val="0"/>
          <w:color w:val="auto"/>
          <w:kern w:val="2"/>
          <w:sz w:val="32"/>
          <w:szCs w:val="32"/>
          <w:highlight w:val="none"/>
          <w:lang w:val="en-US" w:eastAsia="zh-CN" w:bidi="ar-SA"/>
        </w:rPr>
        <w:t>②2023年</w:t>
      </w:r>
      <w:r>
        <w:rPr>
          <w:rFonts w:hint="default" w:ascii="Times New Roman" w:hAnsi="Times New Roman" w:eastAsia="方正仿宋_GB2312" w:cs="Times New Roman"/>
          <w:b w:val="0"/>
          <w:bCs w:val="0"/>
          <w:color w:val="auto"/>
          <w:kern w:val="2"/>
          <w:sz w:val="32"/>
          <w:szCs w:val="32"/>
          <w:highlight w:val="none"/>
          <w:lang w:val="en-US" w:eastAsia="zh-CN" w:bidi="ar-SA"/>
        </w:rPr>
        <w:t>8月，</w:t>
      </w:r>
      <w:r>
        <w:rPr>
          <w:rFonts w:hint="eastAsia" w:eastAsia="方正仿宋_GB2312" w:cs="Times New Roman"/>
          <w:b w:val="0"/>
          <w:bCs w:val="0"/>
          <w:color w:val="auto"/>
          <w:kern w:val="2"/>
          <w:sz w:val="32"/>
          <w:szCs w:val="32"/>
          <w:highlight w:val="none"/>
          <w:lang w:val="en-US" w:eastAsia="zh-CN" w:bidi="ar-SA"/>
        </w:rPr>
        <w:t>完成</w:t>
      </w:r>
      <w:r>
        <w:rPr>
          <w:rFonts w:hint="default" w:ascii="Times New Roman" w:hAnsi="Times New Roman" w:eastAsia="方正仿宋_GB2312" w:cs="Times New Roman"/>
          <w:b w:val="0"/>
          <w:bCs w:val="0"/>
          <w:color w:val="auto"/>
          <w:kern w:val="2"/>
          <w:sz w:val="32"/>
          <w:szCs w:val="32"/>
          <w:highlight w:val="none"/>
          <w:lang w:val="en-US" w:eastAsia="zh-CN" w:bidi="ar-SA"/>
        </w:rPr>
        <w:t>招标采购，</w:t>
      </w:r>
      <w:r>
        <w:rPr>
          <w:rFonts w:hint="eastAsia" w:eastAsia="方正仿宋_GB2312" w:cs="Times New Roman"/>
          <w:b w:val="0"/>
          <w:bCs w:val="0"/>
          <w:color w:val="auto"/>
          <w:kern w:val="2"/>
          <w:sz w:val="32"/>
          <w:szCs w:val="32"/>
          <w:highlight w:val="none"/>
          <w:lang w:val="en-US" w:eastAsia="zh-CN" w:bidi="ar-SA"/>
        </w:rPr>
        <w:t>确定中标单位</w:t>
      </w:r>
      <w:r>
        <w:rPr>
          <w:rFonts w:hint="default" w:ascii="Times New Roman" w:hAnsi="Times New Roman" w:eastAsia="方正仿宋_GB2312" w:cs="Times New Roman"/>
          <w:b w:val="0"/>
          <w:bCs w:val="0"/>
          <w:color w:val="auto"/>
          <w:kern w:val="2"/>
          <w:sz w:val="32"/>
          <w:szCs w:val="32"/>
          <w:highlight w:val="none"/>
          <w:lang w:val="en-US" w:eastAsia="zh-CN" w:bidi="ar-SA"/>
        </w:rPr>
        <w:t>。</w:t>
      </w:r>
    </w:p>
    <w:p w14:paraId="75689D3B">
      <w:pPr>
        <w:spacing w:line="540" w:lineRule="exact"/>
        <w:ind w:firstLine="640" w:firstLineChars="200"/>
        <w:rPr>
          <w:rFonts w:hint="default"/>
          <w:highlight w:val="none"/>
          <w:lang w:val="en-US" w:eastAsia="zh-CN"/>
        </w:rPr>
      </w:pPr>
      <w:r>
        <w:rPr>
          <w:rFonts w:hint="eastAsia" w:eastAsia="方正仿宋_GB2312" w:cs="Times New Roman"/>
          <w:b w:val="0"/>
          <w:bCs w:val="0"/>
          <w:color w:val="auto"/>
          <w:kern w:val="2"/>
          <w:sz w:val="32"/>
          <w:szCs w:val="32"/>
          <w:highlight w:val="none"/>
          <w:lang w:val="en-US" w:eastAsia="zh-CN" w:bidi="ar-SA"/>
        </w:rPr>
        <w:t>③委托第三方开展抽样检验任务。</w:t>
      </w:r>
    </w:p>
    <w:p w14:paraId="128A0A3A">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二、绩效评价工作开展情况</w:t>
      </w:r>
      <w:bookmarkEnd w:id="3"/>
      <w:bookmarkStart w:id="4" w:name="_Toc68702116"/>
    </w:p>
    <w:p w14:paraId="2F21AF31">
      <w:pPr>
        <w:pStyle w:val="2"/>
        <w:pageBreakBefore w:val="0"/>
        <w:kinsoku/>
        <w:wordWrap/>
        <w:overflowPunct/>
        <w:topLinePunct w:val="0"/>
        <w:autoSpaceDE/>
        <w:autoSpaceDN/>
        <w:bidi w:val="0"/>
        <w:adjustRightInd/>
        <w:snapToGrid/>
        <w:spacing w:before="0" w:after="0" w:line="500" w:lineRule="exact"/>
        <w:ind w:firstLine="643" w:firstLineChars="200"/>
        <w:jc w:val="both"/>
        <w:textAlignment w:val="auto"/>
        <w:rPr>
          <w:rFonts w:hint="default" w:ascii="Times New Roman" w:hAnsi="Times New Roman" w:eastAsia="方正仿宋_GB2312" w:cs="Times New Roman"/>
          <w:b w:val="0"/>
          <w:bCs w:val="0"/>
          <w:color w:val="auto"/>
          <w:highlight w:val="none"/>
        </w:rPr>
      </w:pPr>
      <w:r>
        <w:rPr>
          <w:rFonts w:hint="eastAsia" w:ascii="楷体" w:hAnsi="楷体" w:eastAsia="楷体" w:cs="楷体"/>
          <w:b/>
          <w:bCs/>
          <w:color w:val="auto"/>
          <w:highlight w:val="none"/>
        </w:rPr>
        <w:t>（一）绩效评价目的、对象和范围</w:t>
      </w:r>
      <w:bookmarkEnd w:id="4"/>
    </w:p>
    <w:p w14:paraId="4E06F262">
      <w:pPr>
        <w:pStyle w:val="2"/>
        <w:pageBreakBefore w:val="0"/>
        <w:kinsoku/>
        <w:wordWrap/>
        <w:overflowPunct/>
        <w:topLinePunct w:val="0"/>
        <w:autoSpaceDE/>
        <w:autoSpaceDN/>
        <w:bidi w:val="0"/>
        <w:adjustRightInd/>
        <w:snapToGrid/>
        <w:spacing w:before="0" w:after="0" w:line="500" w:lineRule="exact"/>
        <w:ind w:firstLine="643" w:firstLineChars="200"/>
        <w:jc w:val="both"/>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1、绩效评价目的</w:t>
      </w:r>
    </w:p>
    <w:p w14:paraId="53862FDE">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85B97CC">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项目在实施前向项目负责人提供财政支出绩效方面的资金管理信息，促进项目支出严格按照资金管理规定进行。</w:t>
      </w:r>
    </w:p>
    <w:p w14:paraId="202960EA">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（2）项目绩效管</w:t>
      </w:r>
      <w:r>
        <w:rPr>
          <w:rFonts w:hint="eastAsia" w:ascii="Times New Roman" w:hAnsi="Times New Roman" w:eastAsia="方正仿宋_GB2312" w:cs="Times New Roman"/>
          <w:b w:val="0"/>
          <w:bCs w:val="0"/>
          <w:color w:val="auto"/>
          <w:highlight w:val="none"/>
          <w:lang w:eastAsia="zh-CN"/>
        </w:rPr>
        <w:t>理为</w:t>
      </w:r>
      <w:r>
        <w:rPr>
          <w:rFonts w:hint="default" w:ascii="Times New Roman" w:hAnsi="Times New Roman" w:eastAsia="方正仿宋_GB2312" w:cs="Times New Roman"/>
          <w:b w:val="0"/>
          <w:bCs w:val="0"/>
          <w:color w:val="auto"/>
          <w:highlight w:val="none"/>
        </w:rPr>
        <w:t>财政支出运行提供及时、有效的信息。</w:t>
      </w:r>
    </w:p>
    <w:p w14:paraId="09159CB6">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综合来看，通过开展有效的财政支出绩效评价管理，达到改进预算管理、控制节约成本，提高预算资金使用效益的目的。</w:t>
      </w:r>
    </w:p>
    <w:p w14:paraId="4CBC73E6">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2、绩效评价对象：</w:t>
      </w:r>
    </w:p>
    <w:p w14:paraId="26C39AF8">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食品抽检经费项目所包含的全部项目建设内容。</w:t>
      </w:r>
    </w:p>
    <w:p w14:paraId="5522A32F">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3、绩效评价范围：</w:t>
      </w:r>
    </w:p>
    <w:p w14:paraId="168654FE">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本次评价从项目决策（包括绩效目标、决策过程）、项目管理（包括项目资金、项目实施）、项目产出（包括项目产出数量、产出质量、产出时效和产出成本）项目效益四个维度进行食品抽检监测经费项目（可填项目名称）评价，评价核心为专项资金的支出完成情况和效果。</w:t>
      </w:r>
      <w:bookmarkStart w:id="5" w:name="_Toc68702117"/>
    </w:p>
    <w:p w14:paraId="721C3B92">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（二）绩效评价原则、评价指标体系、评价方法、评价标准等。</w:t>
      </w:r>
      <w:bookmarkEnd w:id="5"/>
    </w:p>
    <w:p w14:paraId="0990144E">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1、绩效评价原则</w:t>
      </w:r>
    </w:p>
    <w:p w14:paraId="563DC4E4">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（一）科学公正。绩效评价应当运用科学合理的方法，按照规范的程序，对项目绩效进行客观、公正</w:t>
      </w:r>
      <w:r>
        <w:rPr>
          <w:rFonts w:hint="eastAsia" w:ascii="Times New Roman" w:hAnsi="Times New Roman" w:eastAsia="方正仿宋_GB2312" w:cs="Times New Roman"/>
          <w:b w:val="0"/>
          <w:bCs w:val="0"/>
          <w:color w:val="auto"/>
          <w:highlight w:val="none"/>
          <w:lang w:eastAsia="zh-CN"/>
        </w:rPr>
        <w:t>地</w:t>
      </w:r>
      <w:r>
        <w:rPr>
          <w:rFonts w:hint="default" w:ascii="Times New Roman" w:hAnsi="Times New Roman" w:eastAsia="方正仿宋_GB2312" w:cs="Times New Roman"/>
          <w:b w:val="0"/>
          <w:bCs w:val="0"/>
          <w:color w:val="auto"/>
          <w:highlight w:val="none"/>
        </w:rPr>
        <w:t>反映。</w:t>
      </w:r>
    </w:p>
    <w:p w14:paraId="0F8D5E3D">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581C9165">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（三）激励约束。绩效评价结果应与预算安排、政策调整、改进管理实质性挂钩，体现奖优罚劣和激励相容导向，有效要安排、低效要压减、无效要问责。</w:t>
      </w:r>
    </w:p>
    <w:p w14:paraId="0CD3242A">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（四）公开透明。绩效评价结果应依法依规公开，并自觉接受社会监督。</w:t>
      </w:r>
    </w:p>
    <w:p w14:paraId="5D23F8C8">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2、评价指标体系（附表说明）</w:t>
      </w:r>
    </w:p>
    <w:p w14:paraId="0914E44F">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绩效评价框架是开展绩效评价的核心。绩效评价框架包括评价准则、关键评价问题、评价指标、数据来源、数据收集方法等。指标体系建立过程如下：</w:t>
      </w:r>
    </w:p>
    <w:p w14:paraId="5E49C309">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（1）确定评价指标</w:t>
      </w:r>
    </w:p>
    <w:p w14:paraId="755D426A">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40576532">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（2）确定权重</w:t>
      </w:r>
    </w:p>
    <w:p w14:paraId="1575D71A">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确定各个指标相对于项目总体绩效的权重分值。在绩效评价指标体系中，项目决策权重为</w:t>
      </w:r>
      <w:r>
        <w:rPr>
          <w:rFonts w:hint="default" w:ascii="Times New Roman" w:hAnsi="Times New Roman" w:eastAsia="方正仿宋_GB2312" w:cs="Times New Roman"/>
          <w:b w:val="0"/>
          <w:bCs w:val="0"/>
          <w:color w:val="auto"/>
          <w:highlight w:val="none"/>
          <w:lang w:val="en-US" w:eastAsia="zh-CN"/>
        </w:rPr>
        <w:t>20</w:t>
      </w:r>
      <w:r>
        <w:rPr>
          <w:rFonts w:hint="default" w:ascii="Times New Roman" w:hAnsi="Times New Roman" w:eastAsia="方正仿宋_GB2312" w:cs="Times New Roman"/>
          <w:b w:val="0"/>
          <w:bCs w:val="0"/>
          <w:color w:val="auto"/>
          <w:highlight w:val="none"/>
        </w:rPr>
        <w:t>分，项目过程权重为</w:t>
      </w:r>
      <w:r>
        <w:rPr>
          <w:rFonts w:hint="default" w:ascii="Times New Roman" w:hAnsi="Times New Roman" w:eastAsia="方正仿宋_GB2312" w:cs="Times New Roman"/>
          <w:b w:val="0"/>
          <w:bCs w:val="0"/>
          <w:color w:val="auto"/>
          <w:highlight w:val="none"/>
          <w:lang w:val="en-US" w:eastAsia="zh-CN"/>
        </w:rPr>
        <w:t>20</w:t>
      </w:r>
      <w:r>
        <w:rPr>
          <w:rFonts w:hint="default" w:ascii="Times New Roman" w:hAnsi="Times New Roman" w:eastAsia="方正仿宋_GB2312" w:cs="Times New Roman"/>
          <w:b w:val="0"/>
          <w:bCs w:val="0"/>
          <w:color w:val="auto"/>
          <w:highlight w:val="none"/>
        </w:rPr>
        <w:t>分，项目产出权重为</w:t>
      </w:r>
      <w:r>
        <w:rPr>
          <w:rFonts w:hint="default" w:ascii="Times New Roman" w:hAnsi="Times New Roman" w:eastAsia="方正仿宋_GB2312" w:cs="Times New Roman"/>
          <w:b w:val="0"/>
          <w:bCs w:val="0"/>
          <w:color w:val="auto"/>
          <w:highlight w:val="none"/>
          <w:lang w:val="en-US" w:eastAsia="zh-CN"/>
        </w:rPr>
        <w:t>4</w:t>
      </w:r>
      <w:r>
        <w:rPr>
          <w:rFonts w:hint="default" w:ascii="Times New Roman" w:hAnsi="Times New Roman" w:eastAsia="方正仿宋_GB2312" w:cs="Times New Roman"/>
          <w:b w:val="0"/>
          <w:bCs w:val="0"/>
          <w:color w:val="auto"/>
          <w:highlight w:val="none"/>
        </w:rPr>
        <w:t>0分，项目效益权重为</w:t>
      </w:r>
      <w:r>
        <w:rPr>
          <w:rFonts w:hint="default" w:ascii="Times New Roman" w:hAnsi="Times New Roman" w:eastAsia="方正仿宋_GB2312" w:cs="Times New Roman"/>
          <w:b w:val="0"/>
          <w:bCs w:val="0"/>
          <w:color w:val="auto"/>
          <w:highlight w:val="none"/>
          <w:lang w:val="en-US" w:eastAsia="zh-CN"/>
        </w:rPr>
        <w:t>2</w:t>
      </w:r>
      <w:r>
        <w:rPr>
          <w:rFonts w:hint="default" w:ascii="Times New Roman" w:hAnsi="Times New Roman" w:eastAsia="方正仿宋_GB2312" w:cs="Times New Roman"/>
          <w:b w:val="0"/>
          <w:bCs w:val="0"/>
          <w:color w:val="auto"/>
          <w:highlight w:val="none"/>
        </w:rPr>
        <w:t>0分。</w:t>
      </w:r>
    </w:p>
    <w:p w14:paraId="0BA4C03C">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（3）确定指标标准值</w:t>
      </w:r>
    </w:p>
    <w:p w14:paraId="59B8B46C">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指标标准值是绩效评价指标的尺度，既要反映同类项目的先进水平，又要符合项目的实际绩效水平。具体采用计划标准等确定此次绩效评价指标标准值。</w:t>
      </w:r>
    </w:p>
    <w:p w14:paraId="13ABE0EA">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绩效评价总分值100分，根据综合评分结果，评价计分90分</w:t>
      </w:r>
      <w:r>
        <w:rPr>
          <w:rFonts w:hint="eastAsia" w:ascii="Times New Roman" w:hAnsi="Times New Roman" w:eastAsia="方正仿宋_GB2312" w:cs="Times New Roman"/>
          <w:b w:val="0"/>
          <w:bCs w:val="0"/>
          <w:color w:val="auto"/>
          <w:highlight w:val="none"/>
          <w:lang w:eastAsia="zh-CN"/>
        </w:rPr>
        <w:t>—</w:t>
      </w:r>
      <w:r>
        <w:rPr>
          <w:rFonts w:hint="default" w:ascii="Times New Roman" w:hAnsi="Times New Roman" w:eastAsia="方正仿宋_GB2312" w:cs="Times New Roman"/>
          <w:b w:val="0"/>
          <w:bCs w:val="0"/>
          <w:color w:val="auto"/>
          <w:highlight w:val="none"/>
        </w:rPr>
        <w:t>100分（含90分）对应的评分结果级别为优，80</w:t>
      </w:r>
      <w:r>
        <w:rPr>
          <w:rFonts w:hint="eastAsia" w:ascii="Times New Roman" w:hAnsi="Times New Roman" w:eastAsia="方正仿宋_GB2312" w:cs="Times New Roman"/>
          <w:b w:val="0"/>
          <w:bCs w:val="0"/>
          <w:color w:val="auto"/>
          <w:highlight w:val="none"/>
          <w:lang w:eastAsia="zh-CN"/>
        </w:rPr>
        <w:t>—</w:t>
      </w:r>
      <w:r>
        <w:rPr>
          <w:rFonts w:hint="default" w:ascii="Times New Roman" w:hAnsi="Times New Roman" w:eastAsia="方正仿宋_GB2312" w:cs="Times New Roman"/>
          <w:b w:val="0"/>
          <w:bCs w:val="0"/>
          <w:color w:val="auto"/>
          <w:highlight w:val="none"/>
        </w:rPr>
        <w:t>90分（含80分）对应的评分结果级别为良，60</w:t>
      </w:r>
      <w:r>
        <w:rPr>
          <w:rFonts w:hint="eastAsia" w:ascii="Times New Roman" w:hAnsi="Times New Roman" w:eastAsia="方正仿宋_GB2312" w:cs="Times New Roman"/>
          <w:b w:val="0"/>
          <w:bCs w:val="0"/>
          <w:color w:val="auto"/>
          <w:highlight w:val="none"/>
          <w:lang w:eastAsia="zh-CN"/>
        </w:rPr>
        <w:t>—</w:t>
      </w:r>
      <w:r>
        <w:rPr>
          <w:rFonts w:hint="default" w:ascii="Times New Roman" w:hAnsi="Times New Roman" w:eastAsia="方正仿宋_GB2312" w:cs="Times New Roman"/>
          <w:b w:val="0"/>
          <w:bCs w:val="0"/>
          <w:color w:val="auto"/>
          <w:highlight w:val="none"/>
        </w:rPr>
        <w:t>80分（含60分）对应的评分结果级别为中，60分以下对应的评分结果级别为差。</w:t>
      </w:r>
    </w:p>
    <w:p w14:paraId="0169AA0D">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具体评价指标体系详情见附件1</w:t>
      </w:r>
    </w:p>
    <w:p w14:paraId="134EC87E">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3、绩效评价方法</w:t>
      </w:r>
    </w:p>
    <w:p w14:paraId="3DD57C2F">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绩效评价从项目决策、项目过程、项目产出、项目效益四个维度进行评价。评价对象为项目目标实施情况，  评价核心为资金的支出完成情况和项目的产出效益。</w:t>
      </w:r>
    </w:p>
    <w:p w14:paraId="37E3DB20">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本次评价指标中，既有定性指标又有定量指标，各类指标因考核内容不同和客观标准不同存在较大差异，因此核定具体指标时采用了不同方法，具体评价方法如下：</w:t>
      </w:r>
    </w:p>
    <w:p w14:paraId="74EFA03E">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（1）比较法</w:t>
      </w:r>
    </w:p>
    <w:p w14:paraId="0B87531C">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通过对绩效目标与实施效果、历史与当期情况，综合分析绩效目标实现程度。对项目最终验收情况与年度绩效目标对比、预算资金执行情况等相关因素进行比较。</w:t>
      </w:r>
    </w:p>
    <w:p w14:paraId="68D90637">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（2）因素分析法</w:t>
      </w:r>
    </w:p>
    <w:p w14:paraId="04142690">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7E57FCB9">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4、评价标准</w:t>
      </w:r>
    </w:p>
    <w:p w14:paraId="24B86CC6">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方正仿宋_GB2312" w:cs="Times New Roman"/>
          <w:b w:val="0"/>
          <w:bCs w:val="0"/>
          <w:color w:val="auto"/>
          <w:highlight w:val="none"/>
        </w:rPr>
      </w:pPr>
      <w:r>
        <w:rPr>
          <w:rFonts w:hint="default" w:ascii="Times New Roman" w:hAnsi="Times New Roman" w:eastAsia="方正仿宋_GB2312" w:cs="Times New Roman"/>
          <w:b w:val="0"/>
          <w:bCs w:val="0"/>
          <w:color w:val="auto"/>
          <w:highlight w:val="none"/>
        </w:rPr>
        <w:t>绩效评价标准通常包括计划标准、行业标准、历史标准等，用于对绩效指标完成情况进行比较。本次评价主要采用了计划标准和行业标准。</w:t>
      </w:r>
    </w:p>
    <w:p w14:paraId="667C3691">
      <w:pPr>
        <w:pStyle w:val="2"/>
        <w:pageBreakBefore w:val="0"/>
        <w:numPr>
          <w:ilvl w:val="0"/>
          <w:numId w:val="1"/>
        </w:numPr>
        <w:kinsoku/>
        <w:wordWrap/>
        <w:overflowPunct/>
        <w:topLinePunct w:val="0"/>
        <w:autoSpaceDE/>
        <w:autoSpaceDN/>
        <w:bidi w:val="0"/>
        <w:adjustRightInd/>
        <w:snapToGrid/>
        <w:spacing w:before="0" w:after="0" w:line="500" w:lineRule="exact"/>
        <w:ind w:firstLine="711" w:firstLineChars="200"/>
        <w:jc w:val="both"/>
        <w:textAlignment w:val="auto"/>
        <w:rPr>
          <w:rFonts w:hint="default" w:ascii="Times New Roman" w:hAnsi="Times New Roman" w:eastAsia="楷体" w:cs="Times New Roman"/>
          <w:color w:val="auto"/>
          <w:spacing w:val="17"/>
          <w:highlight w:val="none"/>
        </w:rPr>
      </w:pPr>
      <w:r>
        <w:rPr>
          <w:rFonts w:hint="default" w:ascii="Times New Roman" w:hAnsi="Times New Roman" w:eastAsia="楷体" w:cs="Times New Roman"/>
          <w:color w:val="auto"/>
          <w:spacing w:val="17"/>
          <w:highlight w:val="none"/>
        </w:rPr>
        <w:t>绩效评价工作过程</w:t>
      </w:r>
    </w:p>
    <w:p w14:paraId="115AE2E3">
      <w:pPr>
        <w:pageBreakBefore w:val="0"/>
        <w:numPr>
          <w:ilvl w:val="0"/>
          <w:numId w:val="2"/>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2312" w:cs="Times New Roman"/>
          <w:bCs/>
          <w:color w:val="auto"/>
          <w:sz w:val="32"/>
          <w:szCs w:val="32"/>
          <w:highlight w:val="none"/>
        </w:rPr>
      </w:pPr>
      <w:r>
        <w:rPr>
          <w:rFonts w:hint="default" w:ascii="Times New Roman" w:hAnsi="Times New Roman" w:eastAsia="方正仿宋_GB2312" w:cs="Times New Roman"/>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71E8FF42">
      <w:pPr>
        <w:pageBreakBefore w:val="0"/>
        <w:numPr>
          <w:ilvl w:val="0"/>
          <w:numId w:val="2"/>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2312" w:cs="Times New Roman"/>
          <w:bCs/>
          <w:color w:val="auto"/>
          <w:sz w:val="32"/>
          <w:szCs w:val="32"/>
          <w:highlight w:val="none"/>
        </w:rPr>
      </w:pPr>
      <w:r>
        <w:rPr>
          <w:rFonts w:hint="default" w:ascii="Times New Roman" w:hAnsi="Times New Roman" w:eastAsia="方正仿宋_GB2312" w:cs="Times New Roman"/>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004BD5C9">
      <w:pPr>
        <w:pageBreakBefore w:val="0"/>
        <w:numPr>
          <w:ilvl w:val="0"/>
          <w:numId w:val="2"/>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2312" w:cs="Times New Roman"/>
          <w:color w:val="auto"/>
          <w:sz w:val="32"/>
          <w:szCs w:val="32"/>
          <w:highlight w:val="none"/>
        </w:rPr>
      </w:pPr>
      <w:r>
        <w:rPr>
          <w:rFonts w:hint="default" w:ascii="Times New Roman" w:hAnsi="Times New Roman" w:eastAsia="方正仿宋_GB2312" w:cs="Times New Roman"/>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7720F1BA">
      <w:pPr>
        <w:pageBreakBefore w:val="0"/>
        <w:numPr>
          <w:ilvl w:val="0"/>
          <w:numId w:val="3"/>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综合评价情况及评价结论（附相关评分表）</w:t>
      </w:r>
    </w:p>
    <w:p w14:paraId="1EEE748B">
      <w:pPr>
        <w:widowControl w:val="0"/>
        <w:spacing w:before="0" w:after="0" w:line="600" w:lineRule="exact"/>
        <w:ind w:firstLine="640" w:firstLineChars="200"/>
        <w:jc w:val="both"/>
        <w:outlineLvl w:val="9"/>
        <w:rPr>
          <w:rFonts w:hint="default" w:ascii="Times New Roman" w:hAnsi="Times New Roman" w:eastAsia="仿宋_GB2312" w:cs="Times New Roman"/>
          <w:b/>
          <w:bCs/>
          <w:color w:val="auto"/>
          <w:kern w:val="28"/>
          <w:sz w:val="30"/>
          <w:szCs w:val="30"/>
          <w:highlight w:val="none"/>
          <w:lang w:val="en-US" w:eastAsia="zh-CN" w:bidi="ar-SA"/>
        </w:rPr>
      </w:pPr>
      <w:r>
        <w:rPr>
          <w:rFonts w:hint="default" w:ascii="Times New Roman" w:hAnsi="Times New Roman" w:eastAsia="仿宋_GB2312" w:cs="Times New Roman"/>
          <w:b w:val="0"/>
          <w:bCs w:val="0"/>
          <w:color w:val="auto"/>
          <w:kern w:val="28"/>
          <w:sz w:val="32"/>
          <w:szCs w:val="32"/>
          <w:highlight w:val="none"/>
          <w:lang w:val="en-US" w:eastAsia="zh-CN" w:bidi="ar-SA"/>
        </w:rPr>
        <w:t>对食品安全抽检</w:t>
      </w:r>
      <w:r>
        <w:rPr>
          <w:rFonts w:hint="eastAsia" w:cs="Times New Roman"/>
          <w:b w:val="0"/>
          <w:bCs w:val="0"/>
          <w:color w:val="auto"/>
          <w:kern w:val="28"/>
          <w:sz w:val="32"/>
          <w:szCs w:val="32"/>
          <w:highlight w:val="none"/>
          <w:lang w:val="en-US" w:eastAsia="zh-CN" w:bidi="ar-SA"/>
        </w:rPr>
        <w:t>经费</w:t>
      </w:r>
      <w:r>
        <w:rPr>
          <w:rFonts w:hint="default" w:ascii="Times New Roman" w:hAnsi="Times New Roman" w:eastAsia="仿宋_GB2312" w:cs="Times New Roman"/>
          <w:b w:val="0"/>
          <w:bCs w:val="0"/>
          <w:color w:val="auto"/>
          <w:kern w:val="28"/>
          <w:sz w:val="32"/>
          <w:szCs w:val="32"/>
          <w:highlight w:val="none"/>
          <w:lang w:val="en-US" w:eastAsia="zh-CN" w:bidi="ar-SA"/>
        </w:rPr>
        <w:t>项目进行客观评价，最终评分结果：总得分为</w:t>
      </w:r>
      <w:r>
        <w:rPr>
          <w:rFonts w:hint="eastAsia" w:ascii="Times New Roman" w:hAnsi="Times New Roman" w:cs="Times New Roman"/>
          <w:b w:val="0"/>
          <w:bCs w:val="0"/>
          <w:color w:val="auto"/>
          <w:kern w:val="28"/>
          <w:sz w:val="32"/>
          <w:szCs w:val="32"/>
          <w:highlight w:val="none"/>
          <w:lang w:val="en-US" w:eastAsia="zh-CN" w:bidi="ar-SA"/>
        </w:rPr>
        <w:t>100</w:t>
      </w:r>
      <w:r>
        <w:rPr>
          <w:rFonts w:hint="default" w:ascii="Times New Roman" w:hAnsi="Times New Roman" w:eastAsia="仿宋_GB2312" w:cs="Times New Roman"/>
          <w:b w:val="0"/>
          <w:bCs w:val="0"/>
          <w:color w:val="auto"/>
          <w:kern w:val="28"/>
          <w:sz w:val="32"/>
          <w:szCs w:val="32"/>
          <w:highlight w:val="none"/>
          <w:lang w:val="en-US" w:eastAsia="zh-CN" w:bidi="ar-SA"/>
        </w:rPr>
        <w:t>分，属于“优”。其中，项目决策类指标权重为20分，得分为20分，得分率为 100%。项目过程类指标权重为20分，得分为20分，得分率为 100%。项目产出类指标权重为40分，得分为</w:t>
      </w:r>
      <w:r>
        <w:rPr>
          <w:rFonts w:hint="eastAsia" w:ascii="Times New Roman" w:hAnsi="Times New Roman" w:cs="Times New Roman"/>
          <w:b w:val="0"/>
          <w:bCs w:val="0"/>
          <w:color w:val="auto"/>
          <w:kern w:val="28"/>
          <w:sz w:val="32"/>
          <w:szCs w:val="32"/>
          <w:highlight w:val="none"/>
          <w:lang w:val="en-US" w:eastAsia="zh-CN" w:bidi="ar-SA"/>
        </w:rPr>
        <w:t>40</w:t>
      </w:r>
      <w:r>
        <w:rPr>
          <w:rFonts w:hint="default" w:ascii="Times New Roman" w:hAnsi="Times New Roman" w:eastAsia="仿宋_GB2312" w:cs="Times New Roman"/>
          <w:b w:val="0"/>
          <w:bCs w:val="0"/>
          <w:color w:val="auto"/>
          <w:kern w:val="28"/>
          <w:sz w:val="32"/>
          <w:szCs w:val="32"/>
          <w:highlight w:val="none"/>
          <w:lang w:val="en-US" w:eastAsia="zh-CN" w:bidi="ar-SA"/>
        </w:rPr>
        <w:t>分，得分率为100%。项目效益类指标权重为20分，得分为20分，得分率为100%。</w:t>
      </w:r>
    </w:p>
    <w:p w14:paraId="375370E5">
      <w:pPr>
        <w:rPr>
          <w:rFonts w:hint="default" w:ascii="Times New Roman" w:hAnsi="Times New Roman" w:cs="Times New Roman"/>
          <w:color w:val="auto"/>
          <w:highlight w:val="none"/>
        </w:rPr>
      </w:pPr>
    </w:p>
    <w:p w14:paraId="6451B4F3">
      <w:pPr>
        <w:pStyle w:val="2"/>
        <w:pageBreakBefore w:val="0"/>
        <w:kinsoku/>
        <w:wordWrap/>
        <w:overflowPunct/>
        <w:topLinePunct w:val="0"/>
        <w:autoSpaceDE/>
        <w:autoSpaceDN/>
        <w:bidi w:val="0"/>
        <w:adjustRightInd/>
        <w:snapToGrid/>
        <w:spacing w:before="0" w:after="0" w:line="500" w:lineRule="exact"/>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表1综合评分表</w:t>
      </w:r>
    </w:p>
    <w:tbl>
      <w:tblPr>
        <w:tblStyle w:val="9"/>
        <w:tblpPr w:leftFromText="180" w:rightFromText="180" w:vertAnchor="text" w:horzAnchor="page" w:tblpX="1441" w:tblpY="597"/>
        <w:tblOverlap w:val="never"/>
        <w:tblW w:w="966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926"/>
        <w:gridCol w:w="960"/>
      </w:tblGrid>
      <w:tr w14:paraId="587CAF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jc w:val="center"/>
        </w:trPr>
        <w:tc>
          <w:tcPr>
            <w:tcW w:w="1104" w:type="dxa"/>
            <w:shd w:val="clear" w:color="auto" w:fill="BFBFBF"/>
            <w:vAlign w:val="center"/>
          </w:tcPr>
          <w:p w14:paraId="59BD8576">
            <w:pPr>
              <w:widowControl/>
              <w:spacing w:line="0" w:lineRule="atLeast"/>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一级指标</w:t>
            </w:r>
          </w:p>
        </w:tc>
        <w:tc>
          <w:tcPr>
            <w:tcW w:w="990" w:type="dxa"/>
            <w:shd w:val="clear" w:color="auto" w:fill="BFBFBF"/>
            <w:vAlign w:val="center"/>
          </w:tcPr>
          <w:p w14:paraId="06475885">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分值</w:t>
            </w:r>
          </w:p>
        </w:tc>
        <w:tc>
          <w:tcPr>
            <w:tcW w:w="1283" w:type="dxa"/>
            <w:shd w:val="clear" w:color="auto" w:fill="BFBFBF"/>
            <w:vAlign w:val="center"/>
          </w:tcPr>
          <w:p w14:paraId="27120B2E">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二级指标</w:t>
            </w:r>
          </w:p>
        </w:tc>
        <w:tc>
          <w:tcPr>
            <w:tcW w:w="1707" w:type="dxa"/>
            <w:shd w:val="clear" w:color="auto" w:fill="BFBFBF"/>
            <w:vAlign w:val="center"/>
          </w:tcPr>
          <w:p w14:paraId="31150AC6">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三级指标</w:t>
            </w:r>
          </w:p>
        </w:tc>
        <w:tc>
          <w:tcPr>
            <w:tcW w:w="727" w:type="dxa"/>
            <w:shd w:val="clear" w:color="auto" w:fill="BFBFBF"/>
            <w:vAlign w:val="center"/>
          </w:tcPr>
          <w:p w14:paraId="10F173AF">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权重</w:t>
            </w:r>
          </w:p>
        </w:tc>
        <w:tc>
          <w:tcPr>
            <w:tcW w:w="1044" w:type="dxa"/>
            <w:shd w:val="clear" w:color="auto" w:fill="BFBFBF"/>
            <w:vAlign w:val="center"/>
          </w:tcPr>
          <w:p w14:paraId="78972A94">
            <w:pPr>
              <w:widowControl/>
              <w:tabs>
                <w:tab w:val="left" w:pos="1333"/>
                <w:tab w:val="center" w:pos="3623"/>
              </w:tabs>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目标值</w:t>
            </w:r>
          </w:p>
        </w:tc>
        <w:tc>
          <w:tcPr>
            <w:tcW w:w="924" w:type="dxa"/>
            <w:shd w:val="clear" w:color="auto" w:fill="BFBFBF"/>
            <w:vAlign w:val="center"/>
          </w:tcPr>
          <w:p w14:paraId="5745D0DB">
            <w:pPr>
              <w:widowControl/>
              <w:tabs>
                <w:tab w:val="left" w:pos="1333"/>
                <w:tab w:val="center" w:pos="3623"/>
              </w:tabs>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业绩值</w:t>
            </w:r>
          </w:p>
        </w:tc>
        <w:tc>
          <w:tcPr>
            <w:tcW w:w="926" w:type="dxa"/>
            <w:shd w:val="clear" w:color="auto" w:fill="BFBFBF"/>
            <w:vAlign w:val="center"/>
          </w:tcPr>
          <w:p w14:paraId="2E7BAD09">
            <w:pPr>
              <w:widowControl/>
              <w:tabs>
                <w:tab w:val="left" w:pos="1333"/>
                <w:tab w:val="center" w:pos="3623"/>
              </w:tabs>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得分率</w:t>
            </w:r>
          </w:p>
        </w:tc>
        <w:tc>
          <w:tcPr>
            <w:tcW w:w="960" w:type="dxa"/>
            <w:shd w:val="clear" w:color="auto" w:fill="BFBFBF"/>
            <w:vAlign w:val="center"/>
          </w:tcPr>
          <w:p w14:paraId="2BCDA6FE">
            <w:pPr>
              <w:widowControl/>
              <w:tabs>
                <w:tab w:val="left" w:pos="1333"/>
                <w:tab w:val="center" w:pos="3623"/>
              </w:tabs>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得分</w:t>
            </w:r>
          </w:p>
        </w:tc>
      </w:tr>
      <w:tr w14:paraId="37ED4A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14:paraId="73E215E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决策　</w:t>
            </w:r>
          </w:p>
          <w:p w14:paraId="4F67BBA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p w14:paraId="0BD9BFCB">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p w14:paraId="66D27C6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tc>
        <w:tc>
          <w:tcPr>
            <w:tcW w:w="990" w:type="dxa"/>
            <w:vMerge w:val="restart"/>
            <w:shd w:val="clear" w:color="auto" w:fill="FFFFFF"/>
            <w:vAlign w:val="center"/>
          </w:tcPr>
          <w:p w14:paraId="2AEBC40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20分</w:t>
            </w:r>
          </w:p>
        </w:tc>
        <w:tc>
          <w:tcPr>
            <w:tcW w:w="1283" w:type="dxa"/>
            <w:vMerge w:val="restart"/>
            <w:shd w:val="clear" w:color="auto" w:fill="FFFFFF"/>
            <w:vAlign w:val="center"/>
          </w:tcPr>
          <w:p w14:paraId="605BDFDB">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项目立项　</w:t>
            </w:r>
          </w:p>
        </w:tc>
        <w:tc>
          <w:tcPr>
            <w:tcW w:w="1707" w:type="dxa"/>
            <w:shd w:val="clear" w:color="auto" w:fill="FFFFFF"/>
            <w:vAlign w:val="center"/>
          </w:tcPr>
          <w:p w14:paraId="3BEC529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立项依据</w:t>
            </w:r>
          </w:p>
          <w:p w14:paraId="6FF17B1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充分性</w:t>
            </w:r>
          </w:p>
        </w:tc>
        <w:tc>
          <w:tcPr>
            <w:tcW w:w="727" w:type="dxa"/>
            <w:shd w:val="clear" w:color="auto" w:fill="FFFFFF"/>
            <w:vAlign w:val="center"/>
          </w:tcPr>
          <w:p w14:paraId="344D8C5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3</w:t>
            </w:r>
          </w:p>
        </w:tc>
        <w:tc>
          <w:tcPr>
            <w:tcW w:w="1044" w:type="dxa"/>
            <w:shd w:val="clear" w:color="auto" w:fill="FFFFFF"/>
            <w:vAlign w:val="center"/>
          </w:tcPr>
          <w:p w14:paraId="2B6100EC">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充分</w:t>
            </w:r>
          </w:p>
        </w:tc>
        <w:tc>
          <w:tcPr>
            <w:tcW w:w="924" w:type="dxa"/>
            <w:shd w:val="clear" w:color="auto" w:fill="FFFFFF"/>
            <w:vAlign w:val="center"/>
          </w:tcPr>
          <w:p w14:paraId="4E6B919F">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充分</w:t>
            </w:r>
          </w:p>
        </w:tc>
        <w:tc>
          <w:tcPr>
            <w:tcW w:w="926" w:type="dxa"/>
            <w:shd w:val="clear" w:color="auto" w:fill="FFFFFF"/>
            <w:vAlign w:val="center"/>
          </w:tcPr>
          <w:p w14:paraId="303489E9">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auto" w:fill="FFFFFF"/>
            <w:vAlign w:val="center"/>
          </w:tcPr>
          <w:p w14:paraId="3AC0C12C">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3</w:t>
            </w:r>
          </w:p>
        </w:tc>
      </w:tr>
      <w:tr w14:paraId="45A28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4C06633A">
            <w:pPr>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7BE3FB65">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283" w:type="dxa"/>
            <w:vMerge w:val="continue"/>
            <w:shd w:val="clear" w:color="auto" w:fill="FFFFFF"/>
            <w:vAlign w:val="center"/>
          </w:tcPr>
          <w:p w14:paraId="7111FC8E">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707" w:type="dxa"/>
            <w:shd w:val="clear" w:color="auto" w:fill="FFFFFF"/>
            <w:vAlign w:val="center"/>
          </w:tcPr>
          <w:p w14:paraId="298D76C9">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立项程序</w:t>
            </w:r>
          </w:p>
          <w:p w14:paraId="268597EB">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规范性</w:t>
            </w:r>
          </w:p>
        </w:tc>
        <w:tc>
          <w:tcPr>
            <w:tcW w:w="727" w:type="dxa"/>
            <w:shd w:val="clear" w:color="auto" w:fill="FFFFFF"/>
            <w:vAlign w:val="center"/>
          </w:tcPr>
          <w:p w14:paraId="6D4794D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3</w:t>
            </w:r>
          </w:p>
        </w:tc>
        <w:tc>
          <w:tcPr>
            <w:tcW w:w="1044" w:type="dxa"/>
            <w:shd w:val="clear" w:color="auto" w:fill="FFFFFF"/>
            <w:vAlign w:val="center"/>
          </w:tcPr>
          <w:p w14:paraId="50A1B06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规范</w:t>
            </w:r>
          </w:p>
        </w:tc>
        <w:tc>
          <w:tcPr>
            <w:tcW w:w="924" w:type="dxa"/>
            <w:shd w:val="clear" w:color="auto" w:fill="FFFFFF"/>
            <w:vAlign w:val="center"/>
          </w:tcPr>
          <w:p w14:paraId="14B60476">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规范</w:t>
            </w:r>
          </w:p>
        </w:tc>
        <w:tc>
          <w:tcPr>
            <w:tcW w:w="926" w:type="dxa"/>
            <w:shd w:val="clear" w:color="auto" w:fill="FFFFFF"/>
            <w:vAlign w:val="center"/>
          </w:tcPr>
          <w:p w14:paraId="5746A14B">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auto" w:fill="FFFFFF"/>
            <w:vAlign w:val="center"/>
          </w:tcPr>
          <w:p w14:paraId="341413A4">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3</w:t>
            </w:r>
          </w:p>
        </w:tc>
      </w:tr>
      <w:tr w14:paraId="0262F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3B7291DE">
            <w:pPr>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664A0426">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283" w:type="dxa"/>
            <w:vMerge w:val="restart"/>
            <w:shd w:val="clear" w:color="auto" w:fill="FFFFFF"/>
            <w:vAlign w:val="center"/>
          </w:tcPr>
          <w:p w14:paraId="16A25A16">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绩效目标　</w:t>
            </w:r>
          </w:p>
        </w:tc>
        <w:tc>
          <w:tcPr>
            <w:tcW w:w="1707" w:type="dxa"/>
            <w:shd w:val="clear" w:color="auto" w:fill="FFFFFF"/>
            <w:vAlign w:val="center"/>
          </w:tcPr>
          <w:p w14:paraId="0E82081B">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绩效目标</w:t>
            </w:r>
          </w:p>
          <w:p w14:paraId="24B715AC">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合理性</w:t>
            </w:r>
          </w:p>
        </w:tc>
        <w:tc>
          <w:tcPr>
            <w:tcW w:w="727" w:type="dxa"/>
            <w:shd w:val="clear" w:color="000000" w:fill="FFFFFF"/>
            <w:vAlign w:val="center"/>
          </w:tcPr>
          <w:p w14:paraId="664875C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1044" w:type="dxa"/>
            <w:shd w:val="clear" w:color="000000" w:fill="FFFFFF"/>
            <w:vAlign w:val="center"/>
          </w:tcPr>
          <w:p w14:paraId="7CAAE039">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w:t>
            </w:r>
          </w:p>
        </w:tc>
        <w:tc>
          <w:tcPr>
            <w:tcW w:w="924" w:type="dxa"/>
            <w:shd w:val="clear" w:color="000000" w:fill="FFFFFF"/>
            <w:vAlign w:val="center"/>
          </w:tcPr>
          <w:p w14:paraId="799A980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w:t>
            </w:r>
          </w:p>
        </w:tc>
        <w:tc>
          <w:tcPr>
            <w:tcW w:w="926" w:type="dxa"/>
            <w:shd w:val="clear" w:color="000000" w:fill="FFFFFF"/>
            <w:vAlign w:val="center"/>
          </w:tcPr>
          <w:p w14:paraId="48C9AF0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6DE8607B">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4</w:t>
            </w:r>
          </w:p>
        </w:tc>
      </w:tr>
      <w:tr w14:paraId="0AFE51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60EDCDD6">
            <w:pPr>
              <w:widowControl/>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4375F8B9">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283" w:type="dxa"/>
            <w:vMerge w:val="continue"/>
            <w:shd w:val="clear" w:color="auto" w:fill="FFFFFF"/>
            <w:vAlign w:val="center"/>
          </w:tcPr>
          <w:p w14:paraId="0C7C2192">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707" w:type="dxa"/>
            <w:shd w:val="clear" w:color="auto" w:fill="FFFFFF"/>
            <w:vAlign w:val="center"/>
          </w:tcPr>
          <w:p w14:paraId="6E7CF9A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绩效指标</w:t>
            </w:r>
          </w:p>
          <w:p w14:paraId="6718B1A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明确性</w:t>
            </w:r>
          </w:p>
        </w:tc>
        <w:tc>
          <w:tcPr>
            <w:tcW w:w="727" w:type="dxa"/>
            <w:shd w:val="clear" w:color="000000" w:fill="FFFFFF"/>
            <w:vAlign w:val="center"/>
          </w:tcPr>
          <w:p w14:paraId="0E8670CF">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3</w:t>
            </w:r>
          </w:p>
        </w:tc>
        <w:tc>
          <w:tcPr>
            <w:tcW w:w="1044" w:type="dxa"/>
            <w:shd w:val="clear" w:color="000000" w:fill="FFFFFF"/>
            <w:vAlign w:val="center"/>
          </w:tcPr>
          <w:p w14:paraId="3846456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明确</w:t>
            </w:r>
          </w:p>
        </w:tc>
        <w:tc>
          <w:tcPr>
            <w:tcW w:w="924" w:type="dxa"/>
            <w:shd w:val="clear" w:color="000000" w:fill="FFFFFF"/>
            <w:vAlign w:val="center"/>
          </w:tcPr>
          <w:p w14:paraId="05494F4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明确</w:t>
            </w:r>
          </w:p>
        </w:tc>
        <w:tc>
          <w:tcPr>
            <w:tcW w:w="926" w:type="dxa"/>
            <w:shd w:val="clear" w:color="000000" w:fill="FFFFFF"/>
            <w:vAlign w:val="center"/>
          </w:tcPr>
          <w:p w14:paraId="73DBCC8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4DB4C612">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3</w:t>
            </w:r>
          </w:p>
        </w:tc>
      </w:tr>
      <w:tr w14:paraId="65D61D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2DF15154">
            <w:pPr>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20E28EE9">
            <w:pPr>
              <w:spacing w:line="0" w:lineRule="atLeast"/>
              <w:jc w:val="center"/>
              <w:rPr>
                <w:rFonts w:hint="default" w:ascii="Times New Roman" w:hAnsi="Times New Roman" w:eastAsia="宋体" w:cs="Times New Roman"/>
                <w:color w:val="auto"/>
                <w:kern w:val="0"/>
                <w:sz w:val="22"/>
                <w:szCs w:val="22"/>
                <w:highlight w:val="none"/>
              </w:rPr>
            </w:pPr>
          </w:p>
        </w:tc>
        <w:tc>
          <w:tcPr>
            <w:tcW w:w="1283" w:type="dxa"/>
            <w:vMerge w:val="restart"/>
            <w:shd w:val="clear" w:color="auto" w:fill="FFFFFF"/>
            <w:vAlign w:val="center"/>
          </w:tcPr>
          <w:p w14:paraId="3027AD2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资金投入</w:t>
            </w:r>
          </w:p>
        </w:tc>
        <w:tc>
          <w:tcPr>
            <w:tcW w:w="1707" w:type="dxa"/>
            <w:shd w:val="clear" w:color="auto" w:fill="FFFFFF"/>
            <w:vAlign w:val="center"/>
          </w:tcPr>
          <w:p w14:paraId="714DA02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预算编制</w:t>
            </w:r>
          </w:p>
          <w:p w14:paraId="5286E509">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科学性</w:t>
            </w:r>
          </w:p>
        </w:tc>
        <w:tc>
          <w:tcPr>
            <w:tcW w:w="727" w:type="dxa"/>
            <w:shd w:val="clear" w:color="auto" w:fill="FFFFFF"/>
            <w:vAlign w:val="center"/>
          </w:tcPr>
          <w:p w14:paraId="1B84D604">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1044" w:type="dxa"/>
            <w:shd w:val="clear" w:color="auto" w:fill="FFFFFF"/>
            <w:vAlign w:val="center"/>
          </w:tcPr>
          <w:p w14:paraId="4F98709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科学</w:t>
            </w:r>
          </w:p>
        </w:tc>
        <w:tc>
          <w:tcPr>
            <w:tcW w:w="924" w:type="dxa"/>
            <w:shd w:val="clear" w:color="auto" w:fill="FFFFFF"/>
            <w:vAlign w:val="center"/>
          </w:tcPr>
          <w:p w14:paraId="4BD74FFC">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科学</w:t>
            </w:r>
          </w:p>
        </w:tc>
        <w:tc>
          <w:tcPr>
            <w:tcW w:w="926" w:type="dxa"/>
            <w:shd w:val="clear" w:color="auto" w:fill="FFFFFF"/>
            <w:vAlign w:val="center"/>
          </w:tcPr>
          <w:p w14:paraId="385F392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auto" w:fill="FFFFFF"/>
            <w:vAlign w:val="center"/>
          </w:tcPr>
          <w:p w14:paraId="493FE0D2">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4</w:t>
            </w:r>
          </w:p>
        </w:tc>
      </w:tr>
      <w:tr w14:paraId="48DD1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3ADC51C0">
            <w:pPr>
              <w:widowControl/>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303AEA53">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283" w:type="dxa"/>
            <w:vMerge w:val="continue"/>
            <w:shd w:val="clear" w:color="auto" w:fill="FFFFFF"/>
            <w:vAlign w:val="center"/>
          </w:tcPr>
          <w:p w14:paraId="66654484">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707" w:type="dxa"/>
            <w:shd w:val="clear" w:color="auto" w:fill="FFFFFF"/>
            <w:vAlign w:val="center"/>
          </w:tcPr>
          <w:p w14:paraId="18D327B9">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资金分配</w:t>
            </w:r>
          </w:p>
          <w:p w14:paraId="2C502A5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合理性</w:t>
            </w:r>
          </w:p>
        </w:tc>
        <w:tc>
          <w:tcPr>
            <w:tcW w:w="727" w:type="dxa"/>
            <w:shd w:val="clear" w:color="auto" w:fill="FFFFFF"/>
            <w:vAlign w:val="center"/>
          </w:tcPr>
          <w:p w14:paraId="1DCDAACF">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3</w:t>
            </w:r>
          </w:p>
        </w:tc>
        <w:tc>
          <w:tcPr>
            <w:tcW w:w="1044" w:type="dxa"/>
            <w:shd w:val="clear" w:color="auto" w:fill="FFFFFF"/>
            <w:vAlign w:val="center"/>
          </w:tcPr>
          <w:p w14:paraId="291A82E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w:t>
            </w:r>
          </w:p>
        </w:tc>
        <w:tc>
          <w:tcPr>
            <w:tcW w:w="924" w:type="dxa"/>
            <w:shd w:val="clear" w:color="auto" w:fill="FFFFFF"/>
            <w:vAlign w:val="center"/>
          </w:tcPr>
          <w:p w14:paraId="5293D58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w:t>
            </w:r>
          </w:p>
        </w:tc>
        <w:tc>
          <w:tcPr>
            <w:tcW w:w="926" w:type="dxa"/>
            <w:shd w:val="clear" w:color="auto" w:fill="FFFFFF"/>
            <w:vAlign w:val="center"/>
          </w:tcPr>
          <w:p w14:paraId="587726B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auto" w:fill="FFFFFF"/>
            <w:vAlign w:val="center"/>
          </w:tcPr>
          <w:p w14:paraId="4FC01911">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3</w:t>
            </w:r>
          </w:p>
        </w:tc>
      </w:tr>
      <w:tr w14:paraId="52563E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14:paraId="1FE9F56C">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过程</w:t>
            </w:r>
          </w:p>
          <w:p w14:paraId="0BB81DA1">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tc>
        <w:tc>
          <w:tcPr>
            <w:tcW w:w="990" w:type="dxa"/>
            <w:vMerge w:val="restart"/>
            <w:shd w:val="clear" w:color="auto" w:fill="FFFFFF"/>
            <w:vAlign w:val="center"/>
          </w:tcPr>
          <w:p w14:paraId="0F58215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20分</w:t>
            </w:r>
          </w:p>
        </w:tc>
        <w:tc>
          <w:tcPr>
            <w:tcW w:w="1283" w:type="dxa"/>
            <w:vMerge w:val="restart"/>
            <w:shd w:val="clear" w:color="auto" w:fill="FFFFFF"/>
            <w:vAlign w:val="center"/>
          </w:tcPr>
          <w:p w14:paraId="660E6CC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资金管理</w:t>
            </w:r>
          </w:p>
        </w:tc>
        <w:tc>
          <w:tcPr>
            <w:tcW w:w="1707" w:type="dxa"/>
            <w:shd w:val="clear" w:color="auto" w:fill="FFFFFF"/>
            <w:vAlign w:val="center"/>
          </w:tcPr>
          <w:p w14:paraId="335CD6A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资金到位率</w:t>
            </w:r>
          </w:p>
        </w:tc>
        <w:tc>
          <w:tcPr>
            <w:tcW w:w="727" w:type="dxa"/>
            <w:shd w:val="clear" w:color="000000" w:fill="FFFFFF"/>
            <w:vAlign w:val="center"/>
          </w:tcPr>
          <w:p w14:paraId="095EB9A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1044" w:type="dxa"/>
            <w:shd w:val="clear" w:color="000000" w:fill="FFFFFF"/>
            <w:vAlign w:val="center"/>
          </w:tcPr>
          <w:p w14:paraId="2811A4C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100%</w:t>
            </w:r>
          </w:p>
        </w:tc>
        <w:tc>
          <w:tcPr>
            <w:tcW w:w="924" w:type="dxa"/>
            <w:shd w:val="clear" w:color="000000" w:fill="FFFFFF"/>
            <w:vAlign w:val="center"/>
          </w:tcPr>
          <w:p w14:paraId="402061B6">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r>
              <w:rPr>
                <w:rFonts w:hint="default" w:ascii="Times New Roman" w:hAnsi="Times New Roman" w:eastAsia="宋体" w:cs="Times New Roman"/>
                <w:color w:val="auto"/>
                <w:kern w:val="0"/>
                <w:sz w:val="22"/>
                <w:szCs w:val="22"/>
                <w:highlight w:val="none"/>
              </w:rPr>
              <w:t>%</w:t>
            </w:r>
          </w:p>
        </w:tc>
        <w:tc>
          <w:tcPr>
            <w:tcW w:w="926" w:type="dxa"/>
            <w:shd w:val="clear" w:color="000000" w:fill="FFFFFF"/>
            <w:vAlign w:val="center"/>
          </w:tcPr>
          <w:p w14:paraId="619CF84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4222AF83">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4</w:t>
            </w:r>
          </w:p>
        </w:tc>
      </w:tr>
      <w:tr w14:paraId="610371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4059317B">
            <w:pPr>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18441298">
            <w:pPr>
              <w:spacing w:line="0" w:lineRule="atLeast"/>
              <w:jc w:val="center"/>
              <w:rPr>
                <w:rFonts w:hint="default" w:ascii="Times New Roman" w:hAnsi="Times New Roman" w:eastAsia="宋体" w:cs="Times New Roman"/>
                <w:color w:val="auto"/>
                <w:kern w:val="0"/>
                <w:sz w:val="22"/>
                <w:szCs w:val="22"/>
                <w:highlight w:val="none"/>
              </w:rPr>
            </w:pPr>
          </w:p>
        </w:tc>
        <w:tc>
          <w:tcPr>
            <w:tcW w:w="1283" w:type="dxa"/>
            <w:vMerge w:val="continue"/>
            <w:shd w:val="clear" w:color="auto" w:fill="FFFFFF"/>
            <w:vAlign w:val="center"/>
          </w:tcPr>
          <w:p w14:paraId="0490A8FD">
            <w:pPr>
              <w:spacing w:line="0" w:lineRule="atLeast"/>
              <w:jc w:val="center"/>
              <w:rPr>
                <w:rFonts w:hint="default" w:ascii="Times New Roman" w:hAnsi="Times New Roman" w:eastAsia="宋体" w:cs="Times New Roman"/>
                <w:color w:val="auto"/>
                <w:kern w:val="0"/>
                <w:sz w:val="22"/>
                <w:szCs w:val="22"/>
                <w:highlight w:val="none"/>
              </w:rPr>
            </w:pPr>
          </w:p>
        </w:tc>
        <w:tc>
          <w:tcPr>
            <w:tcW w:w="1707" w:type="dxa"/>
            <w:shd w:val="clear" w:color="auto" w:fill="FFFFFF"/>
            <w:vAlign w:val="center"/>
          </w:tcPr>
          <w:p w14:paraId="413E64A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预算执行率</w:t>
            </w:r>
          </w:p>
        </w:tc>
        <w:tc>
          <w:tcPr>
            <w:tcW w:w="727" w:type="dxa"/>
            <w:shd w:val="clear" w:color="auto" w:fill="FFFFFF"/>
            <w:vAlign w:val="center"/>
          </w:tcPr>
          <w:p w14:paraId="6FAF4E0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1044" w:type="dxa"/>
            <w:shd w:val="clear" w:color="auto" w:fill="FFFFFF"/>
            <w:vAlign w:val="center"/>
          </w:tcPr>
          <w:p w14:paraId="729D9BA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100%</w:t>
            </w:r>
          </w:p>
        </w:tc>
        <w:tc>
          <w:tcPr>
            <w:tcW w:w="924" w:type="dxa"/>
            <w:shd w:val="clear" w:color="auto" w:fill="FFFFFF"/>
            <w:vAlign w:val="center"/>
          </w:tcPr>
          <w:p w14:paraId="39B11744">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r>
              <w:rPr>
                <w:rFonts w:hint="default" w:ascii="Times New Roman" w:hAnsi="Times New Roman" w:eastAsia="宋体" w:cs="Times New Roman"/>
                <w:color w:val="auto"/>
                <w:kern w:val="0"/>
                <w:sz w:val="22"/>
                <w:szCs w:val="22"/>
                <w:highlight w:val="none"/>
              </w:rPr>
              <w:t>%</w:t>
            </w:r>
          </w:p>
        </w:tc>
        <w:tc>
          <w:tcPr>
            <w:tcW w:w="926" w:type="dxa"/>
            <w:shd w:val="clear" w:color="auto" w:fill="FFFFFF"/>
            <w:vAlign w:val="center"/>
          </w:tcPr>
          <w:p w14:paraId="27691F2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auto" w:fill="FFFFFF"/>
            <w:vAlign w:val="center"/>
          </w:tcPr>
          <w:p w14:paraId="4758EDAF">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4</w:t>
            </w:r>
          </w:p>
        </w:tc>
      </w:tr>
      <w:tr w14:paraId="74BFD7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7C7ECC5F">
            <w:pPr>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770352E6">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283" w:type="dxa"/>
            <w:shd w:val="clear" w:color="auto" w:fill="FFFFFF"/>
            <w:vAlign w:val="center"/>
          </w:tcPr>
          <w:p w14:paraId="5A827C84">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资金管理</w:t>
            </w:r>
          </w:p>
        </w:tc>
        <w:tc>
          <w:tcPr>
            <w:tcW w:w="1707" w:type="dxa"/>
            <w:shd w:val="clear" w:color="auto" w:fill="FFFFFF"/>
            <w:vAlign w:val="center"/>
          </w:tcPr>
          <w:p w14:paraId="16EA1DF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资金使用</w:t>
            </w:r>
          </w:p>
          <w:p w14:paraId="4BEC37A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合规性</w:t>
            </w:r>
          </w:p>
        </w:tc>
        <w:tc>
          <w:tcPr>
            <w:tcW w:w="727" w:type="dxa"/>
            <w:shd w:val="clear" w:color="000000" w:fill="FFFFFF"/>
            <w:vAlign w:val="center"/>
          </w:tcPr>
          <w:p w14:paraId="3F25F57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1044" w:type="dxa"/>
            <w:shd w:val="clear" w:color="000000" w:fill="FFFFFF"/>
            <w:vAlign w:val="center"/>
          </w:tcPr>
          <w:p w14:paraId="7D9A602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合格</w:t>
            </w:r>
          </w:p>
        </w:tc>
        <w:tc>
          <w:tcPr>
            <w:tcW w:w="924" w:type="dxa"/>
            <w:shd w:val="clear" w:color="000000" w:fill="FFFFFF"/>
            <w:vAlign w:val="center"/>
          </w:tcPr>
          <w:p w14:paraId="57666F54">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合格</w:t>
            </w:r>
          </w:p>
        </w:tc>
        <w:tc>
          <w:tcPr>
            <w:tcW w:w="926" w:type="dxa"/>
            <w:shd w:val="clear" w:color="000000" w:fill="FFFFFF"/>
            <w:vAlign w:val="center"/>
          </w:tcPr>
          <w:p w14:paraId="71ABDF7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4BEAB04C">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4</w:t>
            </w:r>
          </w:p>
        </w:tc>
      </w:tr>
      <w:tr w14:paraId="488D4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4021DA18">
            <w:pPr>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2E739404">
            <w:pPr>
              <w:spacing w:line="0" w:lineRule="atLeast"/>
              <w:jc w:val="center"/>
              <w:rPr>
                <w:rFonts w:hint="default" w:ascii="Times New Roman" w:hAnsi="Times New Roman" w:eastAsia="宋体" w:cs="Times New Roman"/>
                <w:color w:val="auto"/>
                <w:kern w:val="0"/>
                <w:sz w:val="22"/>
                <w:szCs w:val="22"/>
                <w:highlight w:val="none"/>
              </w:rPr>
            </w:pPr>
          </w:p>
        </w:tc>
        <w:tc>
          <w:tcPr>
            <w:tcW w:w="1283" w:type="dxa"/>
            <w:vMerge w:val="restart"/>
            <w:shd w:val="clear" w:color="auto" w:fill="FFFFFF"/>
            <w:vAlign w:val="center"/>
          </w:tcPr>
          <w:p w14:paraId="404137B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组织实施</w:t>
            </w:r>
          </w:p>
        </w:tc>
        <w:tc>
          <w:tcPr>
            <w:tcW w:w="1707" w:type="dxa"/>
            <w:shd w:val="clear" w:color="auto" w:fill="FFFFFF"/>
            <w:vAlign w:val="center"/>
          </w:tcPr>
          <w:p w14:paraId="0A80D2C4">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管理制度</w:t>
            </w:r>
          </w:p>
          <w:p w14:paraId="0F562B0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健全性</w:t>
            </w:r>
          </w:p>
        </w:tc>
        <w:tc>
          <w:tcPr>
            <w:tcW w:w="727" w:type="dxa"/>
            <w:shd w:val="clear" w:color="000000" w:fill="FFFFFF"/>
            <w:vAlign w:val="center"/>
          </w:tcPr>
          <w:p w14:paraId="265F3AA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1044" w:type="dxa"/>
            <w:shd w:val="clear" w:color="000000" w:fill="FFFFFF"/>
            <w:vAlign w:val="center"/>
          </w:tcPr>
          <w:p w14:paraId="014E601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健全</w:t>
            </w:r>
          </w:p>
        </w:tc>
        <w:tc>
          <w:tcPr>
            <w:tcW w:w="924" w:type="dxa"/>
            <w:shd w:val="clear" w:color="000000" w:fill="FFFFFF"/>
            <w:vAlign w:val="center"/>
          </w:tcPr>
          <w:p w14:paraId="42207DB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健全</w:t>
            </w:r>
          </w:p>
        </w:tc>
        <w:tc>
          <w:tcPr>
            <w:tcW w:w="926" w:type="dxa"/>
            <w:shd w:val="clear" w:color="000000" w:fill="FFFFFF"/>
            <w:vAlign w:val="center"/>
          </w:tcPr>
          <w:p w14:paraId="776F791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7E9B8EB7">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4</w:t>
            </w:r>
          </w:p>
        </w:tc>
      </w:tr>
      <w:tr w14:paraId="531C20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155F00BF">
            <w:pPr>
              <w:widowControl/>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6C93E432">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283" w:type="dxa"/>
            <w:vMerge w:val="continue"/>
            <w:shd w:val="clear" w:color="auto" w:fill="FFFFFF"/>
            <w:vAlign w:val="center"/>
          </w:tcPr>
          <w:p w14:paraId="41693702">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707" w:type="dxa"/>
            <w:shd w:val="clear" w:color="auto" w:fill="FFFFFF"/>
            <w:vAlign w:val="center"/>
          </w:tcPr>
          <w:p w14:paraId="3902C4F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制度执行</w:t>
            </w:r>
          </w:p>
          <w:p w14:paraId="58778C1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有效性</w:t>
            </w:r>
          </w:p>
        </w:tc>
        <w:tc>
          <w:tcPr>
            <w:tcW w:w="727" w:type="dxa"/>
            <w:shd w:val="clear" w:color="000000" w:fill="FFFFFF"/>
            <w:vAlign w:val="center"/>
          </w:tcPr>
          <w:p w14:paraId="2E774F0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1044" w:type="dxa"/>
            <w:shd w:val="clear" w:color="000000" w:fill="FFFFFF"/>
            <w:vAlign w:val="center"/>
          </w:tcPr>
          <w:p w14:paraId="7A9DEAE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有效</w:t>
            </w:r>
          </w:p>
        </w:tc>
        <w:tc>
          <w:tcPr>
            <w:tcW w:w="924" w:type="dxa"/>
            <w:shd w:val="clear" w:color="000000" w:fill="FFFFFF"/>
            <w:vAlign w:val="center"/>
          </w:tcPr>
          <w:p w14:paraId="35A305D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有效</w:t>
            </w:r>
          </w:p>
        </w:tc>
        <w:tc>
          <w:tcPr>
            <w:tcW w:w="926" w:type="dxa"/>
            <w:shd w:val="clear" w:color="000000" w:fill="FFFFFF"/>
            <w:vAlign w:val="center"/>
          </w:tcPr>
          <w:p w14:paraId="75E2EE6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3A1F91B4">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4</w:t>
            </w:r>
          </w:p>
        </w:tc>
      </w:tr>
      <w:tr w14:paraId="7C52AD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14:paraId="49FFA6F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w:t>
            </w:r>
          </w:p>
        </w:tc>
        <w:tc>
          <w:tcPr>
            <w:tcW w:w="990" w:type="dxa"/>
            <w:vMerge w:val="restart"/>
            <w:shd w:val="clear" w:color="auto" w:fill="FFFFFF"/>
            <w:vAlign w:val="center"/>
          </w:tcPr>
          <w:p w14:paraId="5830AD7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40分</w:t>
            </w:r>
          </w:p>
        </w:tc>
        <w:tc>
          <w:tcPr>
            <w:tcW w:w="1283" w:type="dxa"/>
            <w:shd w:val="clear" w:color="auto" w:fill="FFFFFF"/>
            <w:vAlign w:val="center"/>
          </w:tcPr>
          <w:p w14:paraId="45F2A94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产出数量</w:t>
            </w:r>
          </w:p>
        </w:tc>
        <w:tc>
          <w:tcPr>
            <w:tcW w:w="1707" w:type="dxa"/>
            <w:shd w:val="clear" w:color="auto" w:fill="FFFFFF"/>
            <w:vAlign w:val="center"/>
          </w:tcPr>
          <w:p w14:paraId="6C25A41C">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实际完成率</w:t>
            </w:r>
          </w:p>
        </w:tc>
        <w:tc>
          <w:tcPr>
            <w:tcW w:w="727" w:type="dxa"/>
            <w:shd w:val="clear" w:color="000000" w:fill="FFFFFF"/>
            <w:vAlign w:val="center"/>
          </w:tcPr>
          <w:p w14:paraId="72FB809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w:t>
            </w:r>
          </w:p>
        </w:tc>
        <w:tc>
          <w:tcPr>
            <w:tcW w:w="1044" w:type="dxa"/>
            <w:shd w:val="clear" w:color="000000" w:fill="FFFFFF"/>
            <w:vAlign w:val="center"/>
          </w:tcPr>
          <w:p w14:paraId="015EC72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100%</w:t>
            </w:r>
          </w:p>
        </w:tc>
        <w:tc>
          <w:tcPr>
            <w:tcW w:w="924" w:type="dxa"/>
            <w:shd w:val="clear" w:color="000000" w:fill="FFFFFF"/>
            <w:vAlign w:val="center"/>
          </w:tcPr>
          <w:p w14:paraId="79382BA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w:t>
            </w:r>
            <w:r>
              <w:rPr>
                <w:rFonts w:hint="eastAsia" w:ascii="Times New Roman" w:hAnsi="Times New Roman" w:eastAsia="宋体" w:cs="Times New Roman"/>
                <w:color w:val="auto"/>
                <w:kern w:val="0"/>
                <w:sz w:val="22"/>
                <w:szCs w:val="22"/>
                <w:highlight w:val="none"/>
                <w:lang w:val="en-US" w:eastAsia="zh-CN"/>
              </w:rPr>
              <w:t>00</w:t>
            </w:r>
            <w:r>
              <w:rPr>
                <w:rFonts w:hint="default" w:ascii="Times New Roman" w:hAnsi="Times New Roman" w:eastAsia="宋体" w:cs="Times New Roman"/>
                <w:color w:val="auto"/>
                <w:kern w:val="0"/>
                <w:sz w:val="22"/>
                <w:szCs w:val="22"/>
                <w:highlight w:val="none"/>
              </w:rPr>
              <w:t>%</w:t>
            </w:r>
          </w:p>
        </w:tc>
        <w:tc>
          <w:tcPr>
            <w:tcW w:w="926" w:type="dxa"/>
            <w:shd w:val="clear" w:color="000000" w:fill="FFFFFF"/>
            <w:vAlign w:val="center"/>
          </w:tcPr>
          <w:p w14:paraId="005BB4D4">
            <w:pPr>
              <w:widowControl/>
              <w:spacing w:line="0" w:lineRule="atLeast"/>
              <w:jc w:val="center"/>
              <w:rPr>
                <w:rFonts w:hint="default" w:ascii="Times New Roman" w:hAnsi="Times New Roman" w:eastAsia="宋体" w:cs="Times New Roman"/>
                <w:color w:val="auto"/>
                <w:kern w:val="0"/>
                <w:sz w:val="22"/>
                <w:szCs w:val="22"/>
                <w:highlight w:val="none"/>
                <w:lang w:val="en-US"/>
              </w:rPr>
            </w:pPr>
            <w:r>
              <w:rPr>
                <w:rFonts w:hint="eastAsia" w:ascii="Times New Roman" w:hAnsi="Times New Roman" w:eastAsia="宋体" w:cs="Times New Roman"/>
                <w:color w:val="auto"/>
                <w:kern w:val="0"/>
                <w:sz w:val="22"/>
                <w:szCs w:val="22"/>
                <w:highlight w:val="none"/>
                <w:lang w:val="en-US" w:eastAsia="zh-CN"/>
              </w:rPr>
              <w:t>100</w:t>
            </w:r>
            <w:r>
              <w:rPr>
                <w:rFonts w:hint="default" w:ascii="Times New Roman" w:hAnsi="Times New Roman" w:eastAsia="宋体" w:cs="Times New Roman"/>
                <w:color w:val="auto"/>
                <w:kern w:val="0"/>
                <w:sz w:val="22"/>
                <w:szCs w:val="22"/>
                <w:highlight w:val="none"/>
                <w:lang w:val="en-US" w:eastAsia="zh-CN"/>
              </w:rPr>
              <w:t>%</w:t>
            </w:r>
          </w:p>
        </w:tc>
        <w:tc>
          <w:tcPr>
            <w:tcW w:w="960" w:type="dxa"/>
            <w:shd w:val="clear" w:color="000000" w:fill="FFFFFF"/>
            <w:vAlign w:val="center"/>
          </w:tcPr>
          <w:p w14:paraId="1A72BEC2">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eastAsia" w:ascii="Times New Roman" w:hAnsi="Times New Roman" w:eastAsia="宋体" w:cs="Times New Roman"/>
                <w:color w:val="auto"/>
                <w:kern w:val="0"/>
                <w:sz w:val="22"/>
                <w:szCs w:val="22"/>
                <w:highlight w:val="none"/>
                <w:lang w:val="en-US" w:eastAsia="zh-CN"/>
              </w:rPr>
              <w:t>10</w:t>
            </w:r>
          </w:p>
        </w:tc>
      </w:tr>
      <w:tr w14:paraId="3DC483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42722546">
            <w:pPr>
              <w:widowControl/>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74554EFB">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283" w:type="dxa"/>
            <w:shd w:val="clear" w:color="auto" w:fill="FFFFFF"/>
            <w:vAlign w:val="center"/>
          </w:tcPr>
          <w:p w14:paraId="05B67ED6">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产出质量</w:t>
            </w:r>
          </w:p>
        </w:tc>
        <w:tc>
          <w:tcPr>
            <w:tcW w:w="1707" w:type="dxa"/>
            <w:shd w:val="clear" w:color="auto" w:fill="FFFFFF"/>
            <w:vAlign w:val="center"/>
          </w:tcPr>
          <w:p w14:paraId="0922BA6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质量达标率</w:t>
            </w:r>
          </w:p>
        </w:tc>
        <w:tc>
          <w:tcPr>
            <w:tcW w:w="727" w:type="dxa"/>
            <w:shd w:val="clear" w:color="000000" w:fill="FFFFFF"/>
            <w:vAlign w:val="center"/>
          </w:tcPr>
          <w:p w14:paraId="5A0442CF">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w:t>
            </w:r>
          </w:p>
        </w:tc>
        <w:tc>
          <w:tcPr>
            <w:tcW w:w="1044" w:type="dxa"/>
            <w:shd w:val="clear" w:color="000000" w:fill="FFFFFF"/>
            <w:vAlign w:val="center"/>
          </w:tcPr>
          <w:p w14:paraId="3F94AEC4">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100%</w:t>
            </w:r>
          </w:p>
        </w:tc>
        <w:tc>
          <w:tcPr>
            <w:tcW w:w="924" w:type="dxa"/>
            <w:shd w:val="clear" w:color="000000" w:fill="FFFFFF"/>
            <w:vAlign w:val="center"/>
          </w:tcPr>
          <w:p w14:paraId="15396CD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r>
              <w:rPr>
                <w:rFonts w:hint="default" w:ascii="Times New Roman" w:hAnsi="Times New Roman" w:eastAsia="宋体" w:cs="Times New Roman"/>
                <w:color w:val="auto"/>
                <w:kern w:val="0"/>
                <w:sz w:val="22"/>
                <w:szCs w:val="22"/>
                <w:highlight w:val="none"/>
              </w:rPr>
              <w:t>%</w:t>
            </w:r>
          </w:p>
        </w:tc>
        <w:tc>
          <w:tcPr>
            <w:tcW w:w="926" w:type="dxa"/>
            <w:shd w:val="clear" w:color="000000" w:fill="FFFFFF"/>
            <w:vAlign w:val="center"/>
          </w:tcPr>
          <w:p w14:paraId="42265B4C">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1F068AA4">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eastAsia="宋体" w:cs="Times New Roman"/>
                <w:color w:val="auto"/>
                <w:kern w:val="0"/>
                <w:sz w:val="22"/>
                <w:szCs w:val="22"/>
                <w:highlight w:val="none"/>
                <w:lang w:val="en-US" w:eastAsia="zh-CN"/>
              </w:rPr>
              <w:t>10</w:t>
            </w:r>
          </w:p>
        </w:tc>
      </w:tr>
      <w:tr w14:paraId="30363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1DB9C59C">
            <w:pPr>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12481F47">
            <w:pPr>
              <w:spacing w:line="0" w:lineRule="atLeast"/>
              <w:jc w:val="center"/>
              <w:rPr>
                <w:rFonts w:hint="default" w:ascii="Times New Roman" w:hAnsi="Times New Roman" w:eastAsia="宋体" w:cs="Times New Roman"/>
                <w:color w:val="auto"/>
                <w:kern w:val="0"/>
                <w:sz w:val="22"/>
                <w:szCs w:val="22"/>
                <w:highlight w:val="none"/>
              </w:rPr>
            </w:pPr>
          </w:p>
        </w:tc>
        <w:tc>
          <w:tcPr>
            <w:tcW w:w="1283" w:type="dxa"/>
            <w:shd w:val="clear" w:color="auto" w:fill="FFFFFF"/>
            <w:vAlign w:val="center"/>
          </w:tcPr>
          <w:p w14:paraId="3799932A">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产出时效</w:t>
            </w:r>
          </w:p>
        </w:tc>
        <w:tc>
          <w:tcPr>
            <w:tcW w:w="1707" w:type="dxa"/>
            <w:shd w:val="clear" w:color="auto" w:fill="FFFFFF"/>
            <w:vAlign w:val="center"/>
          </w:tcPr>
          <w:p w14:paraId="54DBFE4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完成及时性</w:t>
            </w:r>
          </w:p>
        </w:tc>
        <w:tc>
          <w:tcPr>
            <w:tcW w:w="727" w:type="dxa"/>
            <w:shd w:val="clear" w:color="000000" w:fill="FFFFFF"/>
            <w:vAlign w:val="center"/>
          </w:tcPr>
          <w:p w14:paraId="596573B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w:t>
            </w:r>
          </w:p>
        </w:tc>
        <w:tc>
          <w:tcPr>
            <w:tcW w:w="1044" w:type="dxa"/>
            <w:shd w:val="clear" w:color="000000" w:fill="FFFFFF"/>
            <w:vAlign w:val="center"/>
          </w:tcPr>
          <w:p w14:paraId="4F4D9B7B">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及时</w:t>
            </w:r>
          </w:p>
        </w:tc>
        <w:tc>
          <w:tcPr>
            <w:tcW w:w="924" w:type="dxa"/>
            <w:shd w:val="clear" w:color="000000" w:fill="FFFFFF"/>
            <w:vAlign w:val="center"/>
          </w:tcPr>
          <w:p w14:paraId="4C25F47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及时</w:t>
            </w:r>
          </w:p>
        </w:tc>
        <w:tc>
          <w:tcPr>
            <w:tcW w:w="926" w:type="dxa"/>
            <w:shd w:val="clear" w:color="000000" w:fill="FFFFFF"/>
            <w:vAlign w:val="center"/>
          </w:tcPr>
          <w:p w14:paraId="2928BAC6">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3A1984CA">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eastAsia="宋体" w:cs="Times New Roman"/>
                <w:color w:val="auto"/>
                <w:kern w:val="0"/>
                <w:sz w:val="22"/>
                <w:szCs w:val="22"/>
                <w:highlight w:val="none"/>
                <w:lang w:val="en-US" w:eastAsia="zh-CN"/>
              </w:rPr>
              <w:t>10</w:t>
            </w:r>
          </w:p>
        </w:tc>
      </w:tr>
      <w:tr w14:paraId="31C889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0E55C1ED">
            <w:pPr>
              <w:widowControl/>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00A5AD9C">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283" w:type="dxa"/>
            <w:shd w:val="clear" w:color="auto" w:fill="FFFFFF"/>
            <w:vAlign w:val="center"/>
          </w:tcPr>
          <w:p w14:paraId="3D816DAB">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产出成本</w:t>
            </w:r>
          </w:p>
        </w:tc>
        <w:tc>
          <w:tcPr>
            <w:tcW w:w="1707" w:type="dxa"/>
            <w:shd w:val="clear" w:color="auto" w:fill="FFFFFF"/>
            <w:vAlign w:val="center"/>
          </w:tcPr>
          <w:p w14:paraId="768C180C">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成本节约率</w:t>
            </w:r>
          </w:p>
        </w:tc>
        <w:tc>
          <w:tcPr>
            <w:tcW w:w="727" w:type="dxa"/>
            <w:shd w:val="clear" w:color="000000" w:fill="FFFFFF"/>
            <w:vAlign w:val="center"/>
          </w:tcPr>
          <w:p w14:paraId="74A0703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w:t>
            </w:r>
          </w:p>
        </w:tc>
        <w:tc>
          <w:tcPr>
            <w:tcW w:w="1044" w:type="dxa"/>
            <w:shd w:val="clear" w:color="000000" w:fill="FFFFFF"/>
            <w:vAlign w:val="center"/>
          </w:tcPr>
          <w:p w14:paraId="2BB3B7D9">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100%</w:t>
            </w:r>
          </w:p>
        </w:tc>
        <w:tc>
          <w:tcPr>
            <w:tcW w:w="924" w:type="dxa"/>
            <w:shd w:val="clear" w:color="000000" w:fill="FFFFFF"/>
            <w:vAlign w:val="center"/>
          </w:tcPr>
          <w:p w14:paraId="748428B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r>
              <w:rPr>
                <w:rFonts w:hint="default" w:ascii="Times New Roman" w:hAnsi="Times New Roman" w:eastAsia="宋体" w:cs="Times New Roman"/>
                <w:color w:val="auto"/>
                <w:kern w:val="0"/>
                <w:sz w:val="22"/>
                <w:szCs w:val="22"/>
                <w:highlight w:val="none"/>
              </w:rPr>
              <w:t>%</w:t>
            </w:r>
          </w:p>
        </w:tc>
        <w:tc>
          <w:tcPr>
            <w:tcW w:w="926" w:type="dxa"/>
            <w:shd w:val="clear" w:color="000000" w:fill="FFFFFF"/>
            <w:vAlign w:val="center"/>
          </w:tcPr>
          <w:p w14:paraId="5C00205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19250864">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eastAsia="宋体" w:cs="Times New Roman"/>
                <w:color w:val="auto"/>
                <w:kern w:val="0"/>
                <w:sz w:val="22"/>
                <w:szCs w:val="22"/>
                <w:highlight w:val="none"/>
                <w:lang w:val="en-US" w:eastAsia="zh-CN"/>
              </w:rPr>
              <w:t>10</w:t>
            </w:r>
          </w:p>
        </w:tc>
      </w:tr>
      <w:tr w14:paraId="157965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14:paraId="2AEA6FB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效益　</w:t>
            </w:r>
          </w:p>
        </w:tc>
        <w:tc>
          <w:tcPr>
            <w:tcW w:w="990" w:type="dxa"/>
            <w:vMerge w:val="restart"/>
            <w:shd w:val="clear" w:color="auto" w:fill="FFFFFF"/>
            <w:vAlign w:val="center"/>
          </w:tcPr>
          <w:p w14:paraId="20C5FFD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20分</w:t>
            </w:r>
          </w:p>
        </w:tc>
        <w:tc>
          <w:tcPr>
            <w:tcW w:w="1283" w:type="dxa"/>
            <w:vMerge w:val="restart"/>
            <w:shd w:val="clear" w:color="auto" w:fill="FFFFFF"/>
            <w:vAlign w:val="center"/>
          </w:tcPr>
          <w:p w14:paraId="6D5B69D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项目效益　</w:t>
            </w:r>
          </w:p>
        </w:tc>
        <w:tc>
          <w:tcPr>
            <w:tcW w:w="1707" w:type="dxa"/>
            <w:shd w:val="clear" w:color="auto" w:fill="FFFFFF"/>
            <w:vAlign w:val="center"/>
          </w:tcPr>
          <w:p w14:paraId="0CBB060F">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实施效益</w:t>
            </w:r>
          </w:p>
          <w:p w14:paraId="06ED67F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（社会效益）</w:t>
            </w:r>
          </w:p>
        </w:tc>
        <w:tc>
          <w:tcPr>
            <w:tcW w:w="727" w:type="dxa"/>
            <w:shd w:val="clear" w:color="auto" w:fill="FFFFFF"/>
            <w:vAlign w:val="center"/>
          </w:tcPr>
          <w:p w14:paraId="35ABF70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15</w:t>
            </w:r>
          </w:p>
        </w:tc>
        <w:tc>
          <w:tcPr>
            <w:tcW w:w="1044" w:type="dxa"/>
            <w:shd w:val="clear" w:color="auto" w:fill="FFFFFF"/>
            <w:vAlign w:val="center"/>
          </w:tcPr>
          <w:p w14:paraId="5FC373CB">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有效</w:t>
            </w:r>
          </w:p>
        </w:tc>
        <w:tc>
          <w:tcPr>
            <w:tcW w:w="924" w:type="dxa"/>
            <w:shd w:val="clear" w:color="auto" w:fill="FFFFFF"/>
            <w:vAlign w:val="center"/>
          </w:tcPr>
          <w:p w14:paraId="4F9F55B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有效</w:t>
            </w:r>
          </w:p>
        </w:tc>
        <w:tc>
          <w:tcPr>
            <w:tcW w:w="926" w:type="dxa"/>
            <w:shd w:val="clear" w:color="auto" w:fill="FFFFFF"/>
            <w:vAlign w:val="center"/>
          </w:tcPr>
          <w:p w14:paraId="6C8616BC">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auto" w:fill="FFFFFF"/>
            <w:vAlign w:val="center"/>
          </w:tcPr>
          <w:p w14:paraId="2DB0BFF6">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eastAsia="宋体" w:cs="Times New Roman"/>
                <w:color w:val="auto"/>
                <w:kern w:val="0"/>
                <w:sz w:val="22"/>
                <w:szCs w:val="22"/>
                <w:highlight w:val="none"/>
                <w:lang w:val="en-US" w:eastAsia="zh-CN"/>
              </w:rPr>
              <w:t>15</w:t>
            </w:r>
          </w:p>
        </w:tc>
      </w:tr>
      <w:tr w14:paraId="71E339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21CE5563">
            <w:pPr>
              <w:widowControl/>
              <w:spacing w:line="0" w:lineRule="atLeast"/>
              <w:jc w:val="center"/>
              <w:rPr>
                <w:rFonts w:hint="default" w:ascii="Times New Roman" w:hAnsi="Times New Roman" w:eastAsia="宋体" w:cs="Times New Roman"/>
                <w:color w:val="auto"/>
                <w:kern w:val="0"/>
                <w:sz w:val="22"/>
                <w:szCs w:val="22"/>
                <w:highlight w:val="none"/>
              </w:rPr>
            </w:pPr>
          </w:p>
        </w:tc>
        <w:tc>
          <w:tcPr>
            <w:tcW w:w="990" w:type="dxa"/>
            <w:vMerge w:val="continue"/>
            <w:shd w:val="clear" w:color="auto" w:fill="FFFFFF"/>
            <w:vAlign w:val="center"/>
          </w:tcPr>
          <w:p w14:paraId="5B4EFDC7">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283" w:type="dxa"/>
            <w:vMerge w:val="continue"/>
            <w:shd w:val="clear" w:color="auto" w:fill="FFFFFF"/>
            <w:vAlign w:val="center"/>
          </w:tcPr>
          <w:p w14:paraId="474D944C">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707" w:type="dxa"/>
            <w:shd w:val="clear" w:color="auto" w:fill="FFFFFF"/>
            <w:vAlign w:val="center"/>
          </w:tcPr>
          <w:p w14:paraId="3ED9EE1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满意度</w:t>
            </w:r>
          </w:p>
        </w:tc>
        <w:tc>
          <w:tcPr>
            <w:tcW w:w="727" w:type="dxa"/>
            <w:shd w:val="clear" w:color="000000" w:fill="FFFFFF"/>
            <w:vAlign w:val="center"/>
          </w:tcPr>
          <w:p w14:paraId="41EAAD69">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5</w:t>
            </w:r>
          </w:p>
        </w:tc>
        <w:tc>
          <w:tcPr>
            <w:tcW w:w="1044" w:type="dxa"/>
            <w:shd w:val="clear" w:color="000000" w:fill="FFFFFF"/>
            <w:vAlign w:val="center"/>
          </w:tcPr>
          <w:p w14:paraId="480630CC">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w:t>
            </w:r>
            <w:r>
              <w:rPr>
                <w:rFonts w:hint="default" w:ascii="Times New Roman" w:hAnsi="Times New Roman" w:eastAsia="宋体" w:cs="Times New Roman"/>
                <w:color w:val="auto"/>
                <w:kern w:val="0"/>
                <w:sz w:val="22"/>
                <w:szCs w:val="22"/>
                <w:highlight w:val="none"/>
                <w:lang w:val="en-US" w:eastAsia="zh-CN"/>
              </w:rPr>
              <w:t>90</w:t>
            </w:r>
            <w:r>
              <w:rPr>
                <w:rFonts w:hint="default" w:ascii="Times New Roman" w:hAnsi="Times New Roman" w:eastAsia="宋体" w:cs="Times New Roman"/>
                <w:color w:val="auto"/>
                <w:kern w:val="0"/>
                <w:sz w:val="22"/>
                <w:szCs w:val="22"/>
                <w:highlight w:val="none"/>
              </w:rPr>
              <w:t>%</w:t>
            </w:r>
          </w:p>
        </w:tc>
        <w:tc>
          <w:tcPr>
            <w:tcW w:w="924" w:type="dxa"/>
            <w:shd w:val="clear" w:color="000000" w:fill="FFFFFF"/>
            <w:vAlign w:val="center"/>
          </w:tcPr>
          <w:p w14:paraId="6B541A9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r>
              <w:rPr>
                <w:rFonts w:hint="default" w:ascii="Times New Roman" w:hAnsi="Times New Roman" w:eastAsia="宋体" w:cs="Times New Roman"/>
                <w:color w:val="auto"/>
                <w:kern w:val="0"/>
                <w:sz w:val="22"/>
                <w:szCs w:val="22"/>
                <w:highlight w:val="none"/>
              </w:rPr>
              <w:t>%</w:t>
            </w:r>
          </w:p>
        </w:tc>
        <w:tc>
          <w:tcPr>
            <w:tcW w:w="926" w:type="dxa"/>
            <w:shd w:val="clear" w:color="000000" w:fill="FFFFFF"/>
            <w:vAlign w:val="center"/>
          </w:tcPr>
          <w:p w14:paraId="47349BB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lang w:val="en-US" w:eastAsia="zh-CN"/>
              </w:rPr>
              <w:t>100%</w:t>
            </w:r>
          </w:p>
        </w:tc>
        <w:tc>
          <w:tcPr>
            <w:tcW w:w="960" w:type="dxa"/>
            <w:shd w:val="clear" w:color="000000" w:fill="FFFFFF"/>
            <w:vAlign w:val="center"/>
          </w:tcPr>
          <w:p w14:paraId="2B6ADE08">
            <w:pPr>
              <w:widowControl/>
              <w:spacing w:line="0" w:lineRule="atLeast"/>
              <w:jc w:val="center"/>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lang w:val="en-US" w:eastAsia="zh-CN"/>
              </w:rPr>
              <w:t>5</w:t>
            </w:r>
          </w:p>
        </w:tc>
      </w:tr>
    </w:tbl>
    <w:p w14:paraId="6DDECC10">
      <w:pPr>
        <w:pageBreakBefore w:val="0"/>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32"/>
          <w:szCs w:val="32"/>
          <w:highlight w:val="none"/>
        </w:rPr>
      </w:pPr>
    </w:p>
    <w:p w14:paraId="120172C2">
      <w:pPr>
        <w:pageBreakBefore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14:paraId="11E35ED0">
      <w:pPr>
        <w:pStyle w:val="2"/>
        <w:pageBreakBefore w:val="0"/>
        <w:kinsoku/>
        <w:wordWrap/>
        <w:overflowPunct/>
        <w:topLinePunct w:val="0"/>
        <w:autoSpaceDE/>
        <w:autoSpaceDN/>
        <w:bidi w:val="0"/>
        <w:adjustRightInd/>
        <w:snapToGrid/>
        <w:spacing w:before="0" w:after="0" w:line="500" w:lineRule="exact"/>
        <w:ind w:firstLine="643" w:firstLineChars="200"/>
        <w:jc w:val="both"/>
        <w:textAlignment w:val="auto"/>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14:paraId="16EBA6B0">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项目决策类指标包括项目立项、绩效目标和资金投入三方面的内容，由6个三级指标构成，权重分值为20分，实际得分</w:t>
      </w:r>
      <w:r>
        <w:rPr>
          <w:rFonts w:hint="eastAsia" w:ascii="仿宋_GB2312" w:hAnsi="仿宋_GB2312" w:cs="仿宋_GB2312"/>
          <w:sz w:val="32"/>
          <w:szCs w:val="32"/>
          <w:highlight w:val="none"/>
          <w:lang w:val="en-US" w:eastAsia="zh-CN"/>
        </w:rPr>
        <w:t>20</w:t>
      </w:r>
      <w:r>
        <w:rPr>
          <w:rFonts w:hint="eastAsia" w:ascii="仿宋_GB2312" w:hAnsi="仿宋_GB2312" w:eastAsia="仿宋_GB2312" w:cs="仿宋_GB2312"/>
          <w:sz w:val="32"/>
          <w:szCs w:val="32"/>
          <w:highlight w:val="none"/>
          <w:lang w:val="en-US" w:eastAsia="zh-CN"/>
        </w:rPr>
        <w:t>分，得分率为</w:t>
      </w:r>
      <w:r>
        <w:rPr>
          <w:rFonts w:hint="eastAsia" w:ascii="仿宋_GB2312" w:hAnsi="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val="en-US" w:eastAsia="zh-CN"/>
        </w:rPr>
        <w:t>%。</w:t>
      </w:r>
    </w:p>
    <w:p w14:paraId="2F0F3390">
      <w:pPr>
        <w:pStyle w:val="1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14:paraId="3AD0D7C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14:paraId="38BCE10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05C544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（2）立项程序规范性</w:t>
      </w:r>
    </w:p>
    <w:p w14:paraId="4793371D">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2410D60">
      <w:pPr>
        <w:pStyle w:val="1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2.绩效目标</w:t>
      </w:r>
    </w:p>
    <w:p w14:paraId="2AE117F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（1）绩效目标合理性</w:t>
      </w:r>
    </w:p>
    <w:p w14:paraId="31EE710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Hans"/>
        </w:rPr>
        <w:t>年初结合实际工作内容</w:t>
      </w:r>
      <w:r>
        <w:rPr>
          <w:rFonts w:hint="eastAsia" w:ascii="仿宋_GB2312" w:hAnsi="仿宋_GB2312" w:eastAsia="仿宋_GB2312" w:cs="仿宋_GB2312"/>
          <w:sz w:val="32"/>
          <w:szCs w:val="32"/>
          <w:highlight w:val="none"/>
          <w:lang w:val="en-US" w:eastAsia="zh-CN"/>
        </w:rPr>
        <w:t>设定绩效目标</w:t>
      </w:r>
      <w:r>
        <w:rPr>
          <w:rFonts w:hint="eastAsia" w:ascii="仿宋_GB2312" w:hAnsi="仿宋_GB2312" w:eastAsia="仿宋_GB2312" w:cs="仿宋_GB2312"/>
          <w:sz w:val="32"/>
          <w:szCs w:val="32"/>
          <w:highlight w:val="none"/>
          <w:lang w:val="en-US" w:eastAsia="zh-Hans"/>
        </w:rPr>
        <w:t>，绩效目标</w:t>
      </w:r>
      <w:r>
        <w:rPr>
          <w:rFonts w:hint="eastAsia" w:ascii="仿宋_GB2312" w:hAnsi="仿宋_GB2312" w:eastAsia="仿宋_GB2312" w:cs="仿宋_GB2312"/>
          <w:sz w:val="32"/>
          <w:szCs w:val="32"/>
          <w:highlight w:val="none"/>
          <w:lang w:val="en-US" w:eastAsia="zh-CN"/>
        </w:rPr>
        <w:t>依据充分，符合客观实际，能反映和考核项目绩效目标与项目实施的相符情况，依据绩效目标设定的绩效指标清晰、细化、可衡量，能反映和考核项目绩效目标</w:t>
      </w:r>
      <w:r>
        <w:rPr>
          <w:rFonts w:hint="eastAsia" w:ascii="仿宋_GB2312" w:hAnsi="仿宋_GB2312" w:cs="仿宋_GB2312"/>
          <w:sz w:val="32"/>
          <w:szCs w:val="32"/>
          <w:highlight w:val="none"/>
          <w:lang w:val="en-US" w:eastAsia="zh-CN"/>
        </w:rPr>
        <w:t>的</w:t>
      </w:r>
      <w:r>
        <w:rPr>
          <w:rFonts w:hint="eastAsia" w:ascii="仿宋_GB2312" w:hAnsi="仿宋_GB2312" w:eastAsia="仿宋_GB2312" w:cs="仿宋_GB2312"/>
          <w:sz w:val="32"/>
          <w:szCs w:val="32"/>
          <w:highlight w:val="none"/>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260F169E">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（2）绩效指标明确性</w:t>
      </w:r>
    </w:p>
    <w:p w14:paraId="5ACC063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4B342F9A">
      <w:pPr>
        <w:pStyle w:val="1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3.资金投入</w:t>
      </w:r>
    </w:p>
    <w:p w14:paraId="37D846D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（1）预算编制科学性</w:t>
      </w:r>
    </w:p>
    <w:p w14:paraId="0EB1E2A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预算编制经过科学论证，提供充分的测算依据佐证资料，预算内容与项目内容相匹配。项目投资额与工作任务相匹配。</w:t>
      </w:r>
    </w:p>
    <w:p w14:paraId="60248E7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（2）资金分配合理性</w:t>
      </w:r>
    </w:p>
    <w:p w14:paraId="39C04A0E">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资金分配额度与项目单位实际工作内容相适应，资金分配额度合理，资金分配依据充分。</w:t>
      </w:r>
    </w:p>
    <w:p w14:paraId="56446D4F">
      <w:pPr>
        <w:pStyle w:val="2"/>
        <w:pageBreakBefore w:val="0"/>
        <w:numPr>
          <w:ilvl w:val="0"/>
          <w:numId w:val="0"/>
        </w:numPr>
        <w:kinsoku/>
        <w:wordWrap/>
        <w:overflowPunct/>
        <w:topLinePunct w:val="0"/>
        <w:autoSpaceDE/>
        <w:autoSpaceDN/>
        <w:bidi w:val="0"/>
        <w:adjustRightInd/>
        <w:snapToGrid/>
        <w:spacing w:before="0" w:after="0" w:line="500" w:lineRule="exact"/>
        <w:ind w:firstLine="643" w:firstLineChars="200"/>
        <w:jc w:val="both"/>
        <w:textAlignment w:val="auto"/>
        <w:rPr>
          <w:rFonts w:hint="default" w:ascii="Times New Roman" w:hAnsi="Times New Roman" w:cs="Times New Roman"/>
          <w:color w:val="auto"/>
          <w:highlight w:val="none"/>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二</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rPr>
        <w:t>项目过程情况</w:t>
      </w:r>
    </w:p>
    <w:p w14:paraId="5288322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w:t>
      </w:r>
      <w:r>
        <w:rPr>
          <w:rFonts w:hint="eastAsia" w:ascii="仿宋_GB2312" w:hAnsi="仿宋_GB2312" w:cs="仿宋_GB2312"/>
          <w:sz w:val="32"/>
          <w:szCs w:val="32"/>
          <w:highlight w:val="none"/>
          <w:lang w:val="en-US" w:eastAsia="zh-CN"/>
        </w:rPr>
        <w:t>20</w:t>
      </w:r>
      <w:r>
        <w:rPr>
          <w:rFonts w:hint="eastAsia" w:ascii="仿宋_GB2312" w:hAnsi="仿宋_GB2312" w:eastAsia="仿宋_GB2312" w:cs="仿宋_GB2312"/>
          <w:sz w:val="32"/>
          <w:szCs w:val="32"/>
          <w:highlight w:val="none"/>
          <w:lang w:val="en-US" w:eastAsia="zh-CN"/>
        </w:rPr>
        <w:t>分，得分率为</w:t>
      </w:r>
      <w:r>
        <w:rPr>
          <w:rFonts w:hint="eastAsia" w:ascii="仿宋_GB2312" w:hAnsi="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val="en-US" w:eastAsia="zh-CN"/>
        </w:rPr>
        <w:t>%。</w:t>
      </w:r>
    </w:p>
    <w:p w14:paraId="70AD78F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38C247AA">
      <w:pPr>
        <w:pStyle w:val="1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14:paraId="15813517">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14:paraId="26DE2014">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w:t>
      </w:r>
      <w:r>
        <w:rPr>
          <w:rFonts w:hint="eastAsia" w:ascii="仿宋_GB2312" w:hAnsi="仿宋_GB2312" w:cs="仿宋_GB2312"/>
          <w:sz w:val="32"/>
          <w:szCs w:val="32"/>
          <w:highlight w:val="none"/>
          <w:lang w:val="en-US" w:eastAsia="zh-CN"/>
        </w:rPr>
        <w:t>1254.97</w:t>
      </w:r>
      <w:r>
        <w:rPr>
          <w:rFonts w:hint="eastAsia" w:ascii="仿宋_GB2312" w:hAnsi="仿宋_GB2312" w:eastAsia="仿宋_GB2312" w:cs="仿宋_GB2312"/>
          <w:sz w:val="32"/>
          <w:szCs w:val="32"/>
          <w:highlight w:val="none"/>
          <w:lang w:val="en-US" w:eastAsia="zh-CN"/>
        </w:rPr>
        <w:t>万元，财政资金及时足额到位，到位</w:t>
      </w:r>
      <w:r>
        <w:rPr>
          <w:rFonts w:hint="eastAsia" w:ascii="仿宋_GB2312" w:hAnsi="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val="en-US" w:eastAsia="zh-CN"/>
        </w:rPr>
        <w:t>%，预算资金按计划进度执行。</w:t>
      </w:r>
    </w:p>
    <w:p w14:paraId="6DBC3CB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14:paraId="0387E4F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w:t>
      </w:r>
      <w:r>
        <w:rPr>
          <w:rFonts w:hint="eastAsia" w:ascii="仿宋_GB2312" w:hAnsi="仿宋_GB2312" w:cs="仿宋_GB2312"/>
          <w:sz w:val="32"/>
          <w:szCs w:val="32"/>
          <w:highlight w:val="none"/>
          <w:lang w:val="en-US" w:eastAsia="zh-CN"/>
        </w:rPr>
        <w:t>1254.97</w:t>
      </w:r>
      <w:r>
        <w:rPr>
          <w:rFonts w:hint="eastAsia" w:ascii="仿宋_GB2312" w:hAnsi="仿宋_GB2312" w:eastAsia="仿宋_GB2312" w:cs="仿宋_GB2312"/>
          <w:sz w:val="32"/>
          <w:szCs w:val="32"/>
          <w:highlight w:val="none"/>
          <w:lang w:val="en-US" w:eastAsia="zh-CN"/>
        </w:rPr>
        <w:t>万元，预算执行率为</w:t>
      </w:r>
      <w:r>
        <w:rPr>
          <w:rFonts w:hint="eastAsia" w:ascii="仿宋_GB2312" w:hAnsi="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val="en-US" w:eastAsia="zh-CN"/>
        </w:rPr>
        <w:t>%。</w:t>
      </w:r>
    </w:p>
    <w:p w14:paraId="30626BB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14:paraId="713AE79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16B7CEA">
      <w:pPr>
        <w:pStyle w:val="1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14:paraId="21523DD9">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14:paraId="7976756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FE8596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14:paraId="0992B757">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outlineLvl w:val="0"/>
        <w:rPr>
          <w:rFonts w:hint="default" w:ascii="Times New Roman" w:hAnsi="Times New Roman" w:cs="Times New Roman"/>
          <w:color w:val="auto"/>
          <w:highlight w:val="none"/>
        </w:rPr>
      </w:pPr>
      <w:r>
        <w:rPr>
          <w:rFonts w:hint="eastAsia" w:ascii="仿宋_GB2312" w:hAnsi="仿宋_GB2312" w:eastAsia="仿宋_GB2312" w:cs="仿宋_GB2312"/>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14:paraId="7B2FE574">
      <w:pPr>
        <w:pStyle w:val="8"/>
        <w:pageBreakBefore w:val="0"/>
        <w:numPr>
          <w:ilvl w:val="0"/>
          <w:numId w:val="0"/>
        </w:numPr>
        <w:kinsoku/>
        <w:wordWrap/>
        <w:overflowPunct/>
        <w:topLinePunct w:val="0"/>
        <w:autoSpaceDE/>
        <w:autoSpaceDN/>
        <w:bidi w:val="0"/>
        <w:adjustRightInd/>
        <w:snapToGrid/>
        <w:spacing w:after="0" w:line="50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lang w:eastAsia="zh-CN"/>
        </w:rPr>
        <w:t>（</w:t>
      </w:r>
      <w:r>
        <w:rPr>
          <w:rFonts w:hint="default" w:ascii="Times New Roman" w:hAnsi="Times New Roman" w:eastAsia="楷体_GB2312" w:cs="Times New Roman"/>
          <w:b/>
          <w:bCs/>
          <w:color w:val="auto"/>
          <w:sz w:val="32"/>
          <w:szCs w:val="32"/>
          <w:highlight w:val="none"/>
          <w:lang w:val="en-US" w:eastAsia="zh-CN"/>
        </w:rPr>
        <w:t>三</w:t>
      </w:r>
      <w:r>
        <w:rPr>
          <w:rFonts w:hint="default" w:ascii="Times New Roman" w:hAnsi="Times New Roman" w:eastAsia="楷体_GB2312" w:cs="Times New Roman"/>
          <w:b/>
          <w:bCs/>
          <w:color w:val="auto"/>
          <w:sz w:val="32"/>
          <w:szCs w:val="32"/>
          <w:highlight w:val="none"/>
          <w:lang w:eastAsia="zh-CN"/>
        </w:rPr>
        <w:t>）</w:t>
      </w:r>
      <w:r>
        <w:rPr>
          <w:rFonts w:hint="default" w:ascii="Times New Roman" w:hAnsi="Times New Roman" w:eastAsia="楷体_GB2312" w:cs="Times New Roman"/>
          <w:b/>
          <w:bCs/>
          <w:color w:val="auto"/>
          <w:sz w:val="32"/>
          <w:szCs w:val="32"/>
          <w:highlight w:val="none"/>
        </w:rPr>
        <w:t>项目产出</w:t>
      </w:r>
    </w:p>
    <w:p w14:paraId="194257A8">
      <w:pPr>
        <w:pageBreakBefore w:val="0"/>
        <w:numPr>
          <w:ilvl w:val="0"/>
          <w:numId w:val="0"/>
        </w:numPr>
        <w:kinsoku/>
        <w:wordWrap/>
        <w:overflowPunct/>
        <w:topLinePunct w:val="0"/>
        <w:autoSpaceDE/>
        <w:autoSpaceDN/>
        <w:bidi w:val="0"/>
        <w:adjustRightInd/>
        <w:snapToGrid/>
        <w:spacing w:line="500" w:lineRule="exact"/>
        <w:ind w:firstLine="627" w:firstLineChars="200"/>
        <w:textAlignment w:val="auto"/>
        <w:rPr>
          <w:rStyle w:val="11"/>
          <w:rFonts w:hint="default" w:ascii="Times New Roman" w:hAnsi="Times New Roman" w:eastAsia="方正仿宋_GB2312" w:cs="Times New Roman"/>
          <w:bCs w:val="0"/>
          <w:color w:val="auto"/>
          <w:spacing w:val="-4"/>
          <w:sz w:val="32"/>
          <w:szCs w:val="32"/>
          <w:highlight w:val="none"/>
        </w:rPr>
      </w:pPr>
      <w:r>
        <w:rPr>
          <w:rStyle w:val="11"/>
          <w:rFonts w:hint="default" w:ascii="Times New Roman" w:hAnsi="Times New Roman" w:eastAsia="方正仿宋_GB2312" w:cs="Times New Roman"/>
          <w:bCs w:val="0"/>
          <w:color w:val="auto"/>
          <w:spacing w:val="-4"/>
          <w:sz w:val="32"/>
          <w:szCs w:val="32"/>
          <w:highlight w:val="none"/>
          <w:lang w:val="en-US" w:eastAsia="zh-CN"/>
        </w:rPr>
        <w:t>1.</w:t>
      </w:r>
      <w:r>
        <w:rPr>
          <w:rStyle w:val="11"/>
          <w:rFonts w:hint="default" w:ascii="Times New Roman" w:hAnsi="Times New Roman" w:eastAsia="方正仿宋_GB2312" w:cs="Times New Roman"/>
          <w:bCs w:val="0"/>
          <w:color w:val="auto"/>
          <w:spacing w:val="-4"/>
          <w:sz w:val="32"/>
          <w:szCs w:val="32"/>
          <w:highlight w:val="none"/>
        </w:rPr>
        <w:t>数量指标方面：</w:t>
      </w:r>
    </w:p>
    <w:p w14:paraId="7FEC1BED">
      <w:pPr>
        <w:pageBreakBefore w:val="0"/>
        <w:numPr>
          <w:ilvl w:val="0"/>
          <w:numId w:val="0"/>
        </w:numPr>
        <w:kinsoku/>
        <w:wordWrap/>
        <w:overflowPunct/>
        <w:topLinePunct w:val="0"/>
        <w:autoSpaceDE/>
        <w:autoSpaceDN/>
        <w:bidi w:val="0"/>
        <w:adjustRightInd/>
        <w:snapToGrid/>
        <w:spacing w:line="500" w:lineRule="exact"/>
        <w:ind w:firstLine="624" w:firstLineChars="200"/>
        <w:textAlignment w:val="auto"/>
        <w:rPr>
          <w:rStyle w:val="11"/>
          <w:rFonts w:hint="default" w:ascii="Times New Roman" w:hAnsi="Times New Roman" w:eastAsia="方正仿宋_GB2312" w:cs="Times New Roman"/>
          <w:b w:val="0"/>
          <w:bCs/>
          <w:color w:val="auto"/>
          <w:spacing w:val="-4"/>
          <w:sz w:val="32"/>
          <w:szCs w:val="32"/>
          <w:highlight w:val="none"/>
          <w:lang w:val="en-US" w:eastAsia="zh-CN"/>
        </w:rPr>
      </w:pPr>
      <w:r>
        <w:rPr>
          <w:rStyle w:val="11"/>
          <w:rFonts w:hint="default" w:ascii="Times New Roman" w:hAnsi="Times New Roman" w:eastAsia="方正仿宋_GB2312" w:cs="Times New Roman"/>
          <w:b w:val="0"/>
          <w:bCs/>
          <w:color w:val="auto"/>
          <w:spacing w:val="-4"/>
          <w:sz w:val="32"/>
          <w:szCs w:val="32"/>
          <w:highlight w:val="none"/>
          <w:lang w:val="en-US" w:eastAsia="zh-CN"/>
        </w:rPr>
        <w:t>a.组织开展食品抽检监测任务数（单位：批次），指标值为≥7049批次，实际完</w:t>
      </w:r>
      <w:r>
        <w:rPr>
          <w:rStyle w:val="11"/>
          <w:rFonts w:hint="default" w:ascii="Times New Roman" w:hAnsi="Times New Roman" w:eastAsia="方正仿宋_GB2312" w:cs="Times New Roman"/>
          <w:b w:val="0"/>
          <w:bCs/>
          <w:color w:val="auto"/>
          <w:spacing w:val="-4"/>
          <w:sz w:val="32"/>
          <w:szCs w:val="32"/>
          <w:highlight w:val="none"/>
          <w:u w:val="none"/>
          <w:lang w:val="en-US" w:eastAsia="zh-CN"/>
        </w:rPr>
        <w:t>成</w:t>
      </w:r>
      <w:r>
        <w:rPr>
          <w:rStyle w:val="11"/>
          <w:rFonts w:hint="eastAsia" w:eastAsia="方正仿宋_GB2312" w:cs="Times New Roman"/>
          <w:b w:val="0"/>
          <w:bCs/>
          <w:color w:val="auto"/>
          <w:spacing w:val="-4"/>
          <w:sz w:val="32"/>
          <w:szCs w:val="32"/>
          <w:highlight w:val="none"/>
          <w:u w:val="none"/>
          <w:lang w:val="en-US" w:eastAsia="zh-CN"/>
        </w:rPr>
        <w:t>7182</w:t>
      </w:r>
      <w:r>
        <w:rPr>
          <w:rStyle w:val="11"/>
          <w:rFonts w:hint="default" w:ascii="Times New Roman" w:hAnsi="Times New Roman" w:eastAsia="方正仿宋_GB2312" w:cs="Times New Roman"/>
          <w:b w:val="0"/>
          <w:bCs/>
          <w:color w:val="auto"/>
          <w:spacing w:val="-4"/>
          <w:sz w:val="32"/>
          <w:szCs w:val="32"/>
          <w:highlight w:val="none"/>
          <w:u w:val="none"/>
          <w:lang w:val="en-US" w:eastAsia="zh-CN"/>
        </w:rPr>
        <w:t>批次，完成率</w:t>
      </w:r>
      <w:r>
        <w:rPr>
          <w:rStyle w:val="11"/>
          <w:rFonts w:hint="eastAsia" w:eastAsia="方正仿宋_GB2312" w:cs="Times New Roman"/>
          <w:b w:val="0"/>
          <w:bCs/>
          <w:color w:val="auto"/>
          <w:spacing w:val="-4"/>
          <w:sz w:val="32"/>
          <w:szCs w:val="32"/>
          <w:highlight w:val="none"/>
          <w:u w:val="none"/>
          <w:lang w:val="en-US" w:eastAsia="zh-CN"/>
        </w:rPr>
        <w:t>101.88</w:t>
      </w:r>
      <w:r>
        <w:rPr>
          <w:rStyle w:val="11"/>
          <w:rFonts w:hint="default" w:ascii="Times New Roman" w:hAnsi="Times New Roman" w:eastAsia="方正仿宋_GB2312" w:cs="Times New Roman"/>
          <w:b w:val="0"/>
          <w:bCs/>
          <w:color w:val="auto"/>
          <w:spacing w:val="-4"/>
          <w:sz w:val="32"/>
          <w:szCs w:val="32"/>
          <w:highlight w:val="none"/>
          <w:u w:val="none"/>
          <w:lang w:val="en-US" w:eastAsia="zh-CN"/>
        </w:rPr>
        <w:t>%、</w:t>
      </w:r>
      <w:r>
        <w:rPr>
          <w:rStyle w:val="11"/>
          <w:rFonts w:hint="default" w:ascii="Times New Roman" w:hAnsi="Times New Roman" w:eastAsia="方正仿宋_GB2312" w:cs="Times New Roman"/>
          <w:b w:val="0"/>
          <w:bCs/>
          <w:color w:val="auto"/>
          <w:spacing w:val="-4"/>
          <w:sz w:val="32"/>
          <w:szCs w:val="32"/>
          <w:highlight w:val="none"/>
          <w:lang w:val="en-US" w:eastAsia="zh-CN"/>
        </w:rPr>
        <w:t>偏差率</w:t>
      </w:r>
      <w:r>
        <w:rPr>
          <w:rStyle w:val="11"/>
          <w:rFonts w:hint="eastAsia" w:eastAsia="方正仿宋_GB2312" w:cs="Times New Roman"/>
          <w:b w:val="0"/>
          <w:bCs/>
          <w:color w:val="auto"/>
          <w:spacing w:val="-4"/>
          <w:sz w:val="32"/>
          <w:szCs w:val="32"/>
          <w:highlight w:val="none"/>
          <w:lang w:val="en-US" w:eastAsia="zh-CN"/>
        </w:rPr>
        <w:t>1.88</w:t>
      </w:r>
      <w:r>
        <w:rPr>
          <w:rStyle w:val="11"/>
          <w:rFonts w:hint="default" w:ascii="Times New Roman" w:hAnsi="Times New Roman" w:eastAsia="方正仿宋_GB2312" w:cs="Times New Roman"/>
          <w:b w:val="0"/>
          <w:bCs/>
          <w:color w:val="auto"/>
          <w:spacing w:val="-4"/>
          <w:sz w:val="32"/>
          <w:szCs w:val="32"/>
          <w:highlight w:val="none"/>
          <w:lang w:val="en-US" w:eastAsia="zh-CN"/>
        </w:rPr>
        <w:t>%。</w:t>
      </w:r>
    </w:p>
    <w:p w14:paraId="2BBE0C52">
      <w:pPr>
        <w:pStyle w:val="2"/>
        <w:pageBreakBefore w:val="0"/>
        <w:kinsoku/>
        <w:wordWrap/>
        <w:overflowPunct/>
        <w:topLinePunct w:val="0"/>
        <w:autoSpaceDE/>
        <w:autoSpaceDN/>
        <w:bidi w:val="0"/>
        <w:adjustRightInd/>
        <w:snapToGrid/>
        <w:spacing w:before="0" w:after="0" w:line="500" w:lineRule="exact"/>
        <w:ind w:firstLine="624" w:firstLineChars="200"/>
        <w:jc w:val="both"/>
        <w:textAlignment w:val="auto"/>
        <w:rPr>
          <w:rStyle w:val="11"/>
          <w:rFonts w:hint="default" w:ascii="Times New Roman" w:hAnsi="Times New Roman" w:eastAsia="方正仿宋_GB2312" w:cs="Times New Roman"/>
          <w:b w:val="0"/>
          <w:bCs/>
          <w:color w:val="auto"/>
          <w:spacing w:val="-4"/>
          <w:kern w:val="2"/>
          <w:sz w:val="32"/>
          <w:szCs w:val="32"/>
          <w:highlight w:val="none"/>
          <w:lang w:val="en-US" w:eastAsia="zh-CN" w:bidi="ar-SA"/>
        </w:rPr>
      </w:pPr>
      <w:r>
        <w:rPr>
          <w:rStyle w:val="11"/>
          <w:rFonts w:hint="default" w:ascii="Times New Roman" w:hAnsi="Times New Roman" w:eastAsia="方正仿宋_GB2312" w:cs="Times New Roman"/>
          <w:b w:val="0"/>
          <w:bCs/>
          <w:color w:val="auto"/>
          <w:spacing w:val="-4"/>
          <w:kern w:val="2"/>
          <w:sz w:val="32"/>
          <w:szCs w:val="32"/>
          <w:highlight w:val="none"/>
          <w:lang w:val="en-US" w:eastAsia="zh-CN" w:bidi="ar-SA"/>
        </w:rPr>
        <w:t>b.抽检信息公示率（已公示数占总任务量的百分比），指标值为≥90%，实际完</w:t>
      </w:r>
      <w:r>
        <w:rPr>
          <w:rStyle w:val="11"/>
          <w:rFonts w:hint="default" w:ascii="Times New Roman" w:hAnsi="Times New Roman" w:eastAsia="方正仿宋_GB2312" w:cs="Times New Roman"/>
          <w:b w:val="0"/>
          <w:bCs/>
          <w:color w:val="auto"/>
          <w:spacing w:val="-4"/>
          <w:kern w:val="2"/>
          <w:sz w:val="32"/>
          <w:szCs w:val="32"/>
          <w:highlight w:val="none"/>
          <w:u w:val="none"/>
          <w:lang w:val="en-US" w:eastAsia="zh-CN" w:bidi="ar-SA"/>
        </w:rPr>
        <w:t>成</w:t>
      </w:r>
      <w:r>
        <w:rPr>
          <w:rStyle w:val="11"/>
          <w:rFonts w:hint="eastAsia" w:ascii="Times New Roman" w:hAnsi="Times New Roman" w:eastAsia="方正仿宋_GB2312" w:cs="Times New Roman"/>
          <w:b w:val="0"/>
          <w:bCs/>
          <w:color w:val="auto"/>
          <w:spacing w:val="-4"/>
          <w:kern w:val="2"/>
          <w:sz w:val="32"/>
          <w:szCs w:val="32"/>
          <w:highlight w:val="none"/>
          <w:u w:val="none"/>
          <w:lang w:val="en-US" w:eastAsia="zh-CN" w:bidi="ar-SA"/>
        </w:rPr>
        <w:t>90</w:t>
      </w:r>
      <w:r>
        <w:rPr>
          <w:rStyle w:val="11"/>
          <w:rFonts w:hint="default" w:ascii="Times New Roman" w:hAnsi="Times New Roman" w:eastAsia="方正仿宋_GB2312" w:cs="Times New Roman"/>
          <w:b w:val="0"/>
          <w:bCs/>
          <w:color w:val="auto"/>
          <w:spacing w:val="-4"/>
          <w:kern w:val="2"/>
          <w:sz w:val="32"/>
          <w:szCs w:val="32"/>
          <w:highlight w:val="none"/>
          <w:u w:val="none"/>
          <w:lang w:val="en-US" w:eastAsia="zh-CN" w:bidi="ar-SA"/>
        </w:rPr>
        <w:t>%，完成率</w:t>
      </w:r>
      <w:r>
        <w:rPr>
          <w:rStyle w:val="11"/>
          <w:rFonts w:hint="eastAsia" w:ascii="Times New Roman" w:hAnsi="Times New Roman" w:eastAsia="方正仿宋_GB2312" w:cs="Times New Roman"/>
          <w:b w:val="0"/>
          <w:bCs/>
          <w:color w:val="auto"/>
          <w:spacing w:val="-4"/>
          <w:kern w:val="2"/>
          <w:sz w:val="32"/>
          <w:szCs w:val="32"/>
          <w:highlight w:val="none"/>
          <w:u w:val="none"/>
          <w:lang w:val="en-US" w:eastAsia="zh-CN" w:bidi="ar-SA"/>
        </w:rPr>
        <w:t>100</w:t>
      </w:r>
      <w:r>
        <w:rPr>
          <w:rStyle w:val="11"/>
          <w:rFonts w:hint="default" w:ascii="Times New Roman" w:hAnsi="Times New Roman" w:eastAsia="方正仿宋_GB2312" w:cs="Times New Roman"/>
          <w:b w:val="0"/>
          <w:bCs/>
          <w:color w:val="auto"/>
          <w:spacing w:val="-4"/>
          <w:kern w:val="2"/>
          <w:sz w:val="32"/>
          <w:szCs w:val="32"/>
          <w:highlight w:val="none"/>
          <w:u w:val="none"/>
          <w:lang w:val="en-US" w:eastAsia="zh-CN" w:bidi="ar-SA"/>
        </w:rPr>
        <w:t>%</w:t>
      </w:r>
      <w:r>
        <w:rPr>
          <w:rStyle w:val="11"/>
          <w:rFonts w:hint="eastAsia" w:ascii="Times New Roman" w:hAnsi="Times New Roman" w:eastAsia="方正仿宋_GB2312" w:cs="Times New Roman"/>
          <w:b w:val="0"/>
          <w:bCs/>
          <w:color w:val="auto"/>
          <w:spacing w:val="-4"/>
          <w:kern w:val="2"/>
          <w:sz w:val="32"/>
          <w:szCs w:val="32"/>
          <w:highlight w:val="none"/>
          <w:u w:val="none"/>
          <w:lang w:val="en-US" w:eastAsia="zh-CN" w:bidi="ar-SA"/>
        </w:rPr>
        <w:t>，无偏差。</w:t>
      </w:r>
    </w:p>
    <w:p w14:paraId="25828991">
      <w:pPr>
        <w:pageBreakBefore w:val="0"/>
        <w:kinsoku/>
        <w:wordWrap/>
        <w:overflowPunct/>
        <w:topLinePunct w:val="0"/>
        <w:autoSpaceDE/>
        <w:autoSpaceDN/>
        <w:bidi w:val="0"/>
        <w:adjustRightInd/>
        <w:snapToGrid/>
        <w:spacing w:line="500" w:lineRule="exact"/>
        <w:ind w:firstLine="643" w:firstLineChars="200"/>
        <w:textAlignment w:val="auto"/>
        <w:rPr>
          <w:rStyle w:val="15"/>
          <w:rFonts w:hint="default" w:ascii="Times New Roman" w:hAnsi="Times New Roman" w:eastAsia="方正仿宋_GB2312" w:cs="Times New Roman"/>
          <w:b/>
          <w:bCs/>
          <w:color w:val="auto"/>
          <w:highlight w:val="none"/>
        </w:rPr>
      </w:pPr>
      <w:r>
        <w:rPr>
          <w:rStyle w:val="15"/>
          <w:rFonts w:hint="default" w:ascii="Times New Roman" w:hAnsi="Times New Roman" w:eastAsia="方正仿宋_GB2312" w:cs="Times New Roman"/>
          <w:b/>
          <w:bCs/>
          <w:color w:val="auto"/>
          <w:highlight w:val="none"/>
          <w:lang w:val="en-US" w:eastAsia="zh-CN"/>
        </w:rPr>
        <w:t>2.</w:t>
      </w:r>
      <w:r>
        <w:rPr>
          <w:rStyle w:val="15"/>
          <w:rFonts w:hint="default" w:ascii="Times New Roman" w:hAnsi="Times New Roman" w:eastAsia="方正仿宋_GB2312" w:cs="Times New Roman"/>
          <w:b/>
          <w:bCs/>
          <w:color w:val="auto"/>
          <w:highlight w:val="none"/>
        </w:rPr>
        <w:t>质量指标方面：</w:t>
      </w:r>
    </w:p>
    <w:p w14:paraId="6745D53F">
      <w:pPr>
        <w:pageBreakBefore w:val="0"/>
        <w:kinsoku/>
        <w:wordWrap/>
        <w:overflowPunct/>
        <w:topLinePunct w:val="0"/>
        <w:autoSpaceDE/>
        <w:autoSpaceDN/>
        <w:bidi w:val="0"/>
        <w:adjustRightInd/>
        <w:snapToGrid/>
        <w:spacing w:line="500" w:lineRule="exact"/>
        <w:ind w:firstLine="643" w:firstLineChars="200"/>
        <w:textAlignment w:val="auto"/>
        <w:rPr>
          <w:rStyle w:val="15"/>
          <w:rFonts w:hint="default" w:ascii="Times New Roman" w:hAnsi="Times New Roman" w:eastAsia="方正仿宋_GB2312" w:cs="Times New Roman"/>
          <w:color w:val="auto"/>
          <w:highlight w:val="none"/>
          <w:lang w:val="en-US" w:eastAsia="zh-CN"/>
        </w:rPr>
      </w:pPr>
      <w:r>
        <w:rPr>
          <w:rStyle w:val="15"/>
          <w:rFonts w:hint="eastAsia" w:eastAsia="方正仿宋_GB2312" w:cs="Times New Roman"/>
          <w:b/>
          <w:bCs/>
          <w:color w:val="auto"/>
          <w:highlight w:val="none"/>
          <w:lang w:val="en-US" w:eastAsia="zh-CN"/>
        </w:rPr>
        <w:t>a.</w:t>
      </w:r>
      <w:r>
        <w:rPr>
          <w:rStyle w:val="15"/>
          <w:rFonts w:hint="default" w:ascii="Times New Roman" w:hAnsi="Times New Roman" w:eastAsia="方正仿宋_GB2312" w:cs="Times New Roman"/>
          <w:color w:val="auto"/>
          <w:highlight w:val="none"/>
          <w:lang w:val="en-US" w:eastAsia="zh-CN"/>
        </w:rPr>
        <w:t>食品风险预警交流成果，指标值为≥1期，实际完成</w:t>
      </w:r>
      <w:r>
        <w:rPr>
          <w:rStyle w:val="15"/>
          <w:rFonts w:hint="eastAsia" w:eastAsia="方正仿宋_GB2312" w:cs="Times New Roman"/>
          <w:color w:val="auto"/>
          <w:highlight w:val="none"/>
          <w:lang w:val="en-US" w:eastAsia="zh-CN"/>
        </w:rPr>
        <w:t>1</w:t>
      </w:r>
      <w:r>
        <w:rPr>
          <w:rStyle w:val="15"/>
          <w:rFonts w:hint="default" w:ascii="Times New Roman" w:hAnsi="Times New Roman" w:eastAsia="方正仿宋_GB2312" w:cs="Times New Roman"/>
          <w:color w:val="auto"/>
          <w:highlight w:val="none"/>
          <w:lang w:val="en-US" w:eastAsia="zh-CN"/>
        </w:rPr>
        <w:t>期，完成率100%、</w:t>
      </w:r>
      <w:r>
        <w:rPr>
          <w:rStyle w:val="11"/>
          <w:rFonts w:hint="eastAsia" w:ascii="Times New Roman" w:hAnsi="Times New Roman" w:eastAsia="方正仿宋_GB2312" w:cs="Times New Roman"/>
          <w:b w:val="0"/>
          <w:bCs/>
          <w:color w:val="auto"/>
          <w:spacing w:val="-4"/>
          <w:kern w:val="2"/>
          <w:sz w:val="32"/>
          <w:szCs w:val="32"/>
          <w:highlight w:val="none"/>
          <w:u w:val="none"/>
          <w:lang w:val="en-US" w:eastAsia="zh-CN" w:bidi="ar-SA"/>
        </w:rPr>
        <w:t>无偏差</w:t>
      </w:r>
      <w:r>
        <w:rPr>
          <w:rStyle w:val="11"/>
          <w:rFonts w:hint="eastAsia" w:eastAsia="方正仿宋_GB2312" w:cs="Times New Roman"/>
          <w:b w:val="0"/>
          <w:bCs/>
          <w:color w:val="auto"/>
          <w:spacing w:val="-4"/>
          <w:kern w:val="2"/>
          <w:sz w:val="32"/>
          <w:szCs w:val="32"/>
          <w:highlight w:val="none"/>
          <w:u w:val="none"/>
          <w:lang w:val="en-US" w:eastAsia="zh-CN" w:bidi="ar-SA"/>
        </w:rPr>
        <w:t>。</w:t>
      </w:r>
    </w:p>
    <w:p w14:paraId="6C55D9A7">
      <w:pPr>
        <w:pageBreakBefore w:val="0"/>
        <w:kinsoku/>
        <w:wordWrap/>
        <w:overflowPunct/>
        <w:topLinePunct w:val="0"/>
        <w:autoSpaceDE/>
        <w:autoSpaceDN/>
        <w:bidi w:val="0"/>
        <w:adjustRightInd/>
        <w:snapToGrid/>
        <w:spacing w:line="500" w:lineRule="exact"/>
        <w:ind w:firstLine="627" w:firstLineChars="200"/>
        <w:textAlignment w:val="auto"/>
        <w:rPr>
          <w:rStyle w:val="11"/>
          <w:rFonts w:hint="default" w:ascii="Times New Roman" w:hAnsi="Times New Roman" w:eastAsia="方正仿宋_GB2312" w:cs="Times New Roman"/>
          <w:bCs w:val="0"/>
          <w:color w:val="auto"/>
          <w:spacing w:val="-4"/>
          <w:sz w:val="32"/>
          <w:szCs w:val="32"/>
          <w:highlight w:val="none"/>
          <w:lang w:val="en-US" w:eastAsia="zh-CN"/>
        </w:rPr>
      </w:pPr>
      <w:r>
        <w:rPr>
          <w:rStyle w:val="11"/>
          <w:rFonts w:hint="default" w:ascii="Times New Roman" w:hAnsi="Times New Roman" w:eastAsia="方正仿宋_GB2312" w:cs="Times New Roman"/>
          <w:bCs w:val="0"/>
          <w:color w:val="auto"/>
          <w:spacing w:val="-4"/>
          <w:sz w:val="32"/>
          <w:szCs w:val="32"/>
          <w:highlight w:val="none"/>
          <w:lang w:val="en-US" w:eastAsia="zh-CN"/>
        </w:rPr>
        <w:t>3.时效指标方面：</w:t>
      </w:r>
    </w:p>
    <w:p w14:paraId="379993E5">
      <w:pPr>
        <w:pageBreakBefore w:val="0"/>
        <w:kinsoku/>
        <w:wordWrap/>
        <w:overflowPunct/>
        <w:topLinePunct w:val="0"/>
        <w:autoSpaceDE/>
        <w:autoSpaceDN/>
        <w:bidi w:val="0"/>
        <w:adjustRightInd/>
        <w:snapToGrid/>
        <w:spacing w:line="500" w:lineRule="exact"/>
        <w:ind w:firstLine="627" w:firstLineChars="200"/>
        <w:textAlignment w:val="auto"/>
        <w:rPr>
          <w:rStyle w:val="15"/>
          <w:rFonts w:hint="default" w:ascii="Times New Roman" w:hAnsi="Times New Roman" w:eastAsia="方正仿宋_GB2312" w:cs="Times New Roman"/>
          <w:color w:val="auto"/>
          <w:highlight w:val="none"/>
        </w:rPr>
      </w:pPr>
      <w:r>
        <w:rPr>
          <w:rStyle w:val="11"/>
          <w:rFonts w:hint="eastAsia" w:eastAsia="方正仿宋_GB2312" w:cs="Times New Roman"/>
          <w:bCs w:val="0"/>
          <w:color w:val="auto"/>
          <w:spacing w:val="-4"/>
          <w:sz w:val="32"/>
          <w:szCs w:val="32"/>
          <w:highlight w:val="none"/>
          <w:lang w:val="en-US" w:eastAsia="zh-CN"/>
        </w:rPr>
        <w:t>a.</w:t>
      </w:r>
      <w:r>
        <w:rPr>
          <w:rStyle w:val="15"/>
          <w:rFonts w:hint="default" w:ascii="Times New Roman" w:hAnsi="Times New Roman" w:eastAsia="方正仿宋_GB2312" w:cs="Times New Roman"/>
          <w:color w:val="auto"/>
          <w:highlight w:val="none"/>
        </w:rPr>
        <w:t>年度抽检任务按时完成率</w:t>
      </w:r>
      <w:r>
        <w:rPr>
          <w:rStyle w:val="15"/>
          <w:rFonts w:hint="default" w:ascii="Times New Roman" w:hAnsi="Times New Roman" w:eastAsia="方正仿宋_GB2312" w:cs="Times New Roman"/>
          <w:color w:val="auto"/>
          <w:highlight w:val="none"/>
          <w:lang w:eastAsia="zh-CN"/>
        </w:rPr>
        <w:t>，</w:t>
      </w:r>
      <w:r>
        <w:rPr>
          <w:rStyle w:val="15"/>
          <w:rFonts w:hint="default" w:ascii="Times New Roman" w:hAnsi="Times New Roman" w:eastAsia="方正仿宋_GB2312" w:cs="Times New Roman"/>
          <w:color w:val="auto"/>
          <w:highlight w:val="none"/>
        </w:rPr>
        <w:t>指标值为≥90%，实际完成</w:t>
      </w:r>
      <w:r>
        <w:rPr>
          <w:rStyle w:val="15"/>
          <w:rFonts w:hint="eastAsia" w:eastAsia="方正仿宋_GB2312" w:cs="Times New Roman"/>
          <w:color w:val="auto"/>
          <w:highlight w:val="none"/>
          <w:lang w:val="en-US" w:eastAsia="zh-CN"/>
        </w:rPr>
        <w:t>90</w:t>
      </w:r>
      <w:r>
        <w:rPr>
          <w:rStyle w:val="15"/>
          <w:rFonts w:hint="default" w:ascii="Times New Roman" w:hAnsi="Times New Roman" w:eastAsia="方正仿宋_GB2312" w:cs="Times New Roman"/>
          <w:color w:val="auto"/>
          <w:highlight w:val="none"/>
        </w:rPr>
        <w:t>%，完成率</w:t>
      </w:r>
      <w:r>
        <w:rPr>
          <w:rStyle w:val="15"/>
          <w:rFonts w:hint="eastAsia" w:eastAsia="方正仿宋_GB2312" w:cs="Times New Roman"/>
          <w:color w:val="auto"/>
          <w:highlight w:val="none"/>
          <w:lang w:val="en-US" w:eastAsia="zh-CN"/>
        </w:rPr>
        <w:t>100</w:t>
      </w:r>
      <w:r>
        <w:rPr>
          <w:rStyle w:val="15"/>
          <w:rFonts w:hint="default" w:ascii="Times New Roman" w:hAnsi="Times New Roman" w:eastAsia="方正仿宋_GB2312" w:cs="Times New Roman"/>
          <w:color w:val="auto"/>
          <w:highlight w:val="none"/>
        </w:rPr>
        <w:t>%、</w:t>
      </w:r>
      <w:r>
        <w:rPr>
          <w:rStyle w:val="11"/>
          <w:rFonts w:hint="eastAsia" w:ascii="Times New Roman" w:hAnsi="Times New Roman" w:eastAsia="方正仿宋_GB2312" w:cs="Times New Roman"/>
          <w:b w:val="0"/>
          <w:bCs/>
          <w:color w:val="auto"/>
          <w:spacing w:val="-4"/>
          <w:kern w:val="2"/>
          <w:sz w:val="32"/>
          <w:szCs w:val="32"/>
          <w:highlight w:val="none"/>
          <w:u w:val="none"/>
          <w:lang w:val="en-US" w:eastAsia="zh-CN" w:bidi="ar-SA"/>
        </w:rPr>
        <w:t>无偏差</w:t>
      </w:r>
      <w:r>
        <w:rPr>
          <w:rStyle w:val="11"/>
          <w:rFonts w:hint="eastAsia" w:eastAsia="方正仿宋_GB2312" w:cs="Times New Roman"/>
          <w:b w:val="0"/>
          <w:bCs/>
          <w:color w:val="auto"/>
          <w:spacing w:val="-4"/>
          <w:kern w:val="2"/>
          <w:sz w:val="32"/>
          <w:szCs w:val="32"/>
          <w:highlight w:val="none"/>
          <w:u w:val="none"/>
          <w:lang w:val="en-US" w:eastAsia="zh-CN" w:bidi="ar-SA"/>
        </w:rPr>
        <w:t>。</w:t>
      </w:r>
    </w:p>
    <w:p w14:paraId="283B083A">
      <w:pPr>
        <w:pStyle w:val="8"/>
        <w:pageBreakBefore w:val="0"/>
        <w:numPr>
          <w:ilvl w:val="0"/>
          <w:numId w:val="0"/>
        </w:numPr>
        <w:kinsoku/>
        <w:wordWrap/>
        <w:overflowPunct/>
        <w:topLinePunct w:val="0"/>
        <w:autoSpaceDE/>
        <w:autoSpaceDN/>
        <w:bidi w:val="0"/>
        <w:adjustRightInd/>
        <w:snapToGrid/>
        <w:spacing w:after="0" w:line="500" w:lineRule="exact"/>
        <w:ind w:firstLine="643" w:firstLineChars="200"/>
        <w:textAlignment w:val="auto"/>
        <w:rPr>
          <w:rFonts w:hint="eastAsia" w:eastAsia="楷体_GB2312" w:cs="Times New Roman"/>
          <w:b/>
          <w:bCs/>
          <w:color w:val="auto"/>
          <w:sz w:val="32"/>
          <w:szCs w:val="32"/>
          <w:highlight w:val="none"/>
          <w:lang w:val="en-US" w:eastAsia="zh-CN"/>
        </w:rPr>
      </w:pPr>
      <w:r>
        <w:rPr>
          <w:rFonts w:hint="eastAsia" w:eastAsia="楷体_GB2312" w:cs="Times New Roman"/>
          <w:b/>
          <w:bCs/>
          <w:color w:val="auto"/>
          <w:sz w:val="32"/>
          <w:szCs w:val="32"/>
          <w:highlight w:val="none"/>
          <w:lang w:val="en-US" w:eastAsia="zh-CN"/>
        </w:rPr>
        <w:t>4.成本指标</w:t>
      </w:r>
    </w:p>
    <w:p w14:paraId="7078C4B1">
      <w:pPr>
        <w:pageBreakBefore w:val="0"/>
        <w:kinsoku/>
        <w:wordWrap/>
        <w:overflowPunct/>
        <w:topLinePunct w:val="0"/>
        <w:autoSpaceDE/>
        <w:autoSpaceDN/>
        <w:bidi w:val="0"/>
        <w:adjustRightInd/>
        <w:snapToGrid/>
        <w:spacing w:line="500" w:lineRule="exact"/>
        <w:ind w:firstLine="643" w:firstLineChars="200"/>
        <w:textAlignment w:val="auto"/>
        <w:rPr>
          <w:rStyle w:val="15"/>
          <w:rFonts w:hint="default" w:ascii="Times New Roman" w:hAnsi="Times New Roman" w:eastAsia="方正仿宋_GB2312" w:cs="Times New Roman"/>
          <w:b/>
          <w:bCs/>
          <w:color w:val="auto"/>
          <w:highlight w:val="none"/>
          <w:lang w:eastAsia="zh-CN"/>
        </w:rPr>
      </w:pPr>
      <w:r>
        <w:rPr>
          <w:rStyle w:val="15"/>
          <w:rFonts w:hint="default" w:ascii="Times New Roman" w:hAnsi="Times New Roman" w:eastAsia="方正仿宋_GB2312" w:cs="Times New Roman"/>
          <w:b/>
          <w:bCs/>
          <w:color w:val="auto"/>
          <w:highlight w:val="none"/>
        </w:rPr>
        <w:t>经济成本指标</w:t>
      </w:r>
      <w:r>
        <w:rPr>
          <w:rStyle w:val="15"/>
          <w:rFonts w:hint="default" w:ascii="Times New Roman" w:hAnsi="Times New Roman" w:eastAsia="方正仿宋_GB2312" w:cs="Times New Roman"/>
          <w:b/>
          <w:bCs/>
          <w:color w:val="auto"/>
          <w:highlight w:val="none"/>
          <w:lang w:val="en-US" w:eastAsia="zh-CN"/>
        </w:rPr>
        <w:t>方面</w:t>
      </w:r>
      <w:r>
        <w:rPr>
          <w:rStyle w:val="15"/>
          <w:rFonts w:hint="default" w:ascii="Times New Roman" w:hAnsi="Times New Roman" w:eastAsia="方正仿宋_GB2312" w:cs="Times New Roman"/>
          <w:b/>
          <w:bCs/>
          <w:color w:val="auto"/>
          <w:highlight w:val="none"/>
          <w:lang w:eastAsia="zh-CN"/>
        </w:rPr>
        <w:t>：</w:t>
      </w:r>
      <w:r>
        <w:rPr>
          <w:rStyle w:val="15"/>
          <w:rFonts w:hint="default" w:ascii="Times New Roman" w:hAnsi="Times New Roman" w:eastAsia="方正仿宋_GB2312" w:cs="Times New Roman"/>
          <w:b w:val="0"/>
          <w:bCs w:val="0"/>
          <w:color w:val="auto"/>
          <w:highlight w:val="none"/>
          <w:lang w:eastAsia="zh-CN"/>
        </w:rPr>
        <w:t>食品抽检经费（万元），指标值为≤1254.97</w:t>
      </w:r>
      <w:r>
        <w:rPr>
          <w:rStyle w:val="15"/>
          <w:rFonts w:hint="default" w:ascii="Times New Roman" w:hAnsi="Times New Roman" w:eastAsia="方正仿宋_GB2312" w:cs="Times New Roman"/>
          <w:b w:val="0"/>
          <w:bCs w:val="0"/>
          <w:color w:val="auto"/>
          <w:highlight w:val="none"/>
          <w:lang w:val="en-US" w:eastAsia="zh-CN"/>
        </w:rPr>
        <w:t>万元</w:t>
      </w:r>
      <w:r>
        <w:rPr>
          <w:rStyle w:val="15"/>
          <w:rFonts w:hint="default" w:ascii="Times New Roman" w:hAnsi="Times New Roman" w:eastAsia="方正仿宋_GB2312" w:cs="Times New Roman"/>
          <w:b w:val="0"/>
          <w:bCs w:val="0"/>
          <w:color w:val="auto"/>
          <w:highlight w:val="none"/>
          <w:lang w:eastAsia="zh-CN"/>
        </w:rPr>
        <w:t>，实际</w:t>
      </w:r>
      <w:r>
        <w:rPr>
          <w:rStyle w:val="15"/>
          <w:rFonts w:hint="default" w:ascii="Times New Roman" w:hAnsi="Times New Roman" w:eastAsia="方正仿宋_GB2312" w:cs="Times New Roman"/>
          <w:b w:val="0"/>
          <w:bCs w:val="0"/>
          <w:color w:val="auto"/>
          <w:highlight w:val="none"/>
          <w:lang w:val="en-US" w:eastAsia="zh-CN"/>
        </w:rPr>
        <w:t>花费</w:t>
      </w:r>
      <w:r>
        <w:rPr>
          <w:rStyle w:val="15"/>
          <w:rFonts w:hint="default" w:ascii="Times New Roman" w:hAnsi="Times New Roman" w:eastAsia="方正仿宋_GB2312" w:cs="Times New Roman"/>
          <w:b w:val="0"/>
          <w:bCs w:val="0"/>
          <w:color w:val="auto"/>
          <w:highlight w:val="none"/>
          <w:u w:val="none"/>
          <w:lang w:val="en-US" w:eastAsia="zh-CN"/>
        </w:rPr>
        <w:t>1254.97万元</w:t>
      </w:r>
      <w:r>
        <w:rPr>
          <w:rStyle w:val="15"/>
          <w:rFonts w:hint="default" w:ascii="Times New Roman" w:hAnsi="Times New Roman" w:eastAsia="方正仿宋_GB2312" w:cs="Times New Roman"/>
          <w:b w:val="0"/>
          <w:bCs w:val="0"/>
          <w:color w:val="auto"/>
          <w:highlight w:val="none"/>
          <w:u w:val="none"/>
          <w:lang w:eastAsia="zh-CN"/>
        </w:rPr>
        <w:t>，</w:t>
      </w:r>
      <w:r>
        <w:rPr>
          <w:rStyle w:val="15"/>
          <w:rFonts w:hint="default" w:ascii="Times New Roman" w:hAnsi="Times New Roman" w:eastAsia="方正仿宋_GB2312" w:cs="Times New Roman"/>
          <w:b w:val="0"/>
          <w:bCs w:val="0"/>
          <w:color w:val="auto"/>
          <w:highlight w:val="none"/>
          <w:lang w:eastAsia="zh-CN"/>
        </w:rPr>
        <w:t>完成率100%、</w:t>
      </w:r>
      <w:r>
        <w:rPr>
          <w:rStyle w:val="11"/>
          <w:rFonts w:hint="eastAsia" w:ascii="Times New Roman" w:hAnsi="Times New Roman" w:eastAsia="方正仿宋_GB2312" w:cs="Times New Roman"/>
          <w:b w:val="0"/>
          <w:bCs/>
          <w:color w:val="auto"/>
          <w:spacing w:val="-4"/>
          <w:kern w:val="2"/>
          <w:sz w:val="32"/>
          <w:szCs w:val="32"/>
          <w:highlight w:val="none"/>
          <w:u w:val="none"/>
          <w:lang w:val="en-US" w:eastAsia="zh-CN" w:bidi="ar-SA"/>
        </w:rPr>
        <w:t>无偏差。</w:t>
      </w:r>
    </w:p>
    <w:p w14:paraId="2F5C2C6C">
      <w:pPr>
        <w:pStyle w:val="8"/>
        <w:pageBreakBefore w:val="0"/>
        <w:numPr>
          <w:ilvl w:val="0"/>
          <w:numId w:val="0"/>
        </w:numPr>
        <w:kinsoku/>
        <w:wordWrap/>
        <w:overflowPunct/>
        <w:topLinePunct w:val="0"/>
        <w:autoSpaceDE/>
        <w:autoSpaceDN/>
        <w:bidi w:val="0"/>
        <w:adjustRightInd/>
        <w:snapToGrid/>
        <w:spacing w:after="0" w:line="50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lang w:eastAsia="zh-CN"/>
        </w:rPr>
        <w:t>（</w:t>
      </w:r>
      <w:r>
        <w:rPr>
          <w:rFonts w:hint="default" w:ascii="Times New Roman" w:hAnsi="Times New Roman" w:eastAsia="楷体_GB2312" w:cs="Times New Roman"/>
          <w:b/>
          <w:bCs/>
          <w:color w:val="auto"/>
          <w:sz w:val="32"/>
          <w:szCs w:val="32"/>
          <w:highlight w:val="none"/>
          <w:lang w:val="en-US" w:eastAsia="zh-CN"/>
        </w:rPr>
        <w:t>三</w:t>
      </w:r>
      <w:r>
        <w:rPr>
          <w:rFonts w:hint="default" w:ascii="Times New Roman" w:hAnsi="Times New Roman" w:eastAsia="楷体_GB2312" w:cs="Times New Roman"/>
          <w:b/>
          <w:bCs/>
          <w:color w:val="auto"/>
          <w:sz w:val="32"/>
          <w:szCs w:val="32"/>
          <w:highlight w:val="none"/>
          <w:lang w:eastAsia="zh-CN"/>
        </w:rPr>
        <w:t>）</w:t>
      </w:r>
      <w:r>
        <w:rPr>
          <w:rFonts w:hint="default" w:ascii="Times New Roman" w:hAnsi="Times New Roman" w:eastAsia="楷体_GB2312" w:cs="Times New Roman"/>
          <w:b/>
          <w:bCs/>
          <w:color w:val="auto"/>
          <w:sz w:val="32"/>
          <w:szCs w:val="32"/>
          <w:highlight w:val="none"/>
        </w:rPr>
        <w:t>效益情况</w:t>
      </w:r>
    </w:p>
    <w:p w14:paraId="67A99800">
      <w:pPr>
        <w:pageBreakBefore w:val="0"/>
        <w:kinsoku/>
        <w:wordWrap/>
        <w:overflowPunct/>
        <w:topLinePunct w:val="0"/>
        <w:autoSpaceDE/>
        <w:autoSpaceDN/>
        <w:bidi w:val="0"/>
        <w:adjustRightInd/>
        <w:snapToGrid/>
        <w:spacing w:line="500" w:lineRule="exact"/>
        <w:ind w:firstLine="643" w:firstLineChars="200"/>
        <w:textAlignment w:val="auto"/>
        <w:rPr>
          <w:rStyle w:val="15"/>
          <w:rFonts w:hint="default" w:ascii="Times New Roman" w:hAnsi="Times New Roman" w:eastAsia="方正仿宋_GB2312" w:cs="Times New Roman"/>
          <w:color w:val="auto"/>
          <w:highlight w:val="none"/>
          <w:lang w:eastAsia="zh-CN"/>
        </w:rPr>
      </w:pPr>
      <w:r>
        <w:rPr>
          <w:rStyle w:val="15"/>
          <w:rFonts w:hint="default" w:ascii="Times New Roman" w:hAnsi="Times New Roman" w:eastAsia="方正仿宋_GB2312" w:cs="Times New Roman"/>
          <w:b/>
          <w:bCs/>
          <w:color w:val="auto"/>
          <w:highlight w:val="none"/>
        </w:rPr>
        <w:t>社会效益指标方面：</w:t>
      </w:r>
      <w:r>
        <w:rPr>
          <w:rStyle w:val="15"/>
          <w:rFonts w:hint="default" w:ascii="Times New Roman" w:hAnsi="Times New Roman" w:eastAsia="方正仿宋_GB2312" w:cs="Times New Roman"/>
          <w:color w:val="auto"/>
          <w:highlight w:val="none"/>
          <w:lang w:eastAsia="zh-CN"/>
        </w:rPr>
        <w:t>促进食品行业健康有序发展，指标值为逐步提高，实际</w:t>
      </w:r>
      <w:r>
        <w:rPr>
          <w:rStyle w:val="15"/>
          <w:rFonts w:hint="eastAsia" w:eastAsia="方正仿宋_GB2312" w:cs="Times New Roman"/>
          <w:color w:val="auto"/>
          <w:highlight w:val="none"/>
          <w:lang w:val="en-US" w:eastAsia="zh-CN"/>
        </w:rPr>
        <w:t>完成值</w:t>
      </w:r>
      <w:r>
        <w:rPr>
          <w:rStyle w:val="15"/>
          <w:rFonts w:hint="default" w:ascii="Times New Roman" w:hAnsi="Times New Roman" w:eastAsia="方正仿宋_GB2312" w:cs="Times New Roman"/>
          <w:color w:val="auto"/>
          <w:highlight w:val="none"/>
          <w:lang w:val="en-US" w:eastAsia="zh-CN"/>
        </w:rPr>
        <w:t>为</w:t>
      </w:r>
      <w:r>
        <w:rPr>
          <w:rStyle w:val="15"/>
          <w:rFonts w:hint="default" w:ascii="Times New Roman" w:hAnsi="Times New Roman" w:eastAsia="方正仿宋_GB2312" w:cs="Times New Roman"/>
          <w:color w:val="auto"/>
          <w:highlight w:val="none"/>
          <w:lang w:eastAsia="zh-CN"/>
        </w:rPr>
        <w:t>逐步提高，完成率100%、偏差率0%。</w:t>
      </w:r>
    </w:p>
    <w:p w14:paraId="0B8FBAC9">
      <w:pPr>
        <w:pageBreakBefore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楷体_GB2312" w:cs="Times New Roman"/>
          <w:b/>
          <w:bCs/>
          <w:color w:val="auto"/>
          <w:kern w:val="2"/>
          <w:sz w:val="32"/>
          <w:szCs w:val="32"/>
          <w:highlight w:val="none"/>
          <w:lang w:val="en-US" w:eastAsia="zh-CN" w:bidi="ar-SA"/>
        </w:rPr>
      </w:pPr>
      <w:r>
        <w:rPr>
          <w:rFonts w:hint="default" w:ascii="Times New Roman" w:hAnsi="Times New Roman" w:eastAsia="楷体_GB2312" w:cs="Times New Roman"/>
          <w:b/>
          <w:bCs/>
          <w:color w:val="auto"/>
          <w:kern w:val="2"/>
          <w:sz w:val="32"/>
          <w:szCs w:val="32"/>
          <w:highlight w:val="none"/>
          <w:lang w:val="en-US" w:eastAsia="zh-CN" w:bidi="ar-SA"/>
        </w:rPr>
        <w:t>（四）满意情况</w:t>
      </w:r>
    </w:p>
    <w:p w14:paraId="5A2190B0">
      <w:pPr>
        <w:pageBreakBefore w:val="0"/>
        <w:kinsoku/>
        <w:wordWrap/>
        <w:overflowPunct/>
        <w:topLinePunct w:val="0"/>
        <w:autoSpaceDE/>
        <w:autoSpaceDN/>
        <w:bidi w:val="0"/>
        <w:adjustRightInd/>
        <w:snapToGrid/>
        <w:spacing w:line="500" w:lineRule="exact"/>
        <w:ind w:firstLine="643" w:firstLineChars="200"/>
        <w:textAlignment w:val="auto"/>
        <w:rPr>
          <w:rStyle w:val="15"/>
          <w:rFonts w:hint="default" w:ascii="Times New Roman" w:hAnsi="Times New Roman" w:eastAsia="方正仿宋_GB2312" w:cs="Times New Roman"/>
          <w:color w:val="auto"/>
          <w:highlight w:val="none"/>
        </w:rPr>
      </w:pPr>
      <w:r>
        <w:rPr>
          <w:rStyle w:val="15"/>
          <w:rFonts w:hint="default" w:ascii="Times New Roman" w:hAnsi="Times New Roman" w:eastAsia="方正仿宋_GB2312" w:cs="Times New Roman"/>
          <w:b/>
          <w:bCs/>
          <w:color w:val="auto"/>
          <w:highlight w:val="none"/>
        </w:rPr>
        <w:t>满意度指标方面：</w:t>
      </w:r>
      <w:r>
        <w:rPr>
          <w:rStyle w:val="15"/>
          <w:rFonts w:hint="default" w:ascii="Times New Roman" w:hAnsi="Times New Roman" w:eastAsia="方正仿宋_GB2312" w:cs="Times New Roman"/>
          <w:color w:val="auto"/>
          <w:highlight w:val="none"/>
          <w:lang w:eastAsia="zh-CN"/>
        </w:rPr>
        <w:t>抽检企业满意率</w:t>
      </w:r>
      <w:r>
        <w:rPr>
          <w:rStyle w:val="15"/>
          <w:rFonts w:hint="eastAsia" w:eastAsia="方正仿宋_GB2312" w:cs="Times New Roman"/>
          <w:color w:val="auto"/>
          <w:highlight w:val="none"/>
          <w:lang w:eastAsia="zh-CN"/>
        </w:rPr>
        <w:t>（</w:t>
      </w:r>
      <w:r>
        <w:rPr>
          <w:rStyle w:val="15"/>
          <w:rFonts w:hint="default" w:ascii="Times New Roman" w:hAnsi="Times New Roman" w:eastAsia="方正仿宋_GB2312" w:cs="Times New Roman"/>
          <w:color w:val="auto"/>
          <w:highlight w:val="none"/>
          <w:lang w:eastAsia="zh-CN"/>
        </w:rPr>
        <w:t>%)，指标值为≥</w:t>
      </w:r>
      <w:r>
        <w:rPr>
          <w:rStyle w:val="15"/>
          <w:rFonts w:hint="default" w:ascii="Times New Roman" w:hAnsi="Times New Roman" w:eastAsia="方正仿宋_GB2312" w:cs="Times New Roman"/>
          <w:color w:val="auto"/>
          <w:highlight w:val="none"/>
          <w:lang w:val="en-US" w:eastAsia="zh-CN"/>
        </w:rPr>
        <w:t>9</w:t>
      </w:r>
      <w:r>
        <w:rPr>
          <w:rStyle w:val="15"/>
          <w:rFonts w:hint="default" w:ascii="Times New Roman" w:hAnsi="Times New Roman" w:eastAsia="方正仿宋_GB2312" w:cs="Times New Roman"/>
          <w:color w:val="auto"/>
          <w:highlight w:val="none"/>
          <w:lang w:eastAsia="zh-CN"/>
        </w:rPr>
        <w:t>0%。</w:t>
      </w:r>
      <w:r>
        <w:rPr>
          <w:rStyle w:val="15"/>
          <w:rFonts w:hint="eastAsia" w:eastAsia="方正仿宋_GB2312" w:cs="Times New Roman"/>
          <w:color w:val="auto"/>
          <w:highlight w:val="none"/>
          <w:lang w:val="en-US" w:eastAsia="zh-CN"/>
        </w:rPr>
        <w:t>实际完成值为90%，</w:t>
      </w:r>
      <w:r>
        <w:rPr>
          <w:rStyle w:val="15"/>
          <w:rFonts w:hint="default" w:ascii="Times New Roman" w:hAnsi="Times New Roman" w:eastAsia="方正仿宋_GB2312" w:cs="Times New Roman"/>
          <w:color w:val="auto"/>
          <w:highlight w:val="none"/>
          <w:lang w:eastAsia="zh-CN"/>
        </w:rPr>
        <w:t>完成率1</w:t>
      </w:r>
      <w:r>
        <w:rPr>
          <w:rStyle w:val="15"/>
          <w:rFonts w:hint="eastAsia" w:eastAsia="方正仿宋_GB2312" w:cs="Times New Roman"/>
          <w:color w:val="auto"/>
          <w:highlight w:val="none"/>
          <w:lang w:val="en-US" w:eastAsia="zh-CN"/>
        </w:rPr>
        <w:t>00</w:t>
      </w:r>
      <w:r>
        <w:rPr>
          <w:rStyle w:val="15"/>
          <w:rFonts w:hint="default" w:ascii="Times New Roman" w:hAnsi="Times New Roman" w:eastAsia="方正仿宋_GB2312" w:cs="Times New Roman"/>
          <w:color w:val="auto"/>
          <w:highlight w:val="none"/>
          <w:lang w:eastAsia="zh-CN"/>
        </w:rPr>
        <w:t>%，</w:t>
      </w:r>
      <w:r>
        <w:rPr>
          <w:rStyle w:val="11"/>
          <w:rFonts w:hint="eastAsia" w:ascii="Times New Roman" w:hAnsi="Times New Roman" w:eastAsia="方正仿宋_GB2312" w:cs="Times New Roman"/>
          <w:b w:val="0"/>
          <w:bCs/>
          <w:color w:val="auto"/>
          <w:spacing w:val="-4"/>
          <w:kern w:val="2"/>
          <w:sz w:val="32"/>
          <w:szCs w:val="32"/>
          <w:highlight w:val="none"/>
          <w:u w:val="none"/>
          <w:lang w:val="en-US" w:eastAsia="zh-CN" w:bidi="ar-SA"/>
        </w:rPr>
        <w:t>无偏差</w:t>
      </w:r>
      <w:r>
        <w:rPr>
          <w:rStyle w:val="15"/>
          <w:rFonts w:hint="default" w:ascii="Times New Roman" w:hAnsi="Times New Roman" w:eastAsia="方正仿宋_GB2312" w:cs="Times New Roman"/>
          <w:color w:val="auto"/>
          <w:highlight w:val="none"/>
        </w:rPr>
        <w:t>。</w:t>
      </w:r>
    </w:p>
    <w:p w14:paraId="7A0887A6">
      <w:pPr>
        <w:pageBreakBefore w:val="0"/>
        <w:kinsoku/>
        <w:wordWrap/>
        <w:overflowPunct/>
        <w:topLinePunct w:val="0"/>
        <w:autoSpaceDE/>
        <w:autoSpaceDN/>
        <w:bidi w:val="0"/>
        <w:adjustRightInd/>
        <w:snapToGrid/>
        <w:spacing w:line="500" w:lineRule="exact"/>
        <w:ind w:firstLine="640" w:firstLineChars="200"/>
        <w:textAlignment w:val="auto"/>
        <w:rPr>
          <w:rStyle w:val="15"/>
          <w:rFonts w:hint="default" w:ascii="Times New Roman" w:hAnsi="Times New Roman" w:cs="Times New Roman"/>
          <w:color w:val="auto"/>
          <w:highlight w:val="none"/>
        </w:rPr>
      </w:pPr>
      <w:r>
        <w:rPr>
          <w:rFonts w:hint="default" w:ascii="Times New Roman" w:hAnsi="Times New Roman" w:eastAsia="黑体" w:cs="Times New Roman"/>
          <w:color w:val="auto"/>
          <w:sz w:val="32"/>
          <w:szCs w:val="32"/>
          <w:highlight w:val="none"/>
        </w:rPr>
        <w:t>五、主要经验及做法、存在的问题及原因分析</w:t>
      </w:r>
    </w:p>
    <w:p w14:paraId="577AD36E">
      <w:pPr>
        <w:pageBreakBefore w:val="0"/>
        <w:kinsoku/>
        <w:wordWrap/>
        <w:overflowPunct/>
        <w:topLinePunct w:val="0"/>
        <w:autoSpaceDE/>
        <w:autoSpaceDN/>
        <w:bidi w:val="0"/>
        <w:adjustRightInd/>
        <w:snapToGrid/>
        <w:spacing w:line="500" w:lineRule="exact"/>
        <w:ind w:firstLine="627" w:firstLineChars="200"/>
        <w:textAlignment w:val="auto"/>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14:paraId="6CDF0CD4">
      <w:pPr>
        <w:pageBreakBefore w:val="0"/>
        <w:kinsoku/>
        <w:wordWrap/>
        <w:overflowPunct/>
        <w:topLinePunct w:val="0"/>
        <w:autoSpaceDE/>
        <w:autoSpaceDN/>
        <w:bidi w:val="0"/>
        <w:adjustRightInd/>
        <w:snapToGrid/>
        <w:spacing w:line="500" w:lineRule="exact"/>
        <w:ind w:firstLine="640" w:firstLineChars="200"/>
        <w:textAlignment w:val="auto"/>
        <w:rPr>
          <w:rStyle w:val="15"/>
          <w:rFonts w:hint="default" w:ascii="Times New Roman" w:hAnsi="Times New Roman" w:eastAsia="方正仿宋_GB2312" w:cs="Times New Roman"/>
          <w:color w:val="auto"/>
          <w:highlight w:val="none"/>
          <w:lang w:eastAsia="zh-CN"/>
        </w:rPr>
      </w:pPr>
      <w:r>
        <w:rPr>
          <w:rStyle w:val="15"/>
          <w:rFonts w:hint="default" w:ascii="Times New Roman" w:hAnsi="Times New Roman" w:eastAsia="方正仿宋_GB2312" w:cs="Times New Roman"/>
          <w:color w:val="auto"/>
          <w:highlight w:val="none"/>
          <w:lang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2EFE8F6">
      <w:pPr>
        <w:pageBreakBefore w:val="0"/>
        <w:kinsoku/>
        <w:wordWrap/>
        <w:overflowPunct/>
        <w:topLinePunct w:val="0"/>
        <w:autoSpaceDE/>
        <w:autoSpaceDN/>
        <w:bidi w:val="0"/>
        <w:adjustRightInd/>
        <w:snapToGrid/>
        <w:spacing w:line="500" w:lineRule="exact"/>
        <w:ind w:firstLine="640" w:firstLineChars="200"/>
        <w:textAlignment w:val="auto"/>
        <w:rPr>
          <w:rStyle w:val="15"/>
          <w:rFonts w:hint="default" w:ascii="Times New Roman" w:hAnsi="Times New Roman" w:eastAsia="方正仿宋_GB2312" w:cs="Times New Roman"/>
          <w:color w:val="auto"/>
          <w:highlight w:val="none"/>
          <w:lang w:val="en-US" w:eastAsia="zh-CN"/>
        </w:rPr>
      </w:pPr>
      <w:r>
        <w:rPr>
          <w:rStyle w:val="15"/>
          <w:rFonts w:hint="default" w:ascii="Times New Roman" w:hAnsi="Times New Roman" w:eastAsia="方正仿宋_GB2312" w:cs="Times New Roman"/>
          <w:color w:val="auto"/>
          <w:highlight w:val="none"/>
          <w:lang w:val="en-US" w:eastAsia="zh-CN"/>
        </w:rPr>
        <w:t>严格坚持先做事、后验收、再拨付的原则，</w:t>
      </w:r>
      <w:r>
        <w:rPr>
          <w:rStyle w:val="15"/>
          <w:rFonts w:hint="eastAsia" w:eastAsia="方正仿宋_GB2312" w:cs="Times New Roman"/>
          <w:color w:val="auto"/>
          <w:highlight w:val="none"/>
          <w:lang w:val="en-US" w:eastAsia="zh-CN"/>
        </w:rPr>
        <w:t>杜绝</w:t>
      </w:r>
      <w:r>
        <w:rPr>
          <w:rStyle w:val="15"/>
          <w:rFonts w:hint="default" w:ascii="Times New Roman" w:hAnsi="Times New Roman" w:eastAsia="方正仿宋_GB2312" w:cs="Times New Roman"/>
          <w:color w:val="auto"/>
          <w:highlight w:val="none"/>
          <w:lang w:val="en-US" w:eastAsia="zh-CN"/>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0B50641">
      <w:pPr>
        <w:pStyle w:val="2"/>
        <w:spacing w:before="0" w:after="0" w:line="600" w:lineRule="exact"/>
        <w:ind w:firstLine="640" w:firstLineChars="200"/>
        <w:jc w:val="both"/>
        <w:rPr>
          <w:rFonts w:hint="default" w:ascii="Times New Roman" w:hAnsi="Times New Roman" w:cs="Times New Roman"/>
          <w:color w:val="auto"/>
          <w:highlight w:val="none"/>
        </w:rPr>
      </w:pPr>
      <w:r>
        <w:rPr>
          <w:rFonts w:hint="default" w:ascii="Times New Roman" w:hAnsi="Times New Roman" w:eastAsia="仿宋_GB2312" w:cs="Times New Roman"/>
          <w:b w:val="0"/>
          <w:bCs w:val="0"/>
          <w:color w:val="auto"/>
          <w:kern w:val="2"/>
          <w:highlight w:val="none"/>
        </w:rPr>
        <w:t>按照局专项经费管理及财经管理纪律的要求，针对委托业务费等政府采购项目，采取框架协议采购招标的方式开展进行，及时与供货商签订购货合同或协议，按合同约定进行分批支付。特别强调的是，针对食品抽检监测委托业务费，制定了《自治区市场监督管理局食品安全承检机构考核管理办法》，强化对供应商日常管理与检查考核，以此提高承检机构抽检工作质量水平，从而提升专项资金使用效益。总体来看，本项目资金的整体管理水平较好，做到了专款专用、及时拨付、规范支付，保障抽检资金支付需求，确保整个抽检项目顺利实施。</w:t>
      </w:r>
    </w:p>
    <w:p w14:paraId="1BAB31CB">
      <w:pPr>
        <w:keepNext/>
        <w:keepLines/>
        <w:pageBreakBefore w:val="0"/>
        <w:numPr>
          <w:ilvl w:val="0"/>
          <w:numId w:val="4"/>
        </w:numPr>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14:paraId="12C83409">
      <w:pPr>
        <w:pStyle w:val="2"/>
        <w:pageBreakBefore w:val="0"/>
        <w:numPr>
          <w:ilvl w:val="0"/>
          <w:numId w:val="5"/>
        </w:numPr>
        <w:kinsoku/>
        <w:wordWrap/>
        <w:overflowPunct/>
        <w:topLinePunct w:val="0"/>
        <w:autoSpaceDE/>
        <w:autoSpaceDN/>
        <w:bidi w:val="0"/>
        <w:adjustRightInd/>
        <w:snapToGrid/>
        <w:spacing w:before="0" w:after="0" w:line="500" w:lineRule="exact"/>
        <w:ind w:firstLine="640" w:firstLineChars="200"/>
        <w:jc w:val="both"/>
        <w:textAlignment w:val="auto"/>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rPr>
        <w:t>存在的问题</w:t>
      </w:r>
      <w:r>
        <w:rPr>
          <w:rFonts w:hint="default" w:ascii="Times New Roman" w:hAnsi="Times New Roman" w:eastAsia="仿宋_GB2312" w:cs="Times New Roman"/>
          <w:b w:val="0"/>
          <w:bCs w:val="0"/>
          <w:color w:val="auto"/>
          <w:kern w:val="2"/>
          <w:highlight w:val="none"/>
          <w:lang w:eastAsia="zh-CN"/>
        </w:rPr>
        <w:t>：</w:t>
      </w:r>
      <w:r>
        <w:rPr>
          <w:rFonts w:hint="default" w:ascii="Times New Roman" w:hAnsi="Times New Roman" w:eastAsia="仿宋_GB2312" w:cs="Times New Roman"/>
          <w:b w:val="0"/>
          <w:bCs w:val="0"/>
          <w:color w:val="auto"/>
          <w:kern w:val="2"/>
          <w:highlight w:val="none"/>
          <w:lang w:val="en-US" w:eastAsia="zh-CN"/>
        </w:rPr>
        <w:t>无</w:t>
      </w:r>
    </w:p>
    <w:p w14:paraId="121CD52F">
      <w:pPr>
        <w:pageBreakBefore w:val="0"/>
        <w:numPr>
          <w:ilvl w:val="0"/>
          <w:numId w:val="5"/>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原因分析</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无</w:t>
      </w:r>
    </w:p>
    <w:p w14:paraId="5BBF1F55">
      <w:pPr>
        <w:pageBreakBefore w:val="0"/>
        <w:numPr>
          <w:ilvl w:val="0"/>
          <w:numId w:val="6"/>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有关建议</w:t>
      </w:r>
    </w:p>
    <w:p w14:paraId="263FF617">
      <w:pPr>
        <w:spacing w:line="600" w:lineRule="exact"/>
        <w:ind w:firstLine="640" w:firstLineChars="200"/>
        <w:rPr>
          <w:rFonts w:hint="default" w:ascii="Times New Roman" w:hAnsi="Times New Roman" w:eastAsia="仿宋_GB2312" w:cs="Times New Roman"/>
          <w:color w:val="auto"/>
          <w:kern w:val="2"/>
          <w:sz w:val="32"/>
          <w:szCs w:val="28"/>
          <w:highlight w:val="none"/>
          <w:lang w:val="en-US" w:eastAsia="zh-CN" w:bidi="ar-SA"/>
        </w:rPr>
      </w:pPr>
      <w:r>
        <w:rPr>
          <w:rFonts w:hint="default" w:ascii="Times New Roman" w:hAnsi="Times New Roman" w:eastAsia="仿宋_GB2312" w:cs="Times New Roman"/>
          <w:color w:val="auto"/>
          <w:sz w:val="32"/>
          <w:szCs w:val="28"/>
          <w:highlight w:val="none"/>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r>
        <w:rPr>
          <w:rFonts w:hint="default" w:ascii="Times New Roman" w:hAnsi="Times New Roman" w:eastAsia="仿宋_GB2312" w:cs="Times New Roman"/>
          <w:color w:val="auto"/>
          <w:kern w:val="2"/>
          <w:sz w:val="32"/>
          <w:szCs w:val="28"/>
          <w:highlight w:val="none"/>
          <w:lang w:val="en-US" w:eastAsia="zh-CN" w:bidi="ar-SA"/>
        </w:rPr>
        <w:t>一是科学制定绩效目标，立足工作实际，</w:t>
      </w:r>
      <w:r>
        <w:rPr>
          <w:rFonts w:hint="default" w:ascii="Times New Roman" w:hAnsi="Times New Roman" w:cs="Times New Roman"/>
          <w:color w:val="auto"/>
          <w:kern w:val="2"/>
          <w:sz w:val="32"/>
          <w:szCs w:val="28"/>
          <w:highlight w:val="none"/>
          <w:lang w:val="en-US" w:eastAsia="zh-CN" w:bidi="ar-SA"/>
        </w:rPr>
        <w:t>科学改进</w:t>
      </w:r>
      <w:r>
        <w:rPr>
          <w:rFonts w:hint="default" w:ascii="Times New Roman" w:hAnsi="Times New Roman" w:eastAsia="仿宋_GB2312" w:cs="Times New Roman"/>
          <w:color w:val="auto"/>
          <w:kern w:val="2"/>
          <w:sz w:val="32"/>
          <w:szCs w:val="28"/>
          <w:highlight w:val="none"/>
          <w:lang w:val="en-US" w:eastAsia="zh-CN" w:bidi="ar-SA"/>
        </w:rPr>
        <w:t>预期完不成或完成率超出30%的指标；二是强化过程管理，对部分指标实施月度、季度、半年监控，进度慢的督促加快，进度快的适当放缓，统筹整体进度实施；三是合理配置项目经费，减少不必要的经费支出，整合节约宣传印刷等日常办公支出，提升经费使用效益。</w:t>
      </w:r>
    </w:p>
    <w:p w14:paraId="5066B1FF">
      <w:pPr>
        <w:numPr>
          <w:ilvl w:val="-1"/>
          <w:numId w:val="0"/>
        </w:numPr>
        <w:spacing w:line="500" w:lineRule="exact"/>
        <w:ind w:firstLine="640" w:firstLineChars="200"/>
        <w:rPr>
          <w:rFonts w:hint="default"/>
          <w:highlight w:val="none"/>
        </w:rPr>
      </w:pP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其他需要说</w:t>
      </w:r>
      <w:bookmarkStart w:id="6" w:name="page8"/>
      <w:bookmarkEnd w:id="6"/>
      <w:r>
        <w:rPr>
          <w:rFonts w:hint="default" w:ascii="Times New Roman" w:hAnsi="Times New Roman" w:eastAsia="黑体" w:cs="Times New Roman"/>
          <w:color w:val="auto"/>
          <w:sz w:val="32"/>
          <w:szCs w:val="32"/>
          <w:highlight w:val="none"/>
        </w:rPr>
        <w:t>明的问题</w:t>
      </w:r>
    </w:p>
    <w:p w14:paraId="6D371EFC">
      <w:pPr>
        <w:numPr>
          <w:ilvl w:val="-1"/>
          <w:numId w:val="0"/>
        </w:numPr>
        <w:ind w:firstLine="640" w:firstLineChars="200"/>
        <w:rPr>
          <w:rFonts w:hint="eastAsia" w:eastAsia="仿宋_GB2312"/>
          <w:highlight w:val="none"/>
          <w:lang w:val="en-US" w:eastAsia="zh-CN"/>
        </w:rPr>
      </w:pPr>
      <w:r>
        <w:rPr>
          <w:rFonts w:hint="default" w:ascii="Times New Roman" w:hAnsi="Times New Roman" w:eastAsia="仿宋_GB2312" w:cs="Times New Roman"/>
          <w:color w:val="auto"/>
          <w:sz w:val="32"/>
          <w:szCs w:val="32"/>
          <w:highlight w:val="none"/>
        </w:rPr>
        <w:t>2023年食品抽检</w:t>
      </w:r>
      <w:r>
        <w:rPr>
          <w:rFonts w:hint="eastAsia" w:ascii="仿宋_GB2312" w:hAnsi="仿宋_GB2312" w:eastAsia="仿宋_GB2312" w:cs="仿宋_GB2312"/>
          <w:sz w:val="32"/>
          <w:szCs w:val="32"/>
          <w:highlight w:val="none"/>
        </w:rPr>
        <w:t>项目年初预算</w:t>
      </w:r>
      <w:r>
        <w:rPr>
          <w:rFonts w:hint="eastAsia" w:ascii="仿宋_GB2312" w:hAnsi="仿宋_GB2312" w:eastAsia="仿宋_GB2312" w:cs="仿宋_GB2312"/>
          <w:sz w:val="32"/>
          <w:szCs w:val="32"/>
          <w:highlight w:val="none"/>
          <w:lang w:val="en-US" w:eastAsia="zh-CN"/>
        </w:rPr>
        <w:t>1254.97</w:t>
      </w:r>
      <w:r>
        <w:rPr>
          <w:rFonts w:hint="eastAsia" w:ascii="仿宋_GB2312" w:hAnsi="仿宋_GB2312" w:eastAsia="仿宋_GB2312" w:cs="仿宋_GB2312"/>
          <w:sz w:val="32"/>
          <w:szCs w:val="32"/>
          <w:highlight w:val="none"/>
        </w:rPr>
        <w:t>万元，全年预算</w:t>
      </w:r>
      <w:r>
        <w:rPr>
          <w:rFonts w:hint="eastAsia" w:ascii="仿宋_GB2312" w:hAnsi="仿宋_GB2312" w:eastAsia="仿宋_GB2312" w:cs="仿宋_GB2312"/>
          <w:sz w:val="32"/>
          <w:szCs w:val="32"/>
          <w:highlight w:val="none"/>
          <w:lang w:val="en-US" w:eastAsia="zh-CN"/>
        </w:rPr>
        <w:t>1254.97</w:t>
      </w:r>
      <w:r>
        <w:rPr>
          <w:rFonts w:hint="eastAsia" w:ascii="仿宋_GB2312" w:hAnsi="仿宋_GB2312" w:eastAsia="仿宋_GB2312" w:cs="仿宋_GB2312"/>
          <w:sz w:val="32"/>
          <w:szCs w:val="32"/>
          <w:highlight w:val="none"/>
        </w:rPr>
        <w:t>万元，实际支出</w:t>
      </w:r>
      <w:r>
        <w:rPr>
          <w:rFonts w:hint="eastAsia" w:ascii="仿宋_GB2312" w:hAnsi="仿宋_GB2312" w:eastAsia="仿宋_GB2312" w:cs="仿宋_GB2312"/>
          <w:sz w:val="32"/>
          <w:szCs w:val="32"/>
          <w:highlight w:val="none"/>
          <w:lang w:val="en-US" w:eastAsia="zh-CN"/>
        </w:rPr>
        <w:t>1254.97</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%，项目绩效指标总体完成率为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总体</w:t>
      </w:r>
      <w:r>
        <w:rPr>
          <w:rFonts w:hint="eastAsia" w:ascii="仿宋_GB2312" w:hAnsi="仿宋_GB2312" w:eastAsia="仿宋_GB2312" w:cs="仿宋_GB2312"/>
          <w:sz w:val="32"/>
          <w:szCs w:val="32"/>
          <w:highlight w:val="none"/>
        </w:rPr>
        <w:t>偏差率为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无偏差。</w:t>
      </w:r>
    </w:p>
    <w:p w14:paraId="5B1EF626">
      <w:pPr>
        <w:pageBreakBefore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highlight w:val="none"/>
        </w:rPr>
      </w:pPr>
    </w:p>
    <w:p w14:paraId="6FCE0080">
      <w:pPr>
        <w:pageBreakBefore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highlight w:val="none"/>
        </w:rPr>
      </w:pPr>
    </w:p>
    <w:p w14:paraId="2E4E451B">
      <w:pPr>
        <w:pageBreakBefore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highlight w:val="none"/>
        </w:rPr>
      </w:pPr>
    </w:p>
    <w:p w14:paraId="22802521">
      <w:pPr>
        <w:pageBreakBefore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highlight w:val="none"/>
        </w:rPr>
      </w:pPr>
    </w:p>
    <w:p w14:paraId="26895676">
      <w:pPr>
        <w:pageBreakBefore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highlight w:val="none"/>
        </w:rPr>
      </w:pPr>
    </w:p>
    <w:p w14:paraId="673A2BBE">
      <w:pPr>
        <w:pageBreakBefore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highlight w:val="none"/>
        </w:rPr>
      </w:pPr>
    </w:p>
    <w:p w14:paraId="3924A275">
      <w:pPr>
        <w:pageBreakBefore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highlight w:val="none"/>
        </w:rPr>
      </w:pPr>
    </w:p>
    <w:p w14:paraId="4F500F80">
      <w:pPr>
        <w:pStyle w:val="4"/>
        <w:pageBreakBefore w:val="0"/>
        <w:kinsoku/>
        <w:wordWrap/>
        <w:overflowPunct/>
        <w:topLinePunct w:val="0"/>
        <w:autoSpaceDE/>
        <w:autoSpaceDN/>
        <w:bidi w:val="0"/>
        <w:adjustRightInd/>
        <w:snapToGrid/>
        <w:spacing w:before="0" w:after="0" w:line="500" w:lineRule="exact"/>
        <w:jc w:val="center"/>
        <w:textAlignment w:val="auto"/>
        <w:rPr>
          <w:rFonts w:hint="default" w:ascii="Times New Roman" w:hAnsi="Times New Roman" w:eastAsia="宋体" w:cs="Times New Roman"/>
          <w:bCs w:val="0"/>
          <w:color w:val="auto"/>
          <w:sz w:val="36"/>
          <w:szCs w:val="28"/>
          <w:highlight w:val="none"/>
        </w:rPr>
        <w:sectPr>
          <w:pgSz w:w="11906" w:h="16838"/>
          <w:pgMar w:top="1928" w:right="1531" w:bottom="1701" w:left="1531" w:header="737" w:footer="851" w:gutter="0"/>
          <w:cols w:space="720" w:num="1"/>
          <w:docGrid w:type="lines" w:linePitch="408" w:charSpace="0"/>
        </w:sectPr>
      </w:pPr>
    </w:p>
    <w:p w14:paraId="631BABB4">
      <w:pPr>
        <w:jc w:val="center"/>
        <w:rPr>
          <w:rFonts w:hint="default" w:ascii="Times New Roman" w:hAnsi="Times New Roman" w:cs="Times New Roman"/>
          <w:bCs w:val="0"/>
          <w:color w:val="auto"/>
          <w:highlight w:val="none"/>
        </w:rPr>
      </w:pPr>
      <w:r>
        <w:rPr>
          <w:rFonts w:hint="default" w:ascii="Times New Roman" w:hAnsi="Times New Roman" w:eastAsia="宋体" w:cs="Times New Roman"/>
          <w:b/>
          <w:bCs/>
          <w:color w:val="auto"/>
          <w:sz w:val="36"/>
          <w:szCs w:val="32"/>
          <w:highlight w:val="none"/>
        </w:rPr>
        <w:t>项目支出绩效评价指标体系框架</w:t>
      </w:r>
    </w:p>
    <w:tbl>
      <w:tblPr>
        <w:tblStyle w:val="9"/>
        <w:tblW w:w="1321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25"/>
        <w:gridCol w:w="1010"/>
        <w:gridCol w:w="1188"/>
        <w:gridCol w:w="2351"/>
        <w:gridCol w:w="5915"/>
        <w:gridCol w:w="1134"/>
        <w:gridCol w:w="891"/>
      </w:tblGrid>
      <w:tr w14:paraId="26AFD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6" w:hRule="atLeast"/>
          <w:tblHeader/>
          <w:jc w:val="center"/>
        </w:trPr>
        <w:tc>
          <w:tcPr>
            <w:tcW w:w="725" w:type="dxa"/>
            <w:shd w:val="clear" w:color="auto" w:fill="FFFFFF"/>
            <w:vAlign w:val="center"/>
          </w:tcPr>
          <w:p w14:paraId="5D9E3A00">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一级指标</w:t>
            </w:r>
          </w:p>
        </w:tc>
        <w:tc>
          <w:tcPr>
            <w:tcW w:w="1010" w:type="dxa"/>
            <w:shd w:val="clear" w:color="auto" w:fill="FFFFFF"/>
            <w:vAlign w:val="center"/>
          </w:tcPr>
          <w:p w14:paraId="668A4982">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二级指标</w:t>
            </w:r>
          </w:p>
        </w:tc>
        <w:tc>
          <w:tcPr>
            <w:tcW w:w="1188" w:type="dxa"/>
            <w:shd w:val="clear" w:color="auto" w:fill="FFFFFF"/>
            <w:vAlign w:val="center"/>
          </w:tcPr>
          <w:p w14:paraId="0868D648">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三级指标</w:t>
            </w:r>
          </w:p>
        </w:tc>
        <w:tc>
          <w:tcPr>
            <w:tcW w:w="2351" w:type="dxa"/>
            <w:shd w:val="clear" w:color="auto" w:fill="FFFFFF"/>
            <w:vAlign w:val="center"/>
          </w:tcPr>
          <w:p w14:paraId="7D160B2C">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指标解释</w:t>
            </w:r>
          </w:p>
        </w:tc>
        <w:tc>
          <w:tcPr>
            <w:tcW w:w="5915" w:type="dxa"/>
            <w:shd w:val="clear" w:color="auto" w:fill="FFFFFF"/>
            <w:vAlign w:val="center"/>
          </w:tcPr>
          <w:p w14:paraId="7D3A1382">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指标说明</w:t>
            </w:r>
          </w:p>
        </w:tc>
        <w:tc>
          <w:tcPr>
            <w:tcW w:w="1134" w:type="dxa"/>
            <w:shd w:val="clear" w:color="auto" w:fill="FFFFFF"/>
            <w:vAlign w:val="center"/>
          </w:tcPr>
          <w:p w14:paraId="153B1221">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权重</w:t>
            </w:r>
          </w:p>
        </w:tc>
        <w:tc>
          <w:tcPr>
            <w:tcW w:w="891" w:type="dxa"/>
            <w:shd w:val="clear" w:color="auto" w:fill="FFFFFF"/>
            <w:vAlign w:val="center"/>
          </w:tcPr>
          <w:p w14:paraId="12EC55B7">
            <w:pPr>
              <w:widowControl/>
              <w:spacing w:line="0" w:lineRule="atLeast"/>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得分</w:t>
            </w:r>
          </w:p>
        </w:tc>
      </w:tr>
      <w:tr w14:paraId="040B40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00" w:hRule="atLeast"/>
          <w:jc w:val="center"/>
        </w:trPr>
        <w:tc>
          <w:tcPr>
            <w:tcW w:w="725" w:type="dxa"/>
            <w:vMerge w:val="restart"/>
            <w:shd w:val="clear" w:color="auto" w:fill="FFFFFF"/>
            <w:vAlign w:val="center"/>
          </w:tcPr>
          <w:p w14:paraId="61E49D0F">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决策　</w:t>
            </w:r>
          </w:p>
          <w:p w14:paraId="5D6037E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p w14:paraId="36B5AB58">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tc>
        <w:tc>
          <w:tcPr>
            <w:tcW w:w="1010" w:type="dxa"/>
            <w:vMerge w:val="restart"/>
            <w:shd w:val="clear" w:color="auto" w:fill="FFFFFF"/>
            <w:vAlign w:val="center"/>
          </w:tcPr>
          <w:p w14:paraId="726D22FF">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项目立项　</w:t>
            </w:r>
          </w:p>
        </w:tc>
        <w:tc>
          <w:tcPr>
            <w:tcW w:w="1188" w:type="dxa"/>
            <w:shd w:val="clear" w:color="auto" w:fill="FFFFFF"/>
            <w:vAlign w:val="center"/>
          </w:tcPr>
          <w:p w14:paraId="350F9C94">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立项依据</w:t>
            </w:r>
          </w:p>
          <w:p w14:paraId="3AB59BD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充分性</w:t>
            </w:r>
          </w:p>
        </w:tc>
        <w:tc>
          <w:tcPr>
            <w:tcW w:w="2351" w:type="dxa"/>
            <w:shd w:val="clear" w:color="auto" w:fill="FFFFFF"/>
            <w:vAlign w:val="center"/>
          </w:tcPr>
          <w:p w14:paraId="6531034E">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项目立项是否符合法律法规、相关政策、发展规划以及部门职责，用以反映和考核项目立项依据情况。</w:t>
            </w:r>
          </w:p>
        </w:tc>
        <w:tc>
          <w:tcPr>
            <w:tcW w:w="5915" w:type="dxa"/>
            <w:shd w:val="clear" w:color="auto" w:fill="FFFFFF"/>
            <w:vAlign w:val="center"/>
          </w:tcPr>
          <w:p w14:paraId="156CC72E">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评价要点：</w:t>
            </w:r>
          </w:p>
          <w:p w14:paraId="0563ADC2">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①项目立项是否符合国家法律法规、国民经济发展规划和相关政策；</w:t>
            </w:r>
          </w:p>
          <w:p w14:paraId="196277C5">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②项目立项是否符合行业发展规划和政策要求；</w:t>
            </w:r>
          </w:p>
          <w:p w14:paraId="464F570A">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③项目立项是否与部门职责范围相符，属于部门履职所需；</w:t>
            </w:r>
          </w:p>
          <w:p w14:paraId="012A3B54">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④项目是否属于公共财政支持范围，是否符合中央、地方事权支出责任划分原则；</w:t>
            </w:r>
          </w:p>
          <w:p w14:paraId="36563B37">
            <w:pPr>
              <w:widowControl/>
              <w:spacing w:line="0" w:lineRule="atLeast"/>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⑤项目是否与相关部门同类项目或部门内部相关项目重复。</w:t>
            </w:r>
          </w:p>
        </w:tc>
        <w:tc>
          <w:tcPr>
            <w:tcW w:w="1134" w:type="dxa"/>
            <w:shd w:val="clear" w:color="auto" w:fill="FFFFFF"/>
            <w:vAlign w:val="center"/>
          </w:tcPr>
          <w:p w14:paraId="5AF3994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3</w:t>
            </w:r>
          </w:p>
        </w:tc>
        <w:tc>
          <w:tcPr>
            <w:tcW w:w="891" w:type="dxa"/>
            <w:shd w:val="clear" w:color="auto" w:fill="FFFFFF"/>
            <w:vAlign w:val="center"/>
          </w:tcPr>
          <w:p w14:paraId="08A03C4C">
            <w:pPr>
              <w:widowControl/>
              <w:spacing w:line="0" w:lineRule="atLeast"/>
              <w:jc w:val="center"/>
              <w:rPr>
                <w:rFonts w:hint="eastAsia" w:ascii="Times New Roman" w:hAnsi="Times New Roman" w:eastAsia="仿宋_GB2312" w:cs="Times New Roman"/>
                <w:color w:val="auto"/>
                <w:kern w:val="0"/>
                <w:sz w:val="22"/>
                <w:szCs w:val="22"/>
                <w:highlight w:val="none"/>
                <w:lang w:val="en-US" w:eastAsia="zh-CN"/>
              </w:rPr>
            </w:pPr>
            <w:r>
              <w:rPr>
                <w:rFonts w:hint="eastAsia"/>
                <w:highlight w:val="none"/>
                <w:lang w:val="en-US" w:eastAsia="zh-CN"/>
              </w:rPr>
              <w:t>3</w:t>
            </w:r>
          </w:p>
        </w:tc>
      </w:tr>
      <w:tr w14:paraId="09E83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26" w:hRule="atLeast"/>
          <w:jc w:val="center"/>
        </w:trPr>
        <w:tc>
          <w:tcPr>
            <w:tcW w:w="725" w:type="dxa"/>
            <w:vMerge w:val="continue"/>
            <w:shd w:val="clear" w:color="auto" w:fill="FFFFFF"/>
            <w:vAlign w:val="center"/>
          </w:tcPr>
          <w:p w14:paraId="6AEEE6DE">
            <w:pPr>
              <w:spacing w:line="0" w:lineRule="atLeast"/>
              <w:jc w:val="center"/>
              <w:rPr>
                <w:rFonts w:hint="default" w:ascii="Times New Roman" w:hAnsi="Times New Roman" w:eastAsia="宋体" w:cs="Times New Roman"/>
                <w:color w:val="auto"/>
                <w:kern w:val="0"/>
                <w:sz w:val="22"/>
                <w:szCs w:val="22"/>
                <w:highlight w:val="none"/>
              </w:rPr>
            </w:pPr>
          </w:p>
        </w:tc>
        <w:tc>
          <w:tcPr>
            <w:tcW w:w="1010" w:type="dxa"/>
            <w:vMerge w:val="continue"/>
            <w:shd w:val="clear" w:color="auto" w:fill="FFFFFF"/>
            <w:vAlign w:val="center"/>
          </w:tcPr>
          <w:p w14:paraId="26D03F2A">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188" w:type="dxa"/>
            <w:shd w:val="clear" w:color="auto" w:fill="FFFFFF"/>
            <w:vAlign w:val="center"/>
          </w:tcPr>
          <w:p w14:paraId="50296D9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立项程序</w:t>
            </w:r>
          </w:p>
          <w:p w14:paraId="465F441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规范性</w:t>
            </w:r>
          </w:p>
        </w:tc>
        <w:tc>
          <w:tcPr>
            <w:tcW w:w="2351" w:type="dxa"/>
            <w:shd w:val="clear" w:color="auto" w:fill="FFFFFF"/>
            <w:vAlign w:val="center"/>
          </w:tcPr>
          <w:p w14:paraId="20566985">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项目申请、设立过程是否符合相关要求，用以反映和考核项目立项的规范情况。</w:t>
            </w:r>
          </w:p>
        </w:tc>
        <w:tc>
          <w:tcPr>
            <w:tcW w:w="5915" w:type="dxa"/>
            <w:shd w:val="clear" w:color="auto" w:fill="FFFFFF"/>
            <w:vAlign w:val="center"/>
          </w:tcPr>
          <w:p w14:paraId="76E9699E">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评价要点：</w:t>
            </w:r>
          </w:p>
          <w:p w14:paraId="5FC61ABC">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①项目是否按照规定的程序申请设立；</w:t>
            </w:r>
          </w:p>
          <w:p w14:paraId="419F0C1D">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②审批文件、材料是否符合相关要求；</w:t>
            </w:r>
          </w:p>
          <w:p w14:paraId="4AA6A6F8">
            <w:pPr>
              <w:widowControl/>
              <w:spacing w:line="0" w:lineRule="atLeast"/>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③事前是否已经过必要的可行性研究、专家论证、风险评估、绩效评估、集体决策。</w:t>
            </w:r>
          </w:p>
        </w:tc>
        <w:tc>
          <w:tcPr>
            <w:tcW w:w="1134" w:type="dxa"/>
            <w:shd w:val="clear" w:color="auto" w:fill="FFFFFF"/>
            <w:vAlign w:val="center"/>
          </w:tcPr>
          <w:p w14:paraId="4637674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3</w:t>
            </w:r>
          </w:p>
        </w:tc>
        <w:tc>
          <w:tcPr>
            <w:tcW w:w="891" w:type="dxa"/>
            <w:shd w:val="clear" w:color="auto" w:fill="FFFFFF"/>
            <w:vAlign w:val="center"/>
          </w:tcPr>
          <w:p w14:paraId="03D277DB">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3</w:t>
            </w:r>
          </w:p>
        </w:tc>
      </w:tr>
      <w:tr w14:paraId="294DB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04" w:hRule="atLeast"/>
          <w:jc w:val="center"/>
        </w:trPr>
        <w:tc>
          <w:tcPr>
            <w:tcW w:w="725" w:type="dxa"/>
            <w:vMerge w:val="continue"/>
            <w:shd w:val="clear" w:color="auto" w:fill="FFFFFF"/>
            <w:vAlign w:val="center"/>
          </w:tcPr>
          <w:p w14:paraId="042C9761">
            <w:pPr>
              <w:spacing w:line="0" w:lineRule="atLeast"/>
              <w:jc w:val="center"/>
              <w:rPr>
                <w:rFonts w:hint="default" w:ascii="Times New Roman" w:hAnsi="Times New Roman" w:eastAsia="宋体" w:cs="Times New Roman"/>
                <w:color w:val="auto"/>
                <w:kern w:val="0"/>
                <w:sz w:val="22"/>
                <w:szCs w:val="22"/>
                <w:highlight w:val="none"/>
              </w:rPr>
            </w:pPr>
          </w:p>
        </w:tc>
        <w:tc>
          <w:tcPr>
            <w:tcW w:w="1010" w:type="dxa"/>
            <w:shd w:val="clear" w:color="auto" w:fill="FFFFFF"/>
            <w:vAlign w:val="center"/>
          </w:tcPr>
          <w:p w14:paraId="39E8AC2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绩效目标　</w:t>
            </w:r>
          </w:p>
        </w:tc>
        <w:tc>
          <w:tcPr>
            <w:tcW w:w="1188" w:type="dxa"/>
            <w:shd w:val="clear" w:color="auto" w:fill="FFFFFF"/>
            <w:vAlign w:val="center"/>
          </w:tcPr>
          <w:p w14:paraId="5E047F8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绩效目标</w:t>
            </w:r>
          </w:p>
          <w:p w14:paraId="46529389">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合理性</w:t>
            </w:r>
          </w:p>
        </w:tc>
        <w:tc>
          <w:tcPr>
            <w:tcW w:w="2351" w:type="dxa"/>
            <w:shd w:val="clear" w:color="000000" w:fill="FFFFFF"/>
            <w:vAlign w:val="center"/>
          </w:tcPr>
          <w:p w14:paraId="66CDBF6E">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项目所设定的绩效目标是否依据充分，是否符合客观实际，用以反映和考核项目绩效目标与项目实施的相符情况。</w:t>
            </w:r>
          </w:p>
        </w:tc>
        <w:tc>
          <w:tcPr>
            <w:tcW w:w="5915" w:type="dxa"/>
            <w:shd w:val="clear" w:color="000000" w:fill="FFFFFF"/>
            <w:vAlign w:val="center"/>
          </w:tcPr>
          <w:p w14:paraId="47A9610E">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评价要点：</w:t>
            </w:r>
          </w:p>
          <w:p w14:paraId="5517D6C1">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（如未设定预算绩效目标，也可考核其他工作任务目标）</w:t>
            </w:r>
          </w:p>
          <w:p w14:paraId="56D94CB1">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①项目是否有绩效目标；</w:t>
            </w:r>
          </w:p>
          <w:p w14:paraId="42E48E4A">
            <w:pPr>
              <w:widowControl/>
              <w:spacing w:line="0" w:lineRule="atLeast"/>
              <w:jc w:val="lef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②项目绩效目标与实际工作内容是否具有相关性；</w:t>
            </w:r>
          </w:p>
          <w:p w14:paraId="001A7DFA">
            <w:pPr>
              <w:widowControl/>
              <w:spacing w:line="0" w:lineRule="atLeast"/>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③项目预期产出效益和效果是否符合正常的业绩水平；</w:t>
            </w:r>
          </w:p>
          <w:p w14:paraId="11B66D01">
            <w:pPr>
              <w:widowControl/>
              <w:spacing w:line="0" w:lineRule="atLeast"/>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④是否与预算确定的项目投资额或资金量相匹配。</w:t>
            </w:r>
          </w:p>
        </w:tc>
        <w:tc>
          <w:tcPr>
            <w:tcW w:w="1134" w:type="dxa"/>
            <w:shd w:val="clear" w:color="000000" w:fill="FFFFFF"/>
            <w:vAlign w:val="center"/>
          </w:tcPr>
          <w:p w14:paraId="250C10A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3</w:t>
            </w:r>
          </w:p>
        </w:tc>
        <w:tc>
          <w:tcPr>
            <w:tcW w:w="891" w:type="dxa"/>
            <w:shd w:val="clear" w:color="000000" w:fill="FFFFFF"/>
            <w:vAlign w:val="center"/>
          </w:tcPr>
          <w:p w14:paraId="3DB60732">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3</w:t>
            </w:r>
          </w:p>
        </w:tc>
      </w:tr>
      <w:tr w14:paraId="256E06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52" w:hRule="atLeast"/>
          <w:jc w:val="center"/>
        </w:trPr>
        <w:tc>
          <w:tcPr>
            <w:tcW w:w="725" w:type="dxa"/>
            <w:vMerge w:val="restart"/>
            <w:shd w:val="clear" w:color="auto" w:fill="FFFFFF"/>
            <w:vAlign w:val="center"/>
          </w:tcPr>
          <w:p w14:paraId="0E64E32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决策　</w:t>
            </w:r>
          </w:p>
        </w:tc>
        <w:tc>
          <w:tcPr>
            <w:tcW w:w="1010" w:type="dxa"/>
            <w:shd w:val="clear" w:color="auto" w:fill="FFFFFF"/>
            <w:vAlign w:val="center"/>
          </w:tcPr>
          <w:p w14:paraId="184741E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绩效目标</w:t>
            </w:r>
          </w:p>
        </w:tc>
        <w:tc>
          <w:tcPr>
            <w:tcW w:w="1188" w:type="dxa"/>
            <w:shd w:val="clear" w:color="auto" w:fill="FFFFFF"/>
            <w:vAlign w:val="center"/>
          </w:tcPr>
          <w:p w14:paraId="3F0390B6">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绩效指标</w:t>
            </w:r>
          </w:p>
          <w:p w14:paraId="0919B11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明确性</w:t>
            </w:r>
          </w:p>
        </w:tc>
        <w:tc>
          <w:tcPr>
            <w:tcW w:w="2351" w:type="dxa"/>
            <w:shd w:val="clear" w:color="000000" w:fill="FFFFFF"/>
            <w:vAlign w:val="center"/>
          </w:tcPr>
          <w:p w14:paraId="00C14B78">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依据绩效目标设定的绩效指标是否清晰、细化、可衡量等，用以反映和考核项目绩效目标的明细化情况。</w:t>
            </w:r>
          </w:p>
        </w:tc>
        <w:tc>
          <w:tcPr>
            <w:tcW w:w="5915" w:type="dxa"/>
            <w:shd w:val="clear" w:color="000000" w:fill="FFFFFF"/>
            <w:vAlign w:val="center"/>
          </w:tcPr>
          <w:p w14:paraId="3FB06D9C">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评价要点：</w:t>
            </w:r>
          </w:p>
          <w:p w14:paraId="21924DC1">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①是否将项目绩效目标细化分解为具体的绩效指标；</w:t>
            </w:r>
          </w:p>
          <w:p w14:paraId="04F87DF2">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②是否通过清晰、可衡量的指标值予以体现；</w:t>
            </w:r>
          </w:p>
          <w:p w14:paraId="07431F87">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③是否与项目目标任务数或计划数相对应。</w:t>
            </w:r>
          </w:p>
          <w:p w14:paraId="77262238">
            <w:pPr>
              <w:widowControl/>
              <w:spacing w:line="0" w:lineRule="atLeast"/>
              <w:rPr>
                <w:rFonts w:hint="default" w:ascii="Times New Roman" w:hAnsi="Times New Roman" w:eastAsia="宋体" w:cs="Times New Roman"/>
                <w:color w:val="auto"/>
                <w:kern w:val="0"/>
                <w:sz w:val="22"/>
                <w:szCs w:val="22"/>
                <w:highlight w:val="none"/>
                <w:lang w:eastAsia="zh-CN"/>
              </w:rPr>
            </w:pPr>
          </w:p>
        </w:tc>
        <w:tc>
          <w:tcPr>
            <w:tcW w:w="1134" w:type="dxa"/>
            <w:shd w:val="clear" w:color="000000" w:fill="FFFFFF"/>
            <w:vAlign w:val="center"/>
          </w:tcPr>
          <w:p w14:paraId="69CB77D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3</w:t>
            </w:r>
          </w:p>
        </w:tc>
        <w:tc>
          <w:tcPr>
            <w:tcW w:w="891" w:type="dxa"/>
            <w:shd w:val="clear" w:color="000000" w:fill="FFFFFF"/>
            <w:vAlign w:val="center"/>
          </w:tcPr>
          <w:p w14:paraId="39489010">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3</w:t>
            </w:r>
          </w:p>
        </w:tc>
      </w:tr>
      <w:tr w14:paraId="6A762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27" w:hRule="atLeast"/>
          <w:jc w:val="center"/>
        </w:trPr>
        <w:tc>
          <w:tcPr>
            <w:tcW w:w="725" w:type="dxa"/>
            <w:vMerge w:val="continue"/>
            <w:shd w:val="clear" w:color="auto" w:fill="FFFFFF"/>
            <w:vAlign w:val="center"/>
          </w:tcPr>
          <w:p w14:paraId="74FB7DF4">
            <w:pPr>
              <w:spacing w:line="0" w:lineRule="atLeast"/>
              <w:jc w:val="center"/>
              <w:rPr>
                <w:rFonts w:hint="default" w:ascii="Times New Roman" w:hAnsi="Times New Roman" w:eastAsia="宋体" w:cs="Times New Roman"/>
                <w:color w:val="auto"/>
                <w:kern w:val="0"/>
                <w:sz w:val="22"/>
                <w:szCs w:val="22"/>
                <w:highlight w:val="none"/>
              </w:rPr>
            </w:pPr>
          </w:p>
        </w:tc>
        <w:tc>
          <w:tcPr>
            <w:tcW w:w="1010" w:type="dxa"/>
            <w:vMerge w:val="restart"/>
            <w:shd w:val="clear" w:color="auto" w:fill="FFFFFF"/>
            <w:vAlign w:val="center"/>
          </w:tcPr>
          <w:p w14:paraId="18C8464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资金投入</w:t>
            </w:r>
          </w:p>
          <w:p w14:paraId="692955B6">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tc>
        <w:tc>
          <w:tcPr>
            <w:tcW w:w="1188" w:type="dxa"/>
            <w:shd w:val="clear" w:color="auto" w:fill="FFFFFF"/>
            <w:vAlign w:val="center"/>
          </w:tcPr>
          <w:p w14:paraId="678DC0F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预算编制</w:t>
            </w:r>
          </w:p>
          <w:p w14:paraId="7AB266C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科学性</w:t>
            </w:r>
          </w:p>
        </w:tc>
        <w:tc>
          <w:tcPr>
            <w:tcW w:w="2351" w:type="dxa"/>
            <w:shd w:val="clear" w:color="auto" w:fill="FFFFFF"/>
            <w:vAlign w:val="center"/>
          </w:tcPr>
          <w:p w14:paraId="4A5CE29A">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项目预算编制是否经过科学论证、有明确标准，资金额度与年度目标是否相适应，用以反映和考核项目预算编制的科学性、合理性情况。</w:t>
            </w:r>
          </w:p>
        </w:tc>
        <w:tc>
          <w:tcPr>
            <w:tcW w:w="5915" w:type="dxa"/>
            <w:shd w:val="clear" w:color="auto" w:fill="FFFFFF"/>
            <w:vAlign w:val="center"/>
          </w:tcPr>
          <w:p w14:paraId="0421C2B1">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评价要点：</w:t>
            </w:r>
          </w:p>
          <w:p w14:paraId="2D5CE38E">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①预算编制是否经过科学论证；</w:t>
            </w:r>
          </w:p>
          <w:p w14:paraId="17F641EB">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②预算内容与项目内容是否匹配；</w:t>
            </w:r>
          </w:p>
          <w:p w14:paraId="64B698C8">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③预算额度测算依据是否充分，是否按照标准编制；</w:t>
            </w:r>
          </w:p>
          <w:p w14:paraId="6DC237BE">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④预算确定的项目投资额或资金量是否与工作任务相匹配。</w:t>
            </w:r>
          </w:p>
        </w:tc>
        <w:tc>
          <w:tcPr>
            <w:tcW w:w="1134" w:type="dxa"/>
            <w:shd w:val="clear" w:color="auto" w:fill="FFFFFF"/>
            <w:vAlign w:val="center"/>
          </w:tcPr>
          <w:p w14:paraId="113168F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891" w:type="dxa"/>
            <w:shd w:val="clear" w:color="auto" w:fill="FFFFFF"/>
            <w:vAlign w:val="center"/>
          </w:tcPr>
          <w:p w14:paraId="162C18CA">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4</w:t>
            </w:r>
          </w:p>
        </w:tc>
      </w:tr>
      <w:tr w14:paraId="78E1CD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92" w:hRule="atLeast"/>
          <w:jc w:val="center"/>
        </w:trPr>
        <w:tc>
          <w:tcPr>
            <w:tcW w:w="725" w:type="dxa"/>
            <w:vMerge w:val="continue"/>
            <w:shd w:val="clear" w:color="auto" w:fill="FFFFFF"/>
            <w:vAlign w:val="center"/>
          </w:tcPr>
          <w:p w14:paraId="126C6994">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010" w:type="dxa"/>
            <w:vMerge w:val="continue"/>
            <w:shd w:val="clear" w:color="auto" w:fill="FFFFFF"/>
            <w:vAlign w:val="center"/>
          </w:tcPr>
          <w:p w14:paraId="28724B5B">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188" w:type="dxa"/>
            <w:shd w:val="clear" w:color="auto" w:fill="FFFFFF"/>
            <w:vAlign w:val="center"/>
          </w:tcPr>
          <w:p w14:paraId="4CF6466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资金分配</w:t>
            </w:r>
          </w:p>
          <w:p w14:paraId="101731A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合理性</w:t>
            </w:r>
          </w:p>
        </w:tc>
        <w:tc>
          <w:tcPr>
            <w:tcW w:w="2351" w:type="dxa"/>
            <w:shd w:val="clear" w:color="auto" w:fill="FFFFFF"/>
            <w:vAlign w:val="center"/>
          </w:tcPr>
          <w:p w14:paraId="34038254">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项目预算资金分配是否有测算依据，与补助单位或地方实际是否相适应，用以反映和考核项目预算资金分配的科学性、合理性情况。</w:t>
            </w:r>
          </w:p>
        </w:tc>
        <w:tc>
          <w:tcPr>
            <w:tcW w:w="5915" w:type="dxa"/>
            <w:shd w:val="clear" w:color="auto" w:fill="FFFFFF"/>
            <w:vAlign w:val="center"/>
          </w:tcPr>
          <w:p w14:paraId="0D2EBE64">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评价要点：</w:t>
            </w:r>
          </w:p>
          <w:p w14:paraId="62E1D20D">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①预算资金分配依据是否充分；</w:t>
            </w:r>
          </w:p>
          <w:p w14:paraId="6B8D5B3F">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②资金分配额度是否合理，与项目单位或地方实际是否相适应。</w:t>
            </w:r>
          </w:p>
        </w:tc>
        <w:tc>
          <w:tcPr>
            <w:tcW w:w="1134" w:type="dxa"/>
            <w:shd w:val="clear" w:color="auto" w:fill="FFFFFF"/>
            <w:vAlign w:val="center"/>
          </w:tcPr>
          <w:p w14:paraId="1A996119">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891" w:type="dxa"/>
            <w:shd w:val="clear" w:color="auto" w:fill="FFFFFF"/>
            <w:vAlign w:val="center"/>
          </w:tcPr>
          <w:p w14:paraId="00E889BE">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4</w:t>
            </w:r>
          </w:p>
        </w:tc>
      </w:tr>
      <w:tr w14:paraId="2DBA60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4" w:hRule="atLeast"/>
          <w:jc w:val="center"/>
        </w:trPr>
        <w:tc>
          <w:tcPr>
            <w:tcW w:w="725" w:type="dxa"/>
            <w:vMerge w:val="restart"/>
            <w:shd w:val="clear" w:color="auto" w:fill="FFFFFF"/>
            <w:vAlign w:val="center"/>
          </w:tcPr>
          <w:p w14:paraId="7424F03D">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过程</w:t>
            </w:r>
          </w:p>
        </w:tc>
        <w:tc>
          <w:tcPr>
            <w:tcW w:w="1010" w:type="dxa"/>
            <w:vMerge w:val="restart"/>
            <w:shd w:val="clear" w:color="auto" w:fill="FFFFFF"/>
            <w:vAlign w:val="center"/>
          </w:tcPr>
          <w:p w14:paraId="11A2425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资金管理</w:t>
            </w:r>
          </w:p>
        </w:tc>
        <w:tc>
          <w:tcPr>
            <w:tcW w:w="1188" w:type="dxa"/>
            <w:shd w:val="clear" w:color="auto" w:fill="FFFFFF"/>
            <w:vAlign w:val="center"/>
          </w:tcPr>
          <w:p w14:paraId="10517276">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资金到位率</w:t>
            </w:r>
          </w:p>
        </w:tc>
        <w:tc>
          <w:tcPr>
            <w:tcW w:w="2351" w:type="dxa"/>
            <w:shd w:val="clear" w:color="000000" w:fill="FFFFFF"/>
            <w:vAlign w:val="center"/>
          </w:tcPr>
          <w:p w14:paraId="68422360">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实际到位资金与预算资金的比率，用以反映和考核资金落实情况对项目实施的总体保障程度。</w:t>
            </w:r>
          </w:p>
        </w:tc>
        <w:tc>
          <w:tcPr>
            <w:tcW w:w="5915" w:type="dxa"/>
            <w:shd w:val="clear" w:color="000000" w:fill="FFFFFF"/>
            <w:vAlign w:val="center"/>
          </w:tcPr>
          <w:p w14:paraId="74F92E31">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资金到位率=（实际到位资金/预算资金）×100%。</w:t>
            </w:r>
          </w:p>
          <w:p w14:paraId="6E30B1E1">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实际到位资金：一定时期（本年度或项目期）内落实到具体项目的资金。</w:t>
            </w:r>
          </w:p>
          <w:p w14:paraId="5B3DC261">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预算资金：一定时期（本年度或项目期）内预算安排到具体项目的资金。</w:t>
            </w:r>
          </w:p>
        </w:tc>
        <w:tc>
          <w:tcPr>
            <w:tcW w:w="1134" w:type="dxa"/>
            <w:shd w:val="clear" w:color="000000" w:fill="FFFFFF"/>
            <w:vAlign w:val="center"/>
          </w:tcPr>
          <w:p w14:paraId="36C6CCEE">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891" w:type="dxa"/>
            <w:shd w:val="clear" w:color="000000" w:fill="FFFFFF"/>
            <w:vAlign w:val="center"/>
          </w:tcPr>
          <w:p w14:paraId="4798EF2E">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4</w:t>
            </w:r>
          </w:p>
        </w:tc>
      </w:tr>
      <w:tr w14:paraId="5BFCC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9" w:hRule="atLeast"/>
          <w:jc w:val="center"/>
        </w:trPr>
        <w:tc>
          <w:tcPr>
            <w:tcW w:w="725" w:type="dxa"/>
            <w:vMerge w:val="continue"/>
            <w:shd w:val="clear" w:color="auto" w:fill="FFFFFF"/>
            <w:vAlign w:val="center"/>
          </w:tcPr>
          <w:p w14:paraId="3F3B5928">
            <w:pPr>
              <w:spacing w:line="0" w:lineRule="atLeast"/>
              <w:jc w:val="center"/>
              <w:rPr>
                <w:rFonts w:hint="default" w:ascii="Times New Roman" w:hAnsi="Times New Roman" w:eastAsia="宋体" w:cs="Times New Roman"/>
                <w:color w:val="auto"/>
                <w:kern w:val="0"/>
                <w:sz w:val="22"/>
                <w:szCs w:val="22"/>
                <w:highlight w:val="none"/>
              </w:rPr>
            </w:pPr>
          </w:p>
        </w:tc>
        <w:tc>
          <w:tcPr>
            <w:tcW w:w="1010" w:type="dxa"/>
            <w:vMerge w:val="continue"/>
            <w:shd w:val="clear" w:color="auto" w:fill="FFFFFF"/>
            <w:vAlign w:val="center"/>
          </w:tcPr>
          <w:p w14:paraId="4BF1306A">
            <w:pPr>
              <w:spacing w:line="0" w:lineRule="atLeast"/>
              <w:jc w:val="center"/>
              <w:rPr>
                <w:rFonts w:hint="default" w:ascii="Times New Roman" w:hAnsi="Times New Roman" w:eastAsia="宋体" w:cs="Times New Roman"/>
                <w:color w:val="auto"/>
                <w:kern w:val="0"/>
                <w:sz w:val="22"/>
                <w:szCs w:val="22"/>
                <w:highlight w:val="none"/>
              </w:rPr>
            </w:pPr>
          </w:p>
        </w:tc>
        <w:tc>
          <w:tcPr>
            <w:tcW w:w="1188" w:type="dxa"/>
            <w:shd w:val="clear" w:color="auto" w:fill="FFFFFF"/>
            <w:vAlign w:val="center"/>
          </w:tcPr>
          <w:p w14:paraId="4200F71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预算执行率</w:t>
            </w:r>
          </w:p>
        </w:tc>
        <w:tc>
          <w:tcPr>
            <w:tcW w:w="2351" w:type="dxa"/>
            <w:shd w:val="clear" w:color="auto" w:fill="FFFFFF"/>
            <w:vAlign w:val="center"/>
          </w:tcPr>
          <w:p w14:paraId="56893962">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项目预算资金是否按照计划执行，用以反映或考核项目预算执行情况。</w:t>
            </w:r>
          </w:p>
        </w:tc>
        <w:tc>
          <w:tcPr>
            <w:tcW w:w="5915" w:type="dxa"/>
            <w:shd w:val="clear" w:color="auto" w:fill="FFFFFF"/>
            <w:vAlign w:val="center"/>
          </w:tcPr>
          <w:p w14:paraId="5F321579">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预算执行率=（实际支出资金/实际到位资金）×100%。</w:t>
            </w:r>
          </w:p>
          <w:p w14:paraId="74459A63">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实际支出资金：一定时期（本年度或项目期）内项目实际拨付的资金。</w:t>
            </w:r>
          </w:p>
        </w:tc>
        <w:tc>
          <w:tcPr>
            <w:tcW w:w="1134" w:type="dxa"/>
            <w:shd w:val="clear" w:color="auto" w:fill="FFFFFF"/>
            <w:vAlign w:val="center"/>
          </w:tcPr>
          <w:p w14:paraId="6A0057D4">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891" w:type="dxa"/>
            <w:shd w:val="clear" w:color="auto" w:fill="FFFFFF"/>
            <w:vAlign w:val="center"/>
          </w:tcPr>
          <w:p w14:paraId="6BBEB0E1">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4</w:t>
            </w:r>
          </w:p>
        </w:tc>
      </w:tr>
      <w:tr w14:paraId="0DA9EE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59" w:hRule="atLeast"/>
          <w:jc w:val="center"/>
        </w:trPr>
        <w:tc>
          <w:tcPr>
            <w:tcW w:w="725" w:type="dxa"/>
            <w:vMerge w:val="restart"/>
            <w:shd w:val="clear" w:color="auto" w:fill="FFFFFF"/>
            <w:vAlign w:val="center"/>
          </w:tcPr>
          <w:p w14:paraId="0371591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p w14:paraId="5388F754">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过程　</w:t>
            </w:r>
          </w:p>
        </w:tc>
        <w:tc>
          <w:tcPr>
            <w:tcW w:w="1010" w:type="dxa"/>
            <w:shd w:val="clear" w:color="auto" w:fill="FFFFFF"/>
            <w:vAlign w:val="center"/>
          </w:tcPr>
          <w:p w14:paraId="6DF2972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资金管理</w:t>
            </w:r>
          </w:p>
        </w:tc>
        <w:tc>
          <w:tcPr>
            <w:tcW w:w="1188" w:type="dxa"/>
            <w:shd w:val="clear" w:color="auto" w:fill="FFFFFF"/>
            <w:vAlign w:val="center"/>
          </w:tcPr>
          <w:p w14:paraId="25397B4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资金使用</w:t>
            </w:r>
          </w:p>
          <w:p w14:paraId="436E7A9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合规性</w:t>
            </w:r>
          </w:p>
        </w:tc>
        <w:tc>
          <w:tcPr>
            <w:tcW w:w="2351" w:type="dxa"/>
            <w:shd w:val="clear" w:color="000000" w:fill="FFFFFF"/>
            <w:vAlign w:val="center"/>
          </w:tcPr>
          <w:p w14:paraId="53C52E9D">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项目资金使用是否符合相关的财务管理制度规定，用以反映和考核项目资金的规范运行情况。</w:t>
            </w:r>
          </w:p>
        </w:tc>
        <w:tc>
          <w:tcPr>
            <w:tcW w:w="5915" w:type="dxa"/>
            <w:shd w:val="clear" w:color="000000" w:fill="FFFFFF"/>
            <w:vAlign w:val="center"/>
          </w:tcPr>
          <w:p w14:paraId="7B05C4AD">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评价要点：</w:t>
            </w:r>
          </w:p>
          <w:p w14:paraId="74121657">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①是否符合国家财经法规和财务管理制度以及有关专项资金管理办法的规定；</w:t>
            </w:r>
          </w:p>
          <w:p w14:paraId="3B4AF3BC">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②资金的拨付是否有完整的审批程序和手续；</w:t>
            </w:r>
          </w:p>
          <w:p w14:paraId="465828AA">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③是否符合项目预算批复或合同规定的用途；</w:t>
            </w:r>
          </w:p>
          <w:p w14:paraId="55D8256A">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④是否存在截留、挤占、挪用、虚列支出等情况。</w:t>
            </w:r>
          </w:p>
        </w:tc>
        <w:tc>
          <w:tcPr>
            <w:tcW w:w="1134" w:type="dxa"/>
            <w:shd w:val="clear" w:color="000000" w:fill="FFFFFF"/>
            <w:vAlign w:val="center"/>
          </w:tcPr>
          <w:p w14:paraId="7A40D3D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891" w:type="dxa"/>
            <w:shd w:val="clear" w:color="000000" w:fill="FFFFFF"/>
            <w:vAlign w:val="center"/>
          </w:tcPr>
          <w:p w14:paraId="20499503">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4</w:t>
            </w:r>
          </w:p>
        </w:tc>
      </w:tr>
      <w:tr w14:paraId="24E71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3" w:hRule="atLeast"/>
          <w:jc w:val="center"/>
        </w:trPr>
        <w:tc>
          <w:tcPr>
            <w:tcW w:w="725" w:type="dxa"/>
            <w:vMerge w:val="continue"/>
            <w:shd w:val="clear" w:color="auto" w:fill="FFFFFF"/>
            <w:vAlign w:val="center"/>
          </w:tcPr>
          <w:p w14:paraId="2BD3D505">
            <w:pPr>
              <w:spacing w:line="0" w:lineRule="atLeast"/>
              <w:jc w:val="center"/>
              <w:rPr>
                <w:rFonts w:hint="default" w:ascii="Times New Roman" w:hAnsi="Times New Roman" w:eastAsia="宋体" w:cs="Times New Roman"/>
                <w:color w:val="auto"/>
                <w:kern w:val="0"/>
                <w:sz w:val="22"/>
                <w:szCs w:val="22"/>
                <w:highlight w:val="none"/>
              </w:rPr>
            </w:pPr>
          </w:p>
        </w:tc>
        <w:tc>
          <w:tcPr>
            <w:tcW w:w="1010" w:type="dxa"/>
            <w:vMerge w:val="restart"/>
            <w:shd w:val="clear" w:color="auto" w:fill="FFFFFF"/>
            <w:vAlign w:val="center"/>
          </w:tcPr>
          <w:p w14:paraId="37B7D53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组织实施</w:t>
            </w:r>
          </w:p>
          <w:p w14:paraId="6E437C11">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tc>
        <w:tc>
          <w:tcPr>
            <w:tcW w:w="1188" w:type="dxa"/>
            <w:shd w:val="clear" w:color="auto" w:fill="FFFFFF"/>
            <w:vAlign w:val="center"/>
          </w:tcPr>
          <w:p w14:paraId="0A30E04F">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管理制度</w:t>
            </w:r>
          </w:p>
          <w:p w14:paraId="7FAC4E9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健全性</w:t>
            </w:r>
          </w:p>
        </w:tc>
        <w:tc>
          <w:tcPr>
            <w:tcW w:w="2351" w:type="dxa"/>
            <w:shd w:val="clear" w:color="000000" w:fill="FFFFFF"/>
            <w:vAlign w:val="center"/>
          </w:tcPr>
          <w:p w14:paraId="398FCB30">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项目实施单位的财务和业务管理制度是否健全，用以反映和考核财务和业务管理制度对项目顺利实施的保障情况。</w:t>
            </w:r>
          </w:p>
        </w:tc>
        <w:tc>
          <w:tcPr>
            <w:tcW w:w="5915" w:type="dxa"/>
            <w:shd w:val="clear" w:color="000000" w:fill="FFFFFF"/>
            <w:vAlign w:val="center"/>
          </w:tcPr>
          <w:p w14:paraId="2C133246">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评价要点：</w:t>
            </w:r>
          </w:p>
          <w:p w14:paraId="7453EBD0">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①是否已制定或具有相应的财务和业务管理制度；</w:t>
            </w:r>
          </w:p>
          <w:p w14:paraId="11E3ABB2">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②财务和业务管理制度是否合法、合规、完整。</w:t>
            </w:r>
          </w:p>
        </w:tc>
        <w:tc>
          <w:tcPr>
            <w:tcW w:w="1134" w:type="dxa"/>
            <w:shd w:val="clear" w:color="000000" w:fill="FFFFFF"/>
            <w:vAlign w:val="center"/>
          </w:tcPr>
          <w:p w14:paraId="5D911FA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891" w:type="dxa"/>
            <w:shd w:val="clear" w:color="000000" w:fill="FFFFFF"/>
            <w:vAlign w:val="center"/>
          </w:tcPr>
          <w:p w14:paraId="6CF4CF9E">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4</w:t>
            </w:r>
          </w:p>
        </w:tc>
      </w:tr>
      <w:tr w14:paraId="5CB70F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55" w:hRule="atLeast"/>
          <w:jc w:val="center"/>
        </w:trPr>
        <w:tc>
          <w:tcPr>
            <w:tcW w:w="725" w:type="dxa"/>
            <w:vMerge w:val="continue"/>
            <w:shd w:val="clear" w:color="auto" w:fill="FFFFFF"/>
            <w:vAlign w:val="center"/>
          </w:tcPr>
          <w:p w14:paraId="732C76EB">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010" w:type="dxa"/>
            <w:vMerge w:val="continue"/>
            <w:shd w:val="clear" w:color="auto" w:fill="FFFFFF"/>
            <w:vAlign w:val="center"/>
          </w:tcPr>
          <w:p w14:paraId="75B61033">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188" w:type="dxa"/>
            <w:shd w:val="clear" w:color="auto" w:fill="FFFFFF"/>
            <w:vAlign w:val="center"/>
          </w:tcPr>
          <w:p w14:paraId="23A7216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制度执行</w:t>
            </w:r>
          </w:p>
          <w:p w14:paraId="00E7376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有效性</w:t>
            </w:r>
          </w:p>
        </w:tc>
        <w:tc>
          <w:tcPr>
            <w:tcW w:w="2351" w:type="dxa"/>
            <w:shd w:val="clear" w:color="000000" w:fill="FFFFFF"/>
            <w:vAlign w:val="center"/>
          </w:tcPr>
          <w:p w14:paraId="5C576BBF">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项目实施是否符合相关管理规定，用以反映和考核相关管理制度的有效执行情况。</w:t>
            </w:r>
          </w:p>
        </w:tc>
        <w:tc>
          <w:tcPr>
            <w:tcW w:w="5915" w:type="dxa"/>
            <w:shd w:val="clear" w:color="000000" w:fill="FFFFFF"/>
            <w:vAlign w:val="center"/>
          </w:tcPr>
          <w:p w14:paraId="57880192">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评价要点：</w:t>
            </w:r>
          </w:p>
          <w:p w14:paraId="379106A2">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①是否遵守相关法律法规和相关管理规定；</w:t>
            </w:r>
          </w:p>
          <w:p w14:paraId="7C945F27">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②项目调整及支出调整手续是否完备；</w:t>
            </w:r>
          </w:p>
          <w:p w14:paraId="760226C3">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③项目合同书、验收报告、技术鉴定等资料是否齐全并及时归档；</w:t>
            </w:r>
          </w:p>
          <w:p w14:paraId="33E613EE">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④项目实施的人员条件、场地设备、信息支撑等是否落实到位。</w:t>
            </w:r>
          </w:p>
        </w:tc>
        <w:tc>
          <w:tcPr>
            <w:tcW w:w="1134" w:type="dxa"/>
            <w:shd w:val="clear" w:color="000000" w:fill="FFFFFF"/>
            <w:vAlign w:val="center"/>
          </w:tcPr>
          <w:p w14:paraId="7249DC3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4</w:t>
            </w:r>
          </w:p>
        </w:tc>
        <w:tc>
          <w:tcPr>
            <w:tcW w:w="891" w:type="dxa"/>
            <w:shd w:val="clear" w:color="000000" w:fill="FFFFFF"/>
            <w:vAlign w:val="center"/>
          </w:tcPr>
          <w:p w14:paraId="51AB938F">
            <w:pPr>
              <w:widowControl/>
              <w:spacing w:line="0" w:lineRule="atLeast"/>
              <w:jc w:val="center"/>
              <w:rPr>
                <w:rFonts w:hint="eastAsia"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4</w:t>
            </w:r>
          </w:p>
        </w:tc>
      </w:tr>
      <w:tr w14:paraId="4D3A15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02" w:hRule="atLeast"/>
          <w:jc w:val="center"/>
        </w:trPr>
        <w:tc>
          <w:tcPr>
            <w:tcW w:w="725" w:type="dxa"/>
            <w:shd w:val="clear" w:color="auto" w:fill="FFFFFF"/>
            <w:vAlign w:val="center"/>
          </w:tcPr>
          <w:p w14:paraId="3486D33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w:t>
            </w:r>
          </w:p>
        </w:tc>
        <w:tc>
          <w:tcPr>
            <w:tcW w:w="1010" w:type="dxa"/>
            <w:shd w:val="clear" w:color="auto" w:fill="FFFFFF"/>
            <w:vAlign w:val="center"/>
          </w:tcPr>
          <w:p w14:paraId="09482A3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产出数量</w:t>
            </w:r>
          </w:p>
        </w:tc>
        <w:tc>
          <w:tcPr>
            <w:tcW w:w="1188" w:type="dxa"/>
            <w:shd w:val="clear" w:color="auto" w:fill="FFFFFF"/>
            <w:vAlign w:val="center"/>
          </w:tcPr>
          <w:p w14:paraId="07F94973">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实际完成率</w:t>
            </w:r>
          </w:p>
        </w:tc>
        <w:tc>
          <w:tcPr>
            <w:tcW w:w="2351" w:type="dxa"/>
            <w:shd w:val="clear" w:color="000000" w:fill="FFFFFF"/>
            <w:vAlign w:val="center"/>
          </w:tcPr>
          <w:p w14:paraId="3E51F77A">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项目实施的实际产出数与计划产出数的比率，用以反映和考核项目产出数量目标的实现程度。</w:t>
            </w:r>
          </w:p>
        </w:tc>
        <w:tc>
          <w:tcPr>
            <w:tcW w:w="5915" w:type="dxa"/>
            <w:shd w:val="clear" w:color="000000" w:fill="FFFFFF"/>
            <w:vAlign w:val="center"/>
          </w:tcPr>
          <w:p w14:paraId="36374916">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实际完成率=（实际产出数/计划产出数）×100%。</w:t>
            </w:r>
          </w:p>
          <w:p w14:paraId="6A152ABE">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实际产出数：一定时期（本年度或项目期）内项目实际产出的产品或提供的服务数量。</w:t>
            </w:r>
          </w:p>
          <w:p w14:paraId="57187DC6">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计划产出数：项目绩效目标确定的在一定时期（本年度或项目期）内计划产出的产品或提供的服务数量。</w:t>
            </w:r>
          </w:p>
        </w:tc>
        <w:tc>
          <w:tcPr>
            <w:tcW w:w="1134" w:type="dxa"/>
            <w:shd w:val="clear" w:color="000000" w:fill="FFFFFF"/>
            <w:vAlign w:val="center"/>
          </w:tcPr>
          <w:p w14:paraId="5A04927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w:t>
            </w:r>
          </w:p>
        </w:tc>
        <w:tc>
          <w:tcPr>
            <w:tcW w:w="891" w:type="dxa"/>
            <w:shd w:val="clear" w:color="000000" w:fill="FFFFFF"/>
            <w:vAlign w:val="center"/>
          </w:tcPr>
          <w:p w14:paraId="3FF46B9B">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10</w:t>
            </w:r>
          </w:p>
        </w:tc>
      </w:tr>
      <w:tr w14:paraId="1754AF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4" w:hRule="atLeast"/>
          <w:jc w:val="center"/>
        </w:trPr>
        <w:tc>
          <w:tcPr>
            <w:tcW w:w="725" w:type="dxa"/>
            <w:vMerge w:val="restart"/>
            <w:shd w:val="clear" w:color="auto" w:fill="FFFFFF"/>
            <w:vAlign w:val="center"/>
          </w:tcPr>
          <w:p w14:paraId="627D31B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w:t>
            </w:r>
          </w:p>
        </w:tc>
        <w:tc>
          <w:tcPr>
            <w:tcW w:w="1010" w:type="dxa"/>
            <w:shd w:val="clear" w:color="auto" w:fill="FFFFFF"/>
            <w:vAlign w:val="center"/>
          </w:tcPr>
          <w:p w14:paraId="5295DF38">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产出质量</w:t>
            </w:r>
          </w:p>
        </w:tc>
        <w:tc>
          <w:tcPr>
            <w:tcW w:w="1188" w:type="dxa"/>
            <w:shd w:val="clear" w:color="auto" w:fill="FFFFFF"/>
            <w:vAlign w:val="center"/>
          </w:tcPr>
          <w:p w14:paraId="7BD50BC4">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质量达标率</w:t>
            </w:r>
          </w:p>
        </w:tc>
        <w:tc>
          <w:tcPr>
            <w:tcW w:w="2351" w:type="dxa"/>
            <w:shd w:val="clear" w:color="000000" w:fill="FFFFFF"/>
            <w:vAlign w:val="center"/>
          </w:tcPr>
          <w:p w14:paraId="274E3366">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项目完成的质量达标产出数与实际产出数的比率，用以反映和考核项目产出质量目标的实现程度。</w:t>
            </w:r>
          </w:p>
        </w:tc>
        <w:tc>
          <w:tcPr>
            <w:tcW w:w="5915" w:type="dxa"/>
            <w:shd w:val="clear" w:color="000000" w:fill="FFFFFF"/>
            <w:vAlign w:val="center"/>
          </w:tcPr>
          <w:p w14:paraId="31F81814">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质量达标率=（质量达标产出数/实际产出数）×100%。</w:t>
            </w:r>
          </w:p>
          <w:p w14:paraId="0240AD4C">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134" w:type="dxa"/>
            <w:shd w:val="clear" w:color="000000" w:fill="FFFFFF"/>
            <w:vAlign w:val="center"/>
          </w:tcPr>
          <w:p w14:paraId="357314C6">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w:t>
            </w:r>
          </w:p>
        </w:tc>
        <w:tc>
          <w:tcPr>
            <w:tcW w:w="891" w:type="dxa"/>
            <w:shd w:val="clear" w:color="000000" w:fill="FFFFFF"/>
            <w:vAlign w:val="center"/>
          </w:tcPr>
          <w:p w14:paraId="5535E3A5">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10</w:t>
            </w:r>
          </w:p>
        </w:tc>
      </w:tr>
      <w:tr w14:paraId="4F914F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94" w:hRule="atLeast"/>
          <w:jc w:val="center"/>
        </w:trPr>
        <w:tc>
          <w:tcPr>
            <w:tcW w:w="725" w:type="dxa"/>
            <w:vMerge w:val="continue"/>
            <w:shd w:val="clear" w:color="auto" w:fill="FFFFFF"/>
            <w:vAlign w:val="center"/>
          </w:tcPr>
          <w:p w14:paraId="408F3553">
            <w:pPr>
              <w:spacing w:line="0" w:lineRule="atLeast"/>
              <w:jc w:val="center"/>
              <w:rPr>
                <w:rFonts w:hint="default" w:ascii="Times New Roman" w:hAnsi="Times New Roman" w:eastAsia="宋体" w:cs="Times New Roman"/>
                <w:color w:val="auto"/>
                <w:kern w:val="0"/>
                <w:sz w:val="22"/>
                <w:szCs w:val="22"/>
                <w:highlight w:val="none"/>
              </w:rPr>
            </w:pPr>
          </w:p>
        </w:tc>
        <w:tc>
          <w:tcPr>
            <w:tcW w:w="1010" w:type="dxa"/>
            <w:shd w:val="clear" w:color="auto" w:fill="FFFFFF"/>
            <w:vAlign w:val="center"/>
          </w:tcPr>
          <w:p w14:paraId="3C998530">
            <w:pPr>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产出时效</w:t>
            </w:r>
          </w:p>
        </w:tc>
        <w:tc>
          <w:tcPr>
            <w:tcW w:w="1188" w:type="dxa"/>
            <w:shd w:val="clear" w:color="auto" w:fill="FFFFFF"/>
            <w:vAlign w:val="center"/>
          </w:tcPr>
          <w:p w14:paraId="742548B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完成及时性</w:t>
            </w:r>
          </w:p>
        </w:tc>
        <w:tc>
          <w:tcPr>
            <w:tcW w:w="2351" w:type="dxa"/>
            <w:shd w:val="clear" w:color="000000" w:fill="FFFFFF"/>
            <w:vAlign w:val="center"/>
          </w:tcPr>
          <w:p w14:paraId="13A0AF87">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项目实际完成时间与计划完成时间的比较，用以反映和考核项目产出时效目标的实现程度。</w:t>
            </w:r>
          </w:p>
        </w:tc>
        <w:tc>
          <w:tcPr>
            <w:tcW w:w="5915" w:type="dxa"/>
            <w:shd w:val="clear" w:color="000000" w:fill="FFFFFF"/>
            <w:vAlign w:val="center"/>
          </w:tcPr>
          <w:p w14:paraId="5812B269">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实际完成时间：项目实施单位完成该项目实际所耗用的时间。</w:t>
            </w:r>
          </w:p>
          <w:p w14:paraId="3ABF8D80">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计划完成时间：按照项目实施计划或相关规定完成该项目所需的时间。</w:t>
            </w:r>
          </w:p>
        </w:tc>
        <w:tc>
          <w:tcPr>
            <w:tcW w:w="1134" w:type="dxa"/>
            <w:shd w:val="clear" w:color="000000" w:fill="FFFFFF"/>
            <w:vAlign w:val="center"/>
          </w:tcPr>
          <w:p w14:paraId="7B82B1ED">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w:t>
            </w:r>
          </w:p>
        </w:tc>
        <w:tc>
          <w:tcPr>
            <w:tcW w:w="891" w:type="dxa"/>
            <w:shd w:val="clear" w:color="000000" w:fill="FFFFFF"/>
            <w:vAlign w:val="center"/>
          </w:tcPr>
          <w:p w14:paraId="590A94B8">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10</w:t>
            </w:r>
          </w:p>
        </w:tc>
      </w:tr>
      <w:tr w14:paraId="553359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59" w:hRule="atLeast"/>
          <w:jc w:val="center"/>
        </w:trPr>
        <w:tc>
          <w:tcPr>
            <w:tcW w:w="725" w:type="dxa"/>
            <w:vMerge w:val="continue"/>
            <w:shd w:val="clear" w:color="auto" w:fill="FFFFFF"/>
            <w:vAlign w:val="center"/>
          </w:tcPr>
          <w:p w14:paraId="26B332D9">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010" w:type="dxa"/>
            <w:shd w:val="clear" w:color="auto" w:fill="FFFFFF"/>
            <w:vAlign w:val="center"/>
          </w:tcPr>
          <w:p w14:paraId="3501C94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产出成本</w:t>
            </w:r>
          </w:p>
        </w:tc>
        <w:tc>
          <w:tcPr>
            <w:tcW w:w="1188" w:type="dxa"/>
            <w:shd w:val="clear" w:color="auto" w:fill="FFFFFF"/>
            <w:vAlign w:val="center"/>
          </w:tcPr>
          <w:p w14:paraId="22173E40">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成本节约率</w:t>
            </w:r>
          </w:p>
        </w:tc>
        <w:tc>
          <w:tcPr>
            <w:tcW w:w="2351" w:type="dxa"/>
            <w:shd w:val="clear" w:color="000000" w:fill="FFFFFF"/>
            <w:vAlign w:val="center"/>
          </w:tcPr>
          <w:p w14:paraId="1B744413">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完成项目计划工作目标的实际节约成本与计划成本的比率，用以反映和考核项目的成本节约程度。</w:t>
            </w:r>
          </w:p>
        </w:tc>
        <w:tc>
          <w:tcPr>
            <w:tcW w:w="5915" w:type="dxa"/>
            <w:shd w:val="clear" w:color="000000" w:fill="FFFFFF"/>
            <w:vAlign w:val="center"/>
          </w:tcPr>
          <w:p w14:paraId="5F1291C3">
            <w:pPr>
              <w:widowControl/>
              <w:spacing w:line="0" w:lineRule="atLeast"/>
              <w:rPr>
                <w:rFonts w:hint="default" w:ascii="Times New Roman" w:hAnsi="Times New Roman" w:eastAsia="宋体" w:cs="Times New Roman"/>
                <w:color w:val="auto"/>
                <w:kern w:val="0"/>
                <w:sz w:val="22"/>
                <w:szCs w:val="22"/>
                <w:highlight w:val="none"/>
                <w:lang w:eastAsia="zh-CN"/>
              </w:rPr>
            </w:pPr>
          </w:p>
          <w:p w14:paraId="6B40F584">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成本节约率=[（计划成本-实际成本）/计划成本]×100%。</w:t>
            </w:r>
          </w:p>
          <w:p w14:paraId="619CB188">
            <w:pPr>
              <w:widowControl/>
              <w:spacing w:line="0" w:lineRule="atLeast"/>
              <w:rPr>
                <w:rFonts w:hint="default" w:ascii="Times New Roman" w:hAnsi="Times New Roman" w:eastAsia="宋体" w:cs="Times New Roman"/>
                <w:color w:val="auto"/>
                <w:kern w:val="0"/>
                <w:sz w:val="22"/>
                <w:szCs w:val="22"/>
                <w:highlight w:val="none"/>
                <w:lang w:eastAsia="zh-CN"/>
              </w:rPr>
            </w:pPr>
            <w:r>
              <w:rPr>
                <w:rFonts w:hint="default" w:ascii="Times New Roman" w:hAnsi="Times New Roman" w:eastAsia="宋体" w:cs="Times New Roman"/>
                <w:color w:val="auto"/>
                <w:kern w:val="0"/>
                <w:sz w:val="22"/>
                <w:szCs w:val="22"/>
                <w:highlight w:val="none"/>
              </w:rPr>
              <w:t>实际成本：项目实施单位如期、保质、保量完成既定工作目标实际所耗费的支出。</w:t>
            </w:r>
          </w:p>
          <w:p w14:paraId="2160056C">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计划成本：项目实施单位为完成工作目标计划安排的支出，一般以项目预算为参考。</w:t>
            </w:r>
          </w:p>
        </w:tc>
        <w:tc>
          <w:tcPr>
            <w:tcW w:w="1134" w:type="dxa"/>
            <w:shd w:val="clear" w:color="000000" w:fill="FFFFFF"/>
            <w:vAlign w:val="center"/>
          </w:tcPr>
          <w:p w14:paraId="03381F45">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10</w:t>
            </w:r>
          </w:p>
        </w:tc>
        <w:tc>
          <w:tcPr>
            <w:tcW w:w="891" w:type="dxa"/>
            <w:shd w:val="clear" w:color="000000" w:fill="FFFFFF"/>
            <w:vAlign w:val="center"/>
          </w:tcPr>
          <w:p w14:paraId="0D1105BA">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10</w:t>
            </w:r>
          </w:p>
        </w:tc>
      </w:tr>
      <w:tr w14:paraId="599960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1" w:hRule="atLeast"/>
          <w:jc w:val="center"/>
        </w:trPr>
        <w:tc>
          <w:tcPr>
            <w:tcW w:w="725" w:type="dxa"/>
            <w:vMerge w:val="restart"/>
            <w:shd w:val="clear" w:color="auto" w:fill="FFFFFF"/>
            <w:vAlign w:val="center"/>
          </w:tcPr>
          <w:p w14:paraId="48336582">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效益　</w:t>
            </w:r>
          </w:p>
        </w:tc>
        <w:tc>
          <w:tcPr>
            <w:tcW w:w="1010" w:type="dxa"/>
            <w:vMerge w:val="restart"/>
            <w:shd w:val="clear" w:color="auto" w:fill="FFFFFF"/>
            <w:vAlign w:val="center"/>
          </w:tcPr>
          <w:p w14:paraId="040E6411">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项目效益　</w:t>
            </w:r>
          </w:p>
        </w:tc>
        <w:tc>
          <w:tcPr>
            <w:tcW w:w="1188" w:type="dxa"/>
            <w:shd w:val="clear" w:color="auto" w:fill="FFFFFF"/>
            <w:vAlign w:val="center"/>
          </w:tcPr>
          <w:p w14:paraId="5515B807">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实施效益</w:t>
            </w:r>
          </w:p>
        </w:tc>
        <w:tc>
          <w:tcPr>
            <w:tcW w:w="2351" w:type="dxa"/>
            <w:shd w:val="clear" w:color="auto" w:fill="FFFFFF"/>
            <w:vAlign w:val="center"/>
          </w:tcPr>
          <w:p w14:paraId="79EB47BE">
            <w:pPr>
              <w:widowControl/>
              <w:spacing w:line="0" w:lineRule="atLeast"/>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项目实施所产生的效益。</w:t>
            </w:r>
          </w:p>
        </w:tc>
        <w:tc>
          <w:tcPr>
            <w:tcW w:w="5915" w:type="dxa"/>
            <w:shd w:val="clear" w:color="auto" w:fill="FFFFFF"/>
            <w:vAlign w:val="center"/>
          </w:tcPr>
          <w:p w14:paraId="2304C062">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项目实施所产生的社会效益、经济效益、生态效益、可持续影响等。可根据项目实际情况有选择地设置和细化。</w:t>
            </w:r>
          </w:p>
        </w:tc>
        <w:tc>
          <w:tcPr>
            <w:tcW w:w="1134" w:type="dxa"/>
            <w:shd w:val="clear" w:color="auto" w:fill="FFFFFF"/>
            <w:vAlign w:val="center"/>
          </w:tcPr>
          <w:p w14:paraId="5DD28D6A">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15</w:t>
            </w:r>
          </w:p>
        </w:tc>
        <w:tc>
          <w:tcPr>
            <w:tcW w:w="891" w:type="dxa"/>
            <w:shd w:val="clear" w:color="auto" w:fill="FFFFFF"/>
            <w:vAlign w:val="center"/>
          </w:tcPr>
          <w:p w14:paraId="269D5EAE">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15</w:t>
            </w:r>
          </w:p>
        </w:tc>
      </w:tr>
      <w:tr w14:paraId="030984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8" w:hRule="atLeast"/>
          <w:jc w:val="center"/>
        </w:trPr>
        <w:tc>
          <w:tcPr>
            <w:tcW w:w="725" w:type="dxa"/>
            <w:vMerge w:val="continue"/>
            <w:shd w:val="clear" w:color="auto" w:fill="FFFFFF"/>
            <w:vAlign w:val="center"/>
          </w:tcPr>
          <w:p w14:paraId="217E4BDC">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010" w:type="dxa"/>
            <w:vMerge w:val="continue"/>
            <w:shd w:val="clear" w:color="auto" w:fill="FFFFFF"/>
            <w:vAlign w:val="center"/>
          </w:tcPr>
          <w:p w14:paraId="1B6C6106">
            <w:pPr>
              <w:widowControl/>
              <w:spacing w:line="0" w:lineRule="atLeast"/>
              <w:jc w:val="center"/>
              <w:rPr>
                <w:rFonts w:hint="default" w:ascii="Times New Roman" w:hAnsi="Times New Roman" w:eastAsia="宋体" w:cs="Times New Roman"/>
                <w:color w:val="auto"/>
                <w:kern w:val="0"/>
                <w:sz w:val="22"/>
                <w:szCs w:val="22"/>
                <w:highlight w:val="none"/>
              </w:rPr>
            </w:pPr>
          </w:p>
        </w:tc>
        <w:tc>
          <w:tcPr>
            <w:tcW w:w="1188" w:type="dxa"/>
            <w:shd w:val="clear" w:color="auto" w:fill="FFFFFF"/>
            <w:vAlign w:val="center"/>
          </w:tcPr>
          <w:p w14:paraId="3133868A">
            <w:pPr>
              <w:widowControl/>
              <w:spacing w:line="0" w:lineRule="atLeast"/>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满意度</w:t>
            </w:r>
          </w:p>
        </w:tc>
        <w:tc>
          <w:tcPr>
            <w:tcW w:w="2351" w:type="dxa"/>
            <w:shd w:val="clear" w:color="000000" w:fill="FFFFFF"/>
            <w:vAlign w:val="center"/>
          </w:tcPr>
          <w:p w14:paraId="24108071">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社会公众或服务对象对项目实施效果的满意程度。</w:t>
            </w:r>
          </w:p>
        </w:tc>
        <w:tc>
          <w:tcPr>
            <w:tcW w:w="5915" w:type="dxa"/>
            <w:shd w:val="clear" w:color="000000" w:fill="FFFFFF"/>
            <w:vAlign w:val="center"/>
          </w:tcPr>
          <w:p w14:paraId="343B4653">
            <w:pPr>
              <w:widowControl/>
              <w:spacing w:line="0" w:lineRule="atLeas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社会公众或服务对象是指因该项目实施而受到影响的部门（单位）、群体或个人。一般采取社会调查的方式。</w:t>
            </w:r>
          </w:p>
        </w:tc>
        <w:tc>
          <w:tcPr>
            <w:tcW w:w="1134" w:type="dxa"/>
            <w:shd w:val="clear" w:color="000000" w:fill="FFFFFF"/>
            <w:vAlign w:val="center"/>
          </w:tcPr>
          <w:p w14:paraId="17D57066">
            <w:pPr>
              <w:widowControl/>
              <w:spacing w:line="0" w:lineRule="atLeast"/>
              <w:jc w:val="center"/>
              <w:rPr>
                <w:rFonts w:hint="eastAsia" w:ascii="Times New Roman" w:hAnsi="Times New Roman" w:eastAsia="宋体" w:cs="Times New Roman"/>
                <w:color w:val="auto"/>
                <w:kern w:val="0"/>
                <w:sz w:val="22"/>
                <w:szCs w:val="22"/>
                <w:highlight w:val="none"/>
                <w:lang w:eastAsia="zh-CN"/>
              </w:rPr>
            </w:pPr>
            <w:r>
              <w:rPr>
                <w:rFonts w:hint="eastAsia" w:eastAsia="宋体" w:cs="Times New Roman"/>
                <w:color w:val="auto"/>
                <w:kern w:val="0"/>
                <w:sz w:val="22"/>
                <w:szCs w:val="22"/>
                <w:highlight w:val="none"/>
                <w:lang w:val="en-US" w:eastAsia="zh-CN"/>
              </w:rPr>
              <w:t>5</w:t>
            </w:r>
          </w:p>
        </w:tc>
        <w:tc>
          <w:tcPr>
            <w:tcW w:w="891" w:type="dxa"/>
            <w:shd w:val="clear" w:color="000000" w:fill="FFFFFF"/>
            <w:vAlign w:val="center"/>
          </w:tcPr>
          <w:p w14:paraId="28161FFC">
            <w:pPr>
              <w:widowControl/>
              <w:spacing w:line="0" w:lineRule="atLeast"/>
              <w:jc w:val="center"/>
              <w:rPr>
                <w:rFonts w:hint="default" w:ascii="Times New Roman" w:hAnsi="Times New Roman" w:eastAsia="宋体" w:cs="Times New Roman"/>
                <w:color w:val="auto"/>
                <w:kern w:val="0"/>
                <w:sz w:val="22"/>
                <w:szCs w:val="22"/>
                <w:highlight w:val="none"/>
                <w:lang w:val="en-US" w:eastAsia="zh-CN"/>
              </w:rPr>
            </w:pPr>
            <w:r>
              <w:rPr>
                <w:rFonts w:hint="eastAsia" w:eastAsia="宋体" w:cs="Times New Roman"/>
                <w:color w:val="auto"/>
                <w:kern w:val="0"/>
                <w:sz w:val="22"/>
                <w:szCs w:val="22"/>
                <w:highlight w:val="none"/>
                <w:lang w:val="en-US" w:eastAsia="zh-CN"/>
              </w:rPr>
              <w:t>5</w:t>
            </w:r>
          </w:p>
        </w:tc>
      </w:tr>
    </w:tbl>
    <w:p w14:paraId="274A666B">
      <w:pPr>
        <w:spacing w:line="360" w:lineRule="auto"/>
        <w:rPr>
          <w:rFonts w:hint="default" w:ascii="Times New Roman" w:hAnsi="Times New Roman" w:cs="Times New Roman"/>
          <w:color w:val="auto"/>
          <w:highlight w:val="none"/>
        </w:rPr>
      </w:pPr>
    </w:p>
    <w:p w14:paraId="0F39F5C6">
      <w:bookmarkStart w:id="7" w:name="_GoBack"/>
      <w:bookmarkEnd w:id="7"/>
    </w:p>
    <w:sectPr>
      <w:pgSz w:w="16838" w:h="11906" w:orient="landscape"/>
      <w:pgMar w:top="1531" w:right="1928" w:bottom="1531" w:left="170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38F0C646"/>
    <w:multiLevelType w:val="singleLevel"/>
    <w:tmpl w:val="38F0C646"/>
    <w:lvl w:ilvl="0" w:tentative="0">
      <w:start w:val="1"/>
      <w:numFmt w:val="decimal"/>
      <w:suff w:val="nothing"/>
      <w:lvlText w:val="%1、"/>
      <w:lvlJc w:val="left"/>
    </w:lvl>
  </w:abstractNum>
  <w:abstractNum w:abstractNumId="5">
    <w:nsid w:val="3952A770"/>
    <w:multiLevelType w:val="singleLevel"/>
    <w:tmpl w:val="3952A770"/>
    <w:lvl w:ilvl="0" w:tentative="0">
      <w:start w:val="1"/>
      <w:numFmt w:val="decimal"/>
      <w:suff w:val="nothing"/>
      <w:lvlText w:val="%1、"/>
      <w:lvlJc w:val="left"/>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4MzUzNGJiODkyZDFhMmQ5MjgxYmUwYzA3OTkzYzMifQ=="/>
  </w:docVars>
  <w:rsids>
    <w:rsidRoot w:val="00000000"/>
    <w:rsid w:val="1A7B4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Body Text"/>
    <w:basedOn w:val="1"/>
    <w:semiHidden/>
    <w:unhideWhenUsed/>
    <w:qFormat/>
    <w:uiPriority w:val="99"/>
    <w:pPr>
      <w:spacing w:after="120"/>
    </w:pPr>
  </w:style>
  <w:style w:type="paragraph" w:styleId="6">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7">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8">
    <w:name w:val="Body Text First Indent"/>
    <w:basedOn w:val="5"/>
    <w:qFormat/>
    <w:uiPriority w:val="0"/>
    <w:pPr>
      <w:spacing w:after="0"/>
      <w:ind w:firstLine="200" w:firstLineChars="200"/>
    </w:pPr>
    <w:rPr>
      <w:rFonts w:eastAsia="宋体"/>
      <w:sz w:val="21"/>
    </w:rPr>
  </w:style>
  <w:style w:type="character" w:styleId="11">
    <w:name w:val="Strong"/>
    <w:basedOn w:val="10"/>
    <w:qFormat/>
    <w:uiPriority w:val="0"/>
    <w:rPr>
      <w:b/>
      <w:bCs/>
    </w:rPr>
  </w:style>
  <w:style w:type="character" w:styleId="12">
    <w:name w:val="Hyperlink"/>
    <w:basedOn w:val="10"/>
    <w:unhideWhenUsed/>
    <w:qFormat/>
    <w:uiPriority w:val="99"/>
    <w:rPr>
      <w:color w:val="0026E5" w:themeColor="hyperlink"/>
      <w:u w:val="single"/>
      <w14:textFill>
        <w14:solidFill>
          <w14:schemeClr w14:val="hlink"/>
        </w14:solidFill>
      </w14:textFill>
    </w:rPr>
  </w:style>
  <w:style w:type="paragraph" w:customStyle="1" w:styleId="13">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54A1" w:themeColor="accent1" w:themeShade="BF"/>
      <w:kern w:val="0"/>
      <w:sz w:val="32"/>
      <w:szCs w:val="32"/>
    </w:rPr>
  </w:style>
  <w:style w:type="paragraph" w:customStyle="1" w:styleId="14">
    <w:name w:val="闻政-正文段落文字"/>
    <w:basedOn w:val="1"/>
    <w:qFormat/>
    <w:uiPriority w:val="3"/>
    <w:pPr>
      <w:spacing w:line="500" w:lineRule="exact"/>
      <w:ind w:firstLine="200"/>
    </w:pPr>
    <w:rPr>
      <w:kern w:val="0"/>
      <w:szCs w:val="28"/>
    </w:rPr>
  </w:style>
  <w:style w:type="character" w:customStyle="1" w:styleId="15">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2024-08-12T10:22:08Z</dcterms:created>
  <dc:creator>Administrator</dc:creator>
  <cp:lastModifiedBy>桔子</cp:lastModifiedBy>
  <dcterms:modified xsi:type="dcterms:W3CDTF">2024-08-12T10:22:48Z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2770F63D1ECB46418DA184FD27CB3877_12</vt:lpwstr>
  </property>
</Properties>
</file>