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中央农业资源及生态保护补助</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中央农业资源及生态保护补助资金</w:t>
      </w:r>
    </w:p>
    <w:p>
      <w:pPr>
        <w:spacing w:line="700" w:lineRule="exact"/>
        <w:ind w:left="4676" w:leftChars="684" w:hanging="3240" w:hangingChars="9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自治区产品质量监督检验研究院</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自治区市场监督管理局</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李茂华</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2022</w:t>
      </w:r>
      <w:r>
        <w:rPr>
          <w:rFonts w:eastAsia="仿宋_GB2312"/>
          <w:kern w:val="0"/>
          <w:sz w:val="36"/>
          <w:szCs w:val="36"/>
        </w:rPr>
        <w:t>年</w:t>
      </w:r>
      <w:r>
        <w:rPr>
          <w:rFonts w:hint="eastAsia" w:eastAsia="仿宋_GB2312"/>
          <w:kern w:val="0"/>
          <w:sz w:val="36"/>
          <w:szCs w:val="36"/>
          <w:lang w:val="en-US" w:eastAsia="zh-CN"/>
        </w:rPr>
        <w:t>12</w:t>
      </w:r>
      <w:r>
        <w:rPr>
          <w:rFonts w:eastAsia="仿宋_GB2312"/>
          <w:kern w:val="0"/>
          <w:sz w:val="36"/>
          <w:szCs w:val="36"/>
        </w:rPr>
        <w:t>月</w:t>
      </w:r>
      <w:r>
        <w:rPr>
          <w:rFonts w:hint="eastAsia" w:eastAsia="仿宋_GB2312"/>
          <w:kern w:val="0"/>
          <w:sz w:val="36"/>
          <w:szCs w:val="36"/>
          <w:lang w:val="en-US" w:eastAsia="zh-CN"/>
        </w:rPr>
        <w:t>30</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540" w:lineRule="exact"/>
        <w:ind w:firstLine="640" w:firstLineChars="200"/>
        <w:rPr>
          <w:rStyle w:val="23"/>
          <w:rFonts w:ascii="仿宋_GB2312" w:eastAsia="仿宋_GB2312"/>
          <w:bCs w:val="0"/>
          <w:spacing w:val="-4"/>
          <w:sz w:val="32"/>
          <w:szCs w:val="32"/>
        </w:rPr>
      </w:pPr>
      <w:r>
        <w:rPr>
          <w:rFonts w:hint="eastAsia" w:ascii="仿宋_GB2312" w:hAnsi="宋体" w:eastAsia="仿宋_GB2312" w:cs="宋体"/>
          <w:color w:val="000000"/>
          <w:sz w:val="32"/>
          <w:szCs w:val="32"/>
        </w:rPr>
        <w:t>依据《国务院关于开展第三次全国土壤普查的通知》国发〔2022〕4号;《第三次全国土壤普查工作方案》农建发〔2022〕1号;《国务院第三次全国土壤普查领导小组办公室关于开展普查实验室筛选工作的通知》农建发〔2022〕3号；新疆维吾尔自治区农业农村厅《关于筛选自治区第三资土壤普查实验室的公告》中要求；新疆质检院经</w:t>
      </w:r>
      <w:r>
        <w:rPr>
          <w:rFonts w:hint="eastAsia" w:ascii="仿宋_GB2312" w:eastAsia="仿宋_GB2312"/>
          <w:color w:val="000000"/>
          <w:sz w:val="32"/>
          <w:szCs w:val="32"/>
        </w:rPr>
        <w:t>实验室筛选</w:t>
      </w:r>
      <w:r>
        <w:rPr>
          <w:rFonts w:hint="eastAsia" w:ascii="仿宋_GB2312" w:hAnsi="宋体" w:eastAsia="仿宋_GB2312" w:cs="宋体"/>
          <w:color w:val="000000"/>
          <w:sz w:val="32"/>
          <w:szCs w:val="32"/>
        </w:rPr>
        <w:t>被确定为第三次全国土壤普查</w:t>
      </w:r>
      <w:r>
        <w:rPr>
          <w:rFonts w:hint="eastAsia" w:ascii="仿宋_GB2312" w:eastAsia="仿宋_GB2312"/>
          <w:color w:val="000000"/>
          <w:sz w:val="32"/>
          <w:szCs w:val="32"/>
        </w:rPr>
        <w:t>省级质量控制实验室，主要承担本省（自治区、直辖市）质量保证与质量控制工作，今年主要完成盐碱地和试点县土壤样品检测的质量控制工作。</w:t>
      </w:r>
    </w:p>
    <w:p>
      <w:pPr>
        <w:pStyle w:val="2"/>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r>
        <w:rPr>
          <w:rFonts w:hint="eastAsia" w:ascii="Times New Roman" w:hAnsi="Times New Roman" w:eastAsia="仿宋_GB2312"/>
          <w:kern w:val="2"/>
        </w:rPr>
        <w:t>及实施情况</w:t>
      </w:r>
      <w:r>
        <w:rPr>
          <w:rFonts w:ascii="Times New Roman" w:hAnsi="Times New Roman" w:eastAsia="仿宋_GB2312"/>
          <w:kern w:val="2"/>
        </w:rPr>
        <w:t>：</w:t>
      </w:r>
    </w:p>
    <w:p>
      <w:pPr>
        <w:pStyle w:val="18"/>
        <w:spacing w:before="0" w:beforeAutospacing="0" w:after="0" w:afterAutospacing="0"/>
        <w:ind w:firstLine="640" w:firstLineChars="200"/>
        <w:rPr>
          <w:rFonts w:eastAsia="仿宋_GB2312"/>
          <w:sz w:val="32"/>
          <w:szCs w:val="32"/>
        </w:rPr>
      </w:pPr>
      <w:r>
        <w:rPr>
          <w:rFonts w:eastAsia="仿宋_GB2312"/>
          <w:sz w:val="32"/>
          <w:szCs w:val="32"/>
        </w:rPr>
        <w:t>项目</w:t>
      </w:r>
      <w:r>
        <w:rPr>
          <w:rFonts w:hint="eastAsia" w:eastAsia="仿宋_GB2312"/>
          <w:sz w:val="32"/>
          <w:szCs w:val="32"/>
        </w:rPr>
        <w:t>主要内容</w:t>
      </w:r>
      <w:r>
        <w:rPr>
          <w:rFonts w:eastAsia="仿宋_GB2312"/>
          <w:sz w:val="32"/>
          <w:szCs w:val="32"/>
        </w:rPr>
        <w:t>：</w:t>
      </w:r>
    </w:p>
    <w:p>
      <w:pPr>
        <w:pStyle w:val="18"/>
        <w:spacing w:before="0" w:beforeAutospacing="0" w:after="0" w:afterAutospacing="0"/>
        <w:ind w:firstLine="640" w:firstLineChars="200"/>
        <w:rPr>
          <w:rFonts w:ascii="仿宋_GB2312" w:eastAsia="仿宋_GB2312" w:hAnsiTheme="minorEastAsia"/>
          <w:color w:val="000000"/>
          <w:sz w:val="32"/>
          <w:szCs w:val="32"/>
        </w:rPr>
      </w:pPr>
      <w:r>
        <w:rPr>
          <w:rFonts w:hint="eastAsia" w:ascii="仿宋_GB2312" w:eastAsia="仿宋_GB2312" w:hAnsiTheme="minorEastAsia"/>
          <w:color w:val="000000"/>
          <w:sz w:val="32"/>
          <w:szCs w:val="32"/>
        </w:rPr>
        <w:t>参与制定自治区质量保证与质量控制工作方案，对承担自治区普查任务检测实验室开展质量监督检查和留样抽检工作，协助开展能力验证和飞行检查工作，并编制检测能力和检测质量评估报告。</w:t>
      </w:r>
      <w:r>
        <w:rPr>
          <w:rFonts w:hint="eastAsia" w:eastAsia="仿宋_GB2312" w:asciiTheme="minorEastAsia" w:hAnsiTheme="minorEastAsia"/>
          <w:color w:val="000000"/>
          <w:sz w:val="32"/>
          <w:szCs w:val="32"/>
        </w:rPr>
        <w:t> </w:t>
      </w:r>
    </w:p>
    <w:p>
      <w:pPr>
        <w:pStyle w:val="18"/>
        <w:spacing w:before="0" w:beforeAutospacing="0" w:after="0" w:afterAutospacing="0"/>
        <w:ind w:firstLine="640" w:firstLineChars="200"/>
        <w:rPr>
          <w:rFonts w:ascii="仿宋_GB2312" w:eastAsia="仿宋_GB2312" w:hAnsiTheme="minorEastAsia"/>
          <w:color w:val="000000"/>
          <w:sz w:val="32"/>
          <w:szCs w:val="32"/>
        </w:rPr>
      </w:pPr>
      <w:r>
        <w:rPr>
          <w:rFonts w:hint="eastAsia" w:ascii="仿宋_GB2312" w:eastAsia="仿宋_GB2312" w:hAnsiTheme="minorEastAsia"/>
          <w:color w:val="000000"/>
          <w:sz w:val="32"/>
          <w:szCs w:val="32"/>
        </w:rPr>
        <w:t>协助国家级质量控制实验室做好能力验证、留样抽检和飞行检查工作。</w:t>
      </w:r>
      <w:r>
        <w:rPr>
          <w:rFonts w:hint="eastAsia" w:eastAsia="仿宋_GB2312" w:asciiTheme="minorEastAsia" w:hAnsiTheme="minorEastAsia"/>
          <w:color w:val="000000"/>
          <w:sz w:val="32"/>
          <w:szCs w:val="32"/>
        </w:rPr>
        <w:t> </w:t>
      </w:r>
    </w:p>
    <w:p>
      <w:pPr>
        <w:pStyle w:val="18"/>
        <w:spacing w:before="0" w:beforeAutospacing="0" w:after="0" w:afterAutospacing="0"/>
        <w:ind w:firstLine="640" w:firstLineChars="200"/>
        <w:rPr>
          <w:rFonts w:ascii="仿宋_GB2312" w:eastAsia="仿宋_GB2312" w:hAnsiTheme="minorEastAsia"/>
          <w:color w:val="000000"/>
          <w:sz w:val="32"/>
          <w:szCs w:val="32"/>
        </w:rPr>
      </w:pPr>
      <w:r>
        <w:rPr>
          <w:rFonts w:hint="eastAsia" w:ascii="仿宋_GB2312" w:eastAsia="仿宋_GB2312" w:hAnsiTheme="minorEastAsia"/>
          <w:color w:val="000000"/>
          <w:sz w:val="32"/>
          <w:szCs w:val="32"/>
        </w:rPr>
        <w:t>参与组织开展自治区质量控制数据审核，编制省级质量保证与质量控制报告等。</w:t>
      </w:r>
      <w:r>
        <w:rPr>
          <w:rFonts w:hint="eastAsia" w:eastAsia="仿宋_GB2312" w:asciiTheme="minorEastAsia" w:hAnsiTheme="minorEastAsia"/>
          <w:color w:val="000000"/>
          <w:sz w:val="32"/>
          <w:szCs w:val="32"/>
        </w:rPr>
        <w:t> </w:t>
      </w:r>
    </w:p>
    <w:p>
      <w:pPr>
        <w:spacing w:line="540" w:lineRule="exact"/>
        <w:ind w:firstLine="640" w:firstLineChars="200"/>
        <w:rPr>
          <w:highlight w:val="yellow"/>
        </w:rPr>
      </w:pPr>
      <w:r>
        <w:rPr>
          <w:rFonts w:hint="eastAsia" w:ascii="仿宋_GB2312" w:eastAsia="仿宋_GB2312" w:hAnsiTheme="minorEastAsia"/>
          <w:color w:val="000000"/>
          <w:sz w:val="32"/>
          <w:szCs w:val="32"/>
        </w:rPr>
        <w:t>自觉接受国务院第三次全国土壤普查领导小组办公室和省级第三次土壤普查领导小组办公室监督管理，接受国家级质量控制实验室的技术指导。</w:t>
      </w:r>
    </w:p>
    <w:p>
      <w:pPr>
        <w:spacing w:line="600" w:lineRule="exact"/>
        <w:ind w:firstLine="640" w:firstLineChars="200"/>
        <w:rPr>
          <w:rFonts w:eastAsia="仿宋_GB2312"/>
          <w:sz w:val="32"/>
          <w:szCs w:val="32"/>
        </w:rPr>
      </w:pPr>
      <w:r>
        <w:rPr>
          <w:rFonts w:eastAsia="仿宋_GB2312"/>
          <w:sz w:val="32"/>
          <w:szCs w:val="32"/>
        </w:rPr>
        <w:t>项目实施情况：</w:t>
      </w:r>
    </w:p>
    <w:p>
      <w:pPr>
        <w:spacing w:line="600" w:lineRule="exact"/>
        <w:ind w:firstLine="640" w:firstLineChars="200"/>
      </w:pP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352</w:t>
      </w:r>
      <w:r>
        <w:rPr>
          <w:rFonts w:eastAsia="仿宋_GB2312"/>
          <w:sz w:val="32"/>
          <w:szCs w:val="32"/>
        </w:rPr>
        <w:t>万元，其中：财政本级资金</w:t>
      </w:r>
      <w:r>
        <w:rPr>
          <w:rFonts w:hint="eastAsia" w:eastAsia="仿宋_GB2312"/>
          <w:sz w:val="32"/>
          <w:szCs w:val="32"/>
        </w:rPr>
        <w:t>352</w:t>
      </w:r>
      <w:r>
        <w:rPr>
          <w:rFonts w:eastAsia="仿宋_GB2312"/>
          <w:sz w:val="32"/>
          <w:szCs w:val="32"/>
        </w:rPr>
        <w:t>万元。项目实际支出</w:t>
      </w:r>
      <w:r>
        <w:rPr>
          <w:rFonts w:hint="eastAsia" w:eastAsia="仿宋_GB2312"/>
          <w:sz w:val="32"/>
          <w:szCs w:val="32"/>
        </w:rPr>
        <w:t>352</w:t>
      </w:r>
      <w:r>
        <w:rPr>
          <w:rFonts w:eastAsia="仿宋_GB2312"/>
          <w:sz w:val="32"/>
          <w:szCs w:val="32"/>
        </w:rPr>
        <w:t>万元，支出率为100%。</w:t>
      </w:r>
    </w:p>
    <w:p>
      <w:pPr>
        <w:spacing w:line="60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eastAsia="仿宋_GB2312"/>
          <w:sz w:val="20"/>
          <w:szCs w:val="20"/>
        </w:rPr>
      </w:pPr>
      <w:r>
        <w:rPr>
          <w:rFonts w:eastAsia="仿宋_GB2312"/>
          <w:sz w:val="32"/>
          <w:szCs w:val="32"/>
        </w:rPr>
        <w:t>（1）资金</w:t>
      </w:r>
      <w:r>
        <w:rPr>
          <w:rFonts w:hint="eastAsia" w:eastAsia="仿宋_GB2312"/>
          <w:sz w:val="32"/>
          <w:szCs w:val="32"/>
        </w:rPr>
        <w:t>投入情况</w:t>
      </w:r>
    </w:p>
    <w:p>
      <w:pPr>
        <w:spacing w:line="600" w:lineRule="exact"/>
        <w:ind w:firstLine="640" w:firstLineChars="200"/>
        <w:rPr>
          <w:rFonts w:eastAsia="仿宋_GB2312"/>
          <w:sz w:val="32"/>
          <w:szCs w:val="32"/>
        </w:rPr>
      </w:pPr>
      <w:r>
        <w:rPr>
          <w:rFonts w:hint="eastAsia" w:eastAsia="仿宋_GB2312"/>
          <w:sz w:val="32"/>
          <w:szCs w:val="32"/>
        </w:rPr>
        <w:t>该项目年初预算数352万元，全年预算数352万元，实际总投入352万元，该项目资金已全部落实到位（或该项目资金落实到位352万元），资金来源为中央财政。</w:t>
      </w:r>
    </w:p>
    <w:p>
      <w:pPr>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352</w:t>
      </w:r>
      <w:r>
        <w:rPr>
          <w:rFonts w:eastAsia="仿宋_GB2312"/>
          <w:sz w:val="32"/>
          <w:szCs w:val="32"/>
        </w:rPr>
        <w:t>万元，</w:t>
      </w:r>
    </w:p>
    <w:p>
      <w:pPr>
        <w:spacing w:line="600" w:lineRule="exact"/>
        <w:ind w:firstLine="640" w:firstLineChars="200"/>
        <w:rPr>
          <w:rFonts w:eastAsia="仿宋_GB2312"/>
          <w:sz w:val="32"/>
          <w:szCs w:val="32"/>
        </w:rPr>
      </w:pPr>
      <w:r>
        <w:rPr>
          <w:rFonts w:eastAsia="仿宋_GB2312"/>
          <w:sz w:val="32"/>
          <w:szCs w:val="32"/>
        </w:rPr>
        <w:t>（2）资金使用情况</w:t>
      </w:r>
      <w:bookmarkStart w:id="0" w:name="page10"/>
      <w:bookmarkEnd w:id="0"/>
    </w:p>
    <w:p>
      <w:pPr>
        <w:pStyle w:val="2"/>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该项目年初预算数352万元，全年预算数352万元,，全年执行数352万元，预算执行率为100%，主要</w:t>
      </w:r>
      <w:r>
        <w:rPr>
          <w:rFonts w:ascii="Times New Roman" w:hAnsi="Times New Roman" w:eastAsia="仿宋_GB2312"/>
          <w:b w:val="0"/>
          <w:bCs w:val="0"/>
          <w:kern w:val="2"/>
        </w:rPr>
        <w:t>用于</w:t>
      </w:r>
      <w:r>
        <w:rPr>
          <w:rFonts w:hint="eastAsia" w:ascii="Times New Roman" w:hAnsi="Times New Roman" w:eastAsia="仿宋_GB2312"/>
          <w:b w:val="0"/>
          <w:bCs w:val="0"/>
          <w:kern w:val="2"/>
        </w:rPr>
        <w:t>：专用材料费采购200万元（通过公开招标完成），仪器设备购置80万元（通过公开招标完成），维修维护费57万元，劳务费15万元。</w:t>
      </w:r>
      <w:r>
        <w:rPr>
          <w:rFonts w:ascii="Times New Roman" w:hAnsi="Times New Roman" w:eastAsia="仿宋_GB2312"/>
          <w:b w:val="0"/>
          <w:bCs w:val="0"/>
          <w:kern w:val="2"/>
        </w:rPr>
        <w:t xml:space="preserve"> </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540" w:lineRule="exact"/>
        <w:ind w:firstLine="640" w:firstLineChars="200"/>
        <w:rPr>
          <w:rFonts w:ascii="仿宋_GB2312" w:hAnsi="Arial Unicode MS" w:eastAsia="仿宋_GB2312" w:cs="Arial Unicode MS"/>
          <w:sz w:val="32"/>
          <w:szCs w:val="32"/>
        </w:rPr>
      </w:pPr>
      <w:r>
        <w:rPr>
          <w:rFonts w:hint="eastAsia" w:ascii="仿宋_GB2312" w:hAnsi="Arial Unicode MS" w:eastAsia="仿宋_GB2312" w:cs="Arial Unicode MS"/>
          <w:color w:val="000000"/>
          <w:sz w:val="32"/>
          <w:szCs w:val="32"/>
        </w:rPr>
        <w:t>在自治区农业农村厅的领导下严格按照《第三次全国土壤普查全程质量控制技术规范（试行）》要求及《第三次全国土壤普查 2022 年试点县全程质量控制抽查工作手册》安排，做好土壤普查各个环节质量控制工作。确保三普数据客观、准确。</w:t>
      </w:r>
    </w:p>
    <w:p>
      <w:pPr>
        <w:spacing w:line="600" w:lineRule="exact"/>
        <w:ind w:firstLine="640" w:firstLineChars="200"/>
        <w:rPr>
          <w:rFonts w:eastAsia="楷体"/>
          <w:b/>
          <w:spacing w:val="-4"/>
          <w:sz w:val="32"/>
          <w:szCs w:val="32"/>
        </w:rPr>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eastAsia="仿宋_GB2312"/>
          <w:sz w:val="32"/>
          <w:szCs w:val="32"/>
        </w:rPr>
        <w:t>监督检查样品贮存场所、样品制备、保存、流转等是否满足《土壤样品制备与检测技术规范（试行）》相关要求。检测实验室是否严格按照《土壤样品制备与检测技术规范（试行）》开展样品检测工作，</w:t>
      </w:r>
      <w:r>
        <w:rPr>
          <w:rFonts w:hint="eastAsia" w:ascii="仿宋_GB2312" w:hAnsi="仿宋_GB2312" w:eastAsia="仿宋_GB2312" w:cs="仿宋_GB2312"/>
          <w:sz w:val="32"/>
          <w:szCs w:val="32"/>
        </w:rPr>
        <w:t>对</w:t>
      </w:r>
      <w:r>
        <w:rPr>
          <w:rFonts w:hint="eastAsia" w:ascii="仿宋_GB2312" w:eastAsia="仿宋_GB2312"/>
          <w:sz w:val="32"/>
          <w:szCs w:val="32"/>
        </w:rPr>
        <w:t>密码平行样品检测结果、质控样品检测结果、留样抽检结果进行质量评价。</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中央农业资源及生态保护补助资金项目进行评价，评价核心为专项资金的支出完成情况和效果。</w:t>
      </w:r>
    </w:p>
    <w:p>
      <w:pPr>
        <w:spacing w:line="60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 xml:space="preserve">本次评价指标中，既有定性指标又有定量指标，各类指标因考核内容不同和客观标准不同存在较大差异，因此核定具体指标时采用了不同方法，具体评价方法如下： </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3"/>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60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rPr>
        <w:t>对</w:t>
      </w:r>
      <w:r>
        <w:rPr>
          <w:rFonts w:hint="eastAsia" w:ascii="Times New Roman" w:hAnsi="Times New Roman" w:eastAsia="仿宋_GB2312"/>
          <w:b w:val="0"/>
          <w:bCs w:val="0"/>
        </w:rPr>
        <w:t>中央农业资源及生态保护补助资金</w:t>
      </w:r>
      <w:r>
        <w:rPr>
          <w:rFonts w:ascii="Times New Roman" w:hAnsi="Times New Roman" w:eastAsia="仿宋_GB2312"/>
          <w:b w:val="0"/>
          <w:bCs w:val="0"/>
        </w:rPr>
        <w:t xml:space="preserve">项目进行客观评价，最终评分结果：总得分为 </w:t>
      </w:r>
      <w:r>
        <w:rPr>
          <w:rFonts w:hint="eastAsia" w:ascii="Times New Roman" w:hAnsi="Times New Roman" w:eastAsia="仿宋_GB2312"/>
          <w:b w:val="0"/>
          <w:bCs w:val="0"/>
        </w:rPr>
        <w:t>98</w:t>
      </w:r>
      <w:r>
        <w:rPr>
          <w:rFonts w:ascii="Times New Roman" w:hAnsi="Times New Roman" w:eastAsia="仿宋_GB2312"/>
          <w:b w:val="0"/>
          <w:bCs w:val="0"/>
        </w:rPr>
        <w:t>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 xml:space="preserve">分，得分为 </w:t>
      </w:r>
      <w:r>
        <w:rPr>
          <w:rFonts w:hint="eastAsia" w:ascii="Times New Roman" w:hAnsi="Times New Roman" w:eastAsia="仿宋_GB2312"/>
          <w:b w:val="0"/>
          <w:bCs w:val="0"/>
        </w:rPr>
        <w:t>19</w:t>
      </w:r>
      <w:r>
        <w:rPr>
          <w:rFonts w:ascii="Times New Roman" w:hAnsi="Times New Roman" w:eastAsia="仿宋_GB2312"/>
          <w:b w:val="0"/>
          <w:bCs w:val="0"/>
        </w:rPr>
        <w:t xml:space="preserve">分，得分率为 </w:t>
      </w:r>
      <w:r>
        <w:rPr>
          <w:rFonts w:hint="eastAsia" w:ascii="Times New Roman" w:hAnsi="Times New Roman" w:eastAsia="仿宋_GB2312"/>
          <w:b w:val="0"/>
          <w:bCs w:val="0"/>
        </w:rPr>
        <w:t>95</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hint="eastAsia" w:ascii="Times New Roman" w:hAnsi="Times New Roman" w:eastAsia="仿宋_GB2312"/>
          <w:b w:val="0"/>
          <w:bCs w:val="0"/>
        </w:rPr>
        <w:t>39</w:t>
      </w:r>
      <w:r>
        <w:rPr>
          <w:rFonts w:ascii="Times New Roman" w:hAnsi="Times New Roman" w:eastAsia="仿宋_GB2312"/>
          <w:b w:val="0"/>
          <w:bCs w:val="0"/>
        </w:rPr>
        <w:t xml:space="preserve">分，得分率为 </w:t>
      </w:r>
      <w:r>
        <w:rPr>
          <w:rFonts w:hint="eastAsia" w:ascii="Times New Roman" w:hAnsi="Times New Roman" w:eastAsia="仿宋_GB2312"/>
          <w:b w:val="0"/>
          <w:bCs w:val="0"/>
        </w:rPr>
        <w:t>97.5</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pPr>
        <w:pStyle w:val="2"/>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67%</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shd w:val="clear" w:color="auto" w:fill="FFFFFF"/>
            <w:vAlign w:val="center"/>
          </w:tcPr>
          <w:p>
            <w:pPr>
              <w:widowControl/>
              <w:spacing w:line="0" w:lineRule="atLeast"/>
              <w:jc w:val="center"/>
              <w:rPr>
                <w:color w:val="000000"/>
                <w:kern w:val="0"/>
                <w:sz w:val="22"/>
                <w:szCs w:val="22"/>
              </w:rPr>
            </w:pPr>
          </w:p>
        </w:tc>
        <w:tc>
          <w:tcPr>
            <w:tcW w:w="990" w:type="dxa"/>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p>
        </w:tc>
        <w:tc>
          <w:tcPr>
            <w:tcW w:w="727" w:type="dxa"/>
            <w:shd w:val="clear" w:color="000000" w:fill="FFFFFF"/>
            <w:vAlign w:val="center"/>
          </w:tcPr>
          <w:p>
            <w:pPr>
              <w:widowControl/>
              <w:spacing w:line="0" w:lineRule="atLeast"/>
              <w:jc w:val="center"/>
              <w:rPr>
                <w:color w:val="000000"/>
                <w:kern w:val="0"/>
                <w:sz w:val="22"/>
                <w:szCs w:val="22"/>
              </w:rPr>
            </w:pPr>
          </w:p>
        </w:tc>
        <w:tc>
          <w:tcPr>
            <w:tcW w:w="1044" w:type="dxa"/>
            <w:shd w:val="clear" w:color="000000" w:fill="FFFFFF"/>
            <w:vAlign w:val="center"/>
          </w:tcPr>
          <w:p>
            <w:pPr>
              <w:widowControl/>
              <w:spacing w:line="0" w:lineRule="atLeast"/>
              <w:jc w:val="center"/>
              <w:rPr>
                <w:color w:val="000000"/>
                <w:kern w:val="0"/>
                <w:sz w:val="22"/>
                <w:szCs w:val="22"/>
                <w:highlight w:val="yellow"/>
              </w:rPr>
            </w:pPr>
          </w:p>
        </w:tc>
        <w:tc>
          <w:tcPr>
            <w:tcW w:w="924" w:type="dxa"/>
            <w:shd w:val="clear" w:color="000000" w:fill="FFFFFF"/>
            <w:vAlign w:val="center"/>
          </w:tcPr>
          <w:p>
            <w:pPr>
              <w:widowControl/>
              <w:spacing w:line="0" w:lineRule="atLeast"/>
              <w:jc w:val="center"/>
              <w:rPr>
                <w:color w:val="000000"/>
                <w:kern w:val="0"/>
                <w:sz w:val="22"/>
                <w:szCs w:val="22"/>
              </w:rPr>
            </w:pPr>
          </w:p>
        </w:tc>
        <w:tc>
          <w:tcPr>
            <w:tcW w:w="1215" w:type="dxa"/>
            <w:shd w:val="clear" w:color="000000" w:fill="FFFFFF"/>
            <w:vAlign w:val="center"/>
          </w:tcPr>
          <w:p>
            <w:pPr>
              <w:widowControl/>
              <w:spacing w:line="0" w:lineRule="atLeast"/>
              <w:jc w:val="center"/>
              <w:rPr>
                <w:color w:val="000000"/>
                <w:kern w:val="0"/>
                <w:sz w:val="22"/>
                <w:szCs w:val="22"/>
                <w:highlight w:val="yellow"/>
              </w:rPr>
            </w:pPr>
          </w:p>
        </w:tc>
        <w:tc>
          <w:tcPr>
            <w:tcW w:w="960" w:type="dxa"/>
            <w:shd w:val="clear" w:color="000000" w:fill="FFFFFF"/>
            <w:vAlign w:val="center"/>
          </w:tcPr>
          <w:p>
            <w:pPr>
              <w:widowControl/>
              <w:spacing w:line="0" w:lineRule="atLeast"/>
              <w:jc w:val="center"/>
              <w:rPr>
                <w:color w:val="000000"/>
                <w:kern w:val="0"/>
                <w:sz w:val="22"/>
                <w:szCs w:val="22"/>
                <w:highlight w:val="yellow"/>
              </w:rPr>
            </w:pP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2"/>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eastAsia="仿宋_GB2312"/>
          <w:sz w:val="32"/>
          <w:szCs w:val="32"/>
        </w:rPr>
      </w:pPr>
      <w:r>
        <w:rPr>
          <w:rFonts w:hint="eastAsia" w:ascii="仿宋_GB2312" w:hAnsi="仿宋_GB2312" w:eastAsia="仿宋_GB2312" w:cs="仿宋_GB2312"/>
          <w:sz w:val="32"/>
          <w:szCs w:val="32"/>
        </w:rPr>
        <w:t>本项目总投资352万元，资金的到位率100%，执行率100%，项目严格按照预期绩效目标执行预算资金。</w:t>
      </w:r>
      <w:r>
        <w:rPr>
          <w:rFonts w:eastAsia="仿宋_GB2312"/>
          <w:sz w:val="32"/>
          <w:szCs w:val="32"/>
        </w:rPr>
        <w:t>在项目资金拨付和使用过程中，为确保项目资金的安全性，提高项目资金使用效率，严格遵循</w:t>
      </w:r>
      <w:r>
        <w:rPr>
          <w:rFonts w:hint="eastAsia" w:eastAsia="仿宋_GB2312"/>
          <w:sz w:val="32"/>
          <w:szCs w:val="32"/>
        </w:rPr>
        <w:t>财政</w:t>
      </w:r>
      <w:r>
        <w:rPr>
          <w:rFonts w:eastAsia="仿宋_GB2312"/>
          <w:sz w:val="32"/>
          <w:szCs w:val="32"/>
        </w:rPr>
        <w:t>资金的拨付程序，认真审核项目实施各阶段的相关材料和手续，根据项目实施进展情况拨付资金。</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rPr>
        <w:t xml:space="preserve">指标1：检测实验室数量，指标值：6个，实际完成值：6 </w:t>
      </w:r>
      <w:r>
        <w:rPr>
          <w:rFonts w:hint="eastAsia" w:ascii="仿宋_GB2312" w:hAnsi="仿宋_GB2312" w:eastAsia="仿宋_GB2312" w:cs="仿宋_GB2312"/>
          <w:sz w:val="32"/>
          <w:szCs w:val="32"/>
          <w:lang w:eastAsia="zh-CN"/>
        </w:rPr>
        <w:t>个</w:t>
      </w:r>
      <w:r>
        <w:rPr>
          <w:rFonts w:hint="eastAsia" w:ascii="仿宋_GB2312" w:hAnsi="仿宋_GB2312" w:eastAsia="仿宋_GB2312" w:cs="仿宋_GB2312"/>
          <w:sz w:val="32"/>
          <w:szCs w:val="32"/>
        </w:rPr>
        <w:t>，指标完成率100 %</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指标1：按全国第三次土壤普查质控要求完成质控工作 ，指标值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已完成,实际完成值：已完成，指标完成率100 %</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：完成时间 ，指标值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2022-12-31</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2022-12-31</w:t>
      </w:r>
      <w:r>
        <w:rPr>
          <w:rFonts w:hint="eastAsia" w:ascii="仿宋_GB2312" w:hAnsi="仿宋_GB2312" w:eastAsia="仿宋_GB2312" w:cs="仿宋_GB2312"/>
          <w:sz w:val="32"/>
          <w:szCs w:val="32"/>
        </w:rPr>
        <w:t>，指标完成率100 %</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：设备采购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小于等于80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指标完成率100 %</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：消耗材料采购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小于等于200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指标完成率100 %</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：维修维护费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小于等于57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57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指标完成率100 %</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hint="eastAsia"/>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小于等于15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指标完成率100 %</w:t>
      </w:r>
      <w:r>
        <w:rPr>
          <w:rFonts w:hint="eastAsia" w:ascii="仿宋_GB2312" w:hAnsi="仿宋_GB2312" w:eastAsia="仿宋_GB2312" w:cs="仿宋_GB2312"/>
          <w:sz w:val="32"/>
          <w:szCs w:val="32"/>
          <w:lang w:eastAsia="zh-CN"/>
        </w:rPr>
        <w:t>；</w:t>
      </w:r>
    </w:p>
    <w:p>
      <w:pPr>
        <w:pStyle w:val="2"/>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①经济效益指标：</w:t>
      </w:r>
      <w:r>
        <w:rPr>
          <w:rFonts w:hint="eastAsia" w:ascii="仿宋_GB2312" w:hAnsi="仿宋_GB2312" w:eastAsia="仿宋_GB2312" w:cs="仿宋_GB2312"/>
          <w:sz w:val="32"/>
          <w:szCs w:val="32"/>
          <w:lang w:eastAsia="zh-CN"/>
        </w:rPr>
        <w:t>无</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②社会效益指标：</w:t>
      </w:r>
      <w:r>
        <w:rPr>
          <w:rFonts w:hint="eastAsia" w:ascii="仿宋_GB2312" w:hAnsi="仿宋_GB2312" w:eastAsia="仿宋_GB2312" w:cs="仿宋_GB2312"/>
          <w:sz w:val="32"/>
          <w:szCs w:val="32"/>
          <w:lang w:eastAsia="zh-CN"/>
        </w:rPr>
        <w:t>无</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③生态效益指标：</w:t>
      </w:r>
      <w:r>
        <w:rPr>
          <w:rFonts w:hint="eastAsia" w:ascii="仿宋_GB2312" w:hAnsi="仿宋_GB2312" w:eastAsia="仿宋_GB2312" w:cs="仿宋_GB2312"/>
          <w:sz w:val="32"/>
          <w:szCs w:val="32"/>
          <w:lang w:eastAsia="zh-CN"/>
        </w:rPr>
        <w:t>无</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④可持续影响指标：</w:t>
      </w:r>
      <w:r>
        <w:rPr>
          <w:rFonts w:hint="eastAsia" w:ascii="仿宋_GB2312" w:hAnsi="仿宋_GB2312" w:eastAsia="仿宋_GB2312" w:cs="仿宋_GB2312"/>
          <w:sz w:val="32"/>
          <w:szCs w:val="32"/>
          <w:lang w:eastAsia="zh-CN"/>
        </w:rPr>
        <w:t>无</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⑤满意度指标：</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eastAsia="仿宋_GB2312"/>
          <w:sz w:val="32"/>
          <w:szCs w:val="32"/>
        </w:rPr>
        <w:t>农业主管部门满意</w:t>
      </w:r>
      <w:r>
        <w:rPr>
          <w:rFonts w:hint="eastAsia" w:ascii="仿宋_GB2312" w:eastAsia="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：满意，</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eastAsia="zh-CN"/>
        </w:rPr>
        <w:t>满意，</w:t>
      </w:r>
      <w:r>
        <w:rPr>
          <w:rFonts w:hint="eastAsia" w:ascii="仿宋_GB2312" w:hAnsi="仿宋_GB2312" w:eastAsia="仿宋_GB2312" w:cs="仿宋_GB2312"/>
          <w:sz w:val="32"/>
          <w:szCs w:val="32"/>
        </w:rPr>
        <w:t>指标完成率100 %</w:t>
      </w:r>
      <w:r>
        <w:rPr>
          <w:rFonts w:hint="eastAsia" w:ascii="仿宋_GB2312" w:hAnsi="仿宋_GB2312" w:eastAsia="仿宋_GB2312" w:cs="仿宋_GB2312"/>
          <w:sz w:val="32"/>
          <w:szCs w:val="32"/>
          <w:lang w:eastAsia="zh-CN"/>
        </w:rPr>
        <w:t>；</w:t>
      </w:r>
    </w:p>
    <w:p>
      <w:pPr>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pStyle w:val="2"/>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工作开展过程中因今年刚开始试点，涉及的单位和机构又较多，交接过程会出现一些衔接不上的情况，导致下一环节不能顺利开展工作，影响了部分工作进度。在下一步工作中应提前进行沟通，保障各环节能顺利衔接，顺利流转到下一环节，使工作顺利进行。</w:t>
      </w:r>
    </w:p>
    <w:p>
      <w:pPr>
        <w:numPr>
          <w:ilvl w:val="0"/>
          <w:numId w:val="7"/>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numPr>
          <w:ilvl w:val="0"/>
          <w:numId w:val="7"/>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20"/>
        <w:ind w:firstLine="320" w:firstLineChars="100"/>
        <w:rPr>
          <w:rFonts w:ascii="Times New Roman" w:hAnsi="Times New Roman" w:eastAsia="方正小标宋简体"/>
          <w:b/>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578"/>
        <w:gridCol w:w="578"/>
        <w:gridCol w:w="594"/>
        <w:gridCol w:w="838"/>
        <w:gridCol w:w="1195"/>
        <w:gridCol w:w="486"/>
        <w:gridCol w:w="834"/>
        <w:gridCol w:w="748"/>
        <w:gridCol w:w="462"/>
        <w:gridCol w:w="420"/>
        <w:gridCol w:w="470"/>
        <w:gridCol w:w="368"/>
        <w:gridCol w:w="394"/>
        <w:gridCol w:w="6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5"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bookmarkStart w:id="2" w:name="_GoBack"/>
            <w:r>
              <w:rPr>
                <w:rFonts w:hint="eastAsia" w:ascii="宋体" w:hAnsi="宋体" w:eastAsia="宋体" w:cs="宋体"/>
                <w:b/>
                <w:i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15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项目名称</w:t>
            </w:r>
          </w:p>
        </w:tc>
        <w:tc>
          <w:tcPr>
            <w:tcW w:w="7422"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中央农业资源及生态保护补助资金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115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主管部门</w:t>
            </w:r>
          </w:p>
        </w:tc>
        <w:tc>
          <w:tcPr>
            <w:tcW w:w="3947"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c>
          <w:tcPr>
            <w:tcW w:w="12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实施单位</w:t>
            </w:r>
          </w:p>
        </w:tc>
        <w:tc>
          <w:tcPr>
            <w:tcW w:w="2265"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80" w:hRule="atLeast"/>
        </w:trPr>
        <w:tc>
          <w:tcPr>
            <w:tcW w:w="1156"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项目资金</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（万元）</w:t>
            </w:r>
          </w:p>
        </w:tc>
        <w:tc>
          <w:tcPr>
            <w:tcW w:w="143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年初预算数</w:t>
            </w:r>
          </w:p>
        </w:tc>
        <w:tc>
          <w:tcPr>
            <w:tcW w:w="132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全年预算数</w:t>
            </w:r>
          </w:p>
        </w:tc>
        <w:tc>
          <w:tcPr>
            <w:tcW w:w="12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全年执行数</w:t>
            </w:r>
          </w:p>
        </w:tc>
        <w:tc>
          <w:tcPr>
            <w:tcW w:w="8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76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执行率</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39" w:hRule="atLeast"/>
        </w:trPr>
        <w:tc>
          <w:tcPr>
            <w:tcW w:w="1156"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年度资金总额</w:t>
            </w:r>
          </w:p>
        </w:tc>
        <w:tc>
          <w:tcPr>
            <w:tcW w:w="11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352.00</w:t>
            </w:r>
          </w:p>
        </w:tc>
        <w:tc>
          <w:tcPr>
            <w:tcW w:w="132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352.00</w:t>
            </w:r>
          </w:p>
        </w:tc>
        <w:tc>
          <w:tcPr>
            <w:tcW w:w="12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352.00</w:t>
            </w:r>
          </w:p>
        </w:tc>
        <w:tc>
          <w:tcPr>
            <w:tcW w:w="8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76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100.00%</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39" w:hRule="atLeast"/>
        </w:trPr>
        <w:tc>
          <w:tcPr>
            <w:tcW w:w="1156"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其中：当年财政拨款</w:t>
            </w:r>
          </w:p>
        </w:tc>
        <w:tc>
          <w:tcPr>
            <w:tcW w:w="11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352</w:t>
            </w:r>
          </w:p>
        </w:tc>
        <w:tc>
          <w:tcPr>
            <w:tcW w:w="132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352</w:t>
            </w:r>
          </w:p>
        </w:tc>
        <w:tc>
          <w:tcPr>
            <w:tcW w:w="12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352</w:t>
            </w:r>
          </w:p>
        </w:tc>
        <w:tc>
          <w:tcPr>
            <w:tcW w:w="8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6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39" w:hRule="atLeast"/>
        </w:trPr>
        <w:tc>
          <w:tcPr>
            <w:tcW w:w="1156"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上年结转资金</w:t>
            </w:r>
          </w:p>
        </w:tc>
        <w:tc>
          <w:tcPr>
            <w:tcW w:w="11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32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2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6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156"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其他资金</w:t>
            </w:r>
          </w:p>
        </w:tc>
        <w:tc>
          <w:tcPr>
            <w:tcW w:w="11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32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2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6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57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年度总体目标</w:t>
            </w:r>
          </w:p>
        </w:tc>
        <w:tc>
          <w:tcPr>
            <w:tcW w:w="4525"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预期目标</w:t>
            </w:r>
          </w:p>
        </w:tc>
        <w:tc>
          <w:tcPr>
            <w:tcW w:w="3475"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25"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按照《第三次全国土壤普查全程质量控制技术规范（试行）》有关要求，对样品制备和检测等任务制定内部质量控制计划，实施全过程质量控制，确保工作质量</w:t>
            </w:r>
          </w:p>
        </w:tc>
        <w:tc>
          <w:tcPr>
            <w:tcW w:w="3475"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已完成对样品制备和检测等任务制定内部质量控制计划，实施全过程质量控制。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57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一级指标</w:t>
            </w:r>
          </w:p>
        </w:tc>
        <w:tc>
          <w:tcPr>
            <w:tcW w:w="59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二级指标</w:t>
            </w:r>
          </w:p>
        </w:tc>
        <w:tc>
          <w:tcPr>
            <w:tcW w:w="2519" w:type="dxa"/>
            <w:gridSpan w:val="3"/>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三级指标</w:t>
            </w:r>
          </w:p>
        </w:tc>
        <w:tc>
          <w:tcPr>
            <w:tcW w:w="83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年度指标值</w:t>
            </w:r>
          </w:p>
        </w:tc>
        <w:tc>
          <w:tcPr>
            <w:tcW w:w="74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实际完成值</w:t>
            </w:r>
          </w:p>
        </w:tc>
        <w:tc>
          <w:tcPr>
            <w:tcW w:w="882"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83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c>
          <w:tcPr>
            <w:tcW w:w="1007"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7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19" w:type="dxa"/>
            <w:gridSpan w:val="3"/>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2"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0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年度绩效指标完成情况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产出指标</w:t>
            </w: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检测实验室数量</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按全国第三次土壤普查质控要求完成质控工作</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时效指标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022年完成试点县土壤普查工作</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2022年12月31日</w:t>
            </w: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2023年3月31日</w:t>
            </w: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设备采购</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&lt;=80万元</w:t>
            </w: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80万元</w:t>
            </w: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消耗材料采购</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&lt;=200万元</w:t>
            </w: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200万元</w:t>
            </w: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维修维护费</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&lt;=57万元</w:t>
            </w: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57万元</w:t>
            </w: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劳务费</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&lt;=15</w:t>
            </w: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效益指标</w:t>
            </w: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经济效益指标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生态效益指标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可持续影响指标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5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2519"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农业主管部门满意</w:t>
            </w:r>
          </w:p>
        </w:tc>
        <w:tc>
          <w:tcPr>
            <w:tcW w:w="83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851"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总分</w:t>
            </w:r>
          </w:p>
        </w:tc>
        <w:tc>
          <w:tcPr>
            <w:tcW w:w="8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100.00分</w:t>
            </w:r>
          </w:p>
        </w:tc>
        <w:tc>
          <w:tcPr>
            <w:tcW w:w="10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bookmarkEnd w:id="2"/>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1"/>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7"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8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r>
    </w:tbl>
    <w:p>
      <w:pPr>
        <w:pStyle w:val="2"/>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5"/>
          <w:jc w:val="center"/>
        </w:pPr>
        <w:r>
          <w:fldChar w:fldCharType="begin"/>
        </w:r>
        <w:r>
          <w:instrText xml:space="preserve">PAGE   \* MERGEFORMAT</w:instrText>
        </w:r>
        <w:r>
          <w:fldChar w:fldCharType="separate"/>
        </w:r>
        <w:r>
          <w:rPr>
            <w:lang w:val="zh-CN"/>
          </w:rPr>
          <w:t>16</w:t>
        </w:r>
        <w:r>
          <w:rPr>
            <w:lang w:val="zh-CN"/>
          </w:rPr>
          <w:fldChar w:fldCharType="end"/>
        </w:r>
      </w:p>
    </w:sdtContent>
  </w:sdt>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AwYmVkNDk5ZTUzMmU2N2M2NjI3MDQ5MGQ2N2U4NjgifQ=="/>
  </w:docVars>
  <w:rsids>
    <w:rsidRoot w:val="00CA6457"/>
    <w:rsid w:val="00056465"/>
    <w:rsid w:val="00086481"/>
    <w:rsid w:val="000E50F0"/>
    <w:rsid w:val="000E586C"/>
    <w:rsid w:val="000F60AF"/>
    <w:rsid w:val="00121AE4"/>
    <w:rsid w:val="00146AAD"/>
    <w:rsid w:val="001616CD"/>
    <w:rsid w:val="001B3A40"/>
    <w:rsid w:val="00200850"/>
    <w:rsid w:val="002529D0"/>
    <w:rsid w:val="002E7465"/>
    <w:rsid w:val="00364B3D"/>
    <w:rsid w:val="003748BB"/>
    <w:rsid w:val="003C18BC"/>
    <w:rsid w:val="003D0784"/>
    <w:rsid w:val="00404810"/>
    <w:rsid w:val="00430B95"/>
    <w:rsid w:val="004366A8"/>
    <w:rsid w:val="00463278"/>
    <w:rsid w:val="00464900"/>
    <w:rsid w:val="004776CF"/>
    <w:rsid w:val="004B40B6"/>
    <w:rsid w:val="0050203C"/>
    <w:rsid w:val="00502BA7"/>
    <w:rsid w:val="005162F1"/>
    <w:rsid w:val="00535153"/>
    <w:rsid w:val="00554F82"/>
    <w:rsid w:val="0056390D"/>
    <w:rsid w:val="005719B0"/>
    <w:rsid w:val="005D10D6"/>
    <w:rsid w:val="00621410"/>
    <w:rsid w:val="006B15E5"/>
    <w:rsid w:val="007806A5"/>
    <w:rsid w:val="007E1126"/>
    <w:rsid w:val="00855E3A"/>
    <w:rsid w:val="00922CB9"/>
    <w:rsid w:val="009E5CD9"/>
    <w:rsid w:val="009F2987"/>
    <w:rsid w:val="009F5B4E"/>
    <w:rsid w:val="00A26421"/>
    <w:rsid w:val="00A4293B"/>
    <w:rsid w:val="00A67D50"/>
    <w:rsid w:val="00A8691A"/>
    <w:rsid w:val="00AC1946"/>
    <w:rsid w:val="00B40063"/>
    <w:rsid w:val="00B41F61"/>
    <w:rsid w:val="00B52B89"/>
    <w:rsid w:val="00BA46E6"/>
    <w:rsid w:val="00C20F12"/>
    <w:rsid w:val="00C56C72"/>
    <w:rsid w:val="00C6697A"/>
    <w:rsid w:val="00C71427"/>
    <w:rsid w:val="00CA6457"/>
    <w:rsid w:val="00D17F2E"/>
    <w:rsid w:val="00D30354"/>
    <w:rsid w:val="00D3171F"/>
    <w:rsid w:val="00D72A98"/>
    <w:rsid w:val="00D72D3E"/>
    <w:rsid w:val="00DA6E2D"/>
    <w:rsid w:val="00DF42A0"/>
    <w:rsid w:val="00DF7C45"/>
    <w:rsid w:val="00E05234"/>
    <w:rsid w:val="00E31565"/>
    <w:rsid w:val="00E4404D"/>
    <w:rsid w:val="00E46C51"/>
    <w:rsid w:val="00E659F7"/>
    <w:rsid w:val="00E769FE"/>
    <w:rsid w:val="00EA2CBE"/>
    <w:rsid w:val="00F20494"/>
    <w:rsid w:val="00F32FEE"/>
    <w:rsid w:val="00F71278"/>
    <w:rsid w:val="00FA15E9"/>
    <w:rsid w:val="00FB10BB"/>
    <w:rsid w:val="00FD1066"/>
    <w:rsid w:val="051A56F5"/>
    <w:rsid w:val="066D6EAA"/>
    <w:rsid w:val="06DC1681"/>
    <w:rsid w:val="08C662D4"/>
    <w:rsid w:val="09BD4D95"/>
    <w:rsid w:val="0B0F58D6"/>
    <w:rsid w:val="0F8D41CB"/>
    <w:rsid w:val="0FEE2F21"/>
    <w:rsid w:val="11C75270"/>
    <w:rsid w:val="12637CC3"/>
    <w:rsid w:val="12E657C5"/>
    <w:rsid w:val="133C6E2A"/>
    <w:rsid w:val="167C7687"/>
    <w:rsid w:val="168B3546"/>
    <w:rsid w:val="1A2374E0"/>
    <w:rsid w:val="1C317CE2"/>
    <w:rsid w:val="1DD45808"/>
    <w:rsid w:val="1DED42AC"/>
    <w:rsid w:val="20005763"/>
    <w:rsid w:val="20FB313D"/>
    <w:rsid w:val="220B4804"/>
    <w:rsid w:val="2390511B"/>
    <w:rsid w:val="278B653F"/>
    <w:rsid w:val="282475E3"/>
    <w:rsid w:val="29E421D9"/>
    <w:rsid w:val="2C6100C1"/>
    <w:rsid w:val="2F201611"/>
    <w:rsid w:val="3235157C"/>
    <w:rsid w:val="3264220D"/>
    <w:rsid w:val="32A83563"/>
    <w:rsid w:val="38872456"/>
    <w:rsid w:val="3963178C"/>
    <w:rsid w:val="3CED0699"/>
    <w:rsid w:val="3EB02FD6"/>
    <w:rsid w:val="416D32F6"/>
    <w:rsid w:val="41CC2676"/>
    <w:rsid w:val="46B21672"/>
    <w:rsid w:val="496F4578"/>
    <w:rsid w:val="4F552460"/>
    <w:rsid w:val="4FCC6863"/>
    <w:rsid w:val="500A214A"/>
    <w:rsid w:val="522D604D"/>
    <w:rsid w:val="5297585E"/>
    <w:rsid w:val="52AD7D6F"/>
    <w:rsid w:val="5549519D"/>
    <w:rsid w:val="5557596B"/>
    <w:rsid w:val="5B596DFC"/>
    <w:rsid w:val="5DAE6D00"/>
    <w:rsid w:val="5DF03945"/>
    <w:rsid w:val="5F03526B"/>
    <w:rsid w:val="62E515AF"/>
    <w:rsid w:val="637C2815"/>
    <w:rsid w:val="666B4FDC"/>
    <w:rsid w:val="682144B7"/>
    <w:rsid w:val="6B503F77"/>
    <w:rsid w:val="6B614990"/>
    <w:rsid w:val="6E311968"/>
    <w:rsid w:val="7A353D0B"/>
    <w:rsid w:val="7CB927D8"/>
    <w:rsid w:val="7D3A5E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w:basedOn w:val="1"/>
    <w:qFormat/>
    <w:uiPriority w:val="0"/>
    <w:pPr>
      <w:spacing w:after="120"/>
    </w:pPr>
  </w:style>
  <w:style w:type="paragraph" w:styleId="13">
    <w:name w:val="Body Text Indent"/>
    <w:basedOn w:val="1"/>
    <w:qFormat/>
    <w:uiPriority w:val="0"/>
    <w:pPr>
      <w:spacing w:after="120"/>
      <w:ind w:left="420" w:leftChars="200"/>
    </w:pPr>
    <w:rPr>
      <w:rFonts w:ascii="Calibri" w:hAnsi="Calibri"/>
    </w:rPr>
  </w:style>
  <w:style w:type="paragraph" w:styleId="14">
    <w:name w:val="Balloon Text"/>
    <w:basedOn w:val="1"/>
    <w:link w:val="50"/>
    <w:semiHidden/>
    <w:unhideWhenUsed/>
    <w:qFormat/>
    <w:uiPriority w:val="99"/>
    <w:rPr>
      <w:sz w:val="18"/>
      <w:szCs w:val="18"/>
    </w:rPr>
  </w:style>
  <w:style w:type="paragraph" w:styleId="15">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8">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9">
    <w:name w:val="Body Text First Indent"/>
    <w:basedOn w:val="12"/>
    <w:qFormat/>
    <w:uiPriority w:val="0"/>
    <w:pPr>
      <w:spacing w:after="0"/>
      <w:ind w:firstLine="200" w:firstLineChars="200"/>
    </w:pPr>
  </w:style>
  <w:style w:type="paragraph" w:styleId="20">
    <w:name w:val="Body Text First Indent 2"/>
    <w:basedOn w:val="13"/>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Char"/>
    <w:basedOn w:val="22"/>
    <w:link w:val="3"/>
    <w:qFormat/>
    <w:uiPriority w:val="9"/>
    <w:rPr>
      <w:rFonts w:asciiTheme="majorHAnsi" w:hAnsiTheme="majorHAnsi" w:eastAsiaTheme="majorEastAsia"/>
      <w:b/>
      <w:bCs/>
      <w:kern w:val="32"/>
      <w:sz w:val="32"/>
      <w:szCs w:val="32"/>
    </w:rPr>
  </w:style>
  <w:style w:type="character" w:customStyle="1" w:styleId="26">
    <w:name w:val="标题 2 Char"/>
    <w:basedOn w:val="22"/>
    <w:link w:val="4"/>
    <w:semiHidden/>
    <w:qFormat/>
    <w:uiPriority w:val="9"/>
    <w:rPr>
      <w:rFonts w:asciiTheme="majorHAnsi" w:hAnsiTheme="majorHAnsi" w:eastAsiaTheme="majorEastAsia"/>
      <w:b/>
      <w:bCs/>
      <w:i/>
      <w:iCs/>
      <w:sz w:val="28"/>
      <w:szCs w:val="28"/>
    </w:rPr>
  </w:style>
  <w:style w:type="character" w:customStyle="1" w:styleId="27">
    <w:name w:val="标题 3 Char"/>
    <w:basedOn w:val="22"/>
    <w:link w:val="5"/>
    <w:semiHidden/>
    <w:qFormat/>
    <w:uiPriority w:val="9"/>
    <w:rPr>
      <w:rFonts w:asciiTheme="majorHAnsi" w:hAnsiTheme="majorHAnsi" w:eastAsiaTheme="majorEastAsia"/>
      <w:b/>
      <w:bCs/>
      <w:sz w:val="26"/>
      <w:szCs w:val="26"/>
    </w:rPr>
  </w:style>
  <w:style w:type="character" w:customStyle="1" w:styleId="28">
    <w:name w:val="标题 4 Char"/>
    <w:basedOn w:val="22"/>
    <w:link w:val="6"/>
    <w:semiHidden/>
    <w:qFormat/>
    <w:uiPriority w:val="9"/>
    <w:rPr>
      <w:b/>
      <w:bCs/>
      <w:sz w:val="28"/>
      <w:szCs w:val="28"/>
    </w:rPr>
  </w:style>
  <w:style w:type="character" w:customStyle="1" w:styleId="29">
    <w:name w:val="标题 5 Char"/>
    <w:basedOn w:val="22"/>
    <w:link w:val="7"/>
    <w:semiHidden/>
    <w:qFormat/>
    <w:uiPriority w:val="9"/>
    <w:rPr>
      <w:b/>
      <w:bCs/>
      <w:i/>
      <w:iCs/>
      <w:sz w:val="26"/>
      <w:szCs w:val="26"/>
    </w:rPr>
  </w:style>
  <w:style w:type="character" w:customStyle="1" w:styleId="30">
    <w:name w:val="标题 6 Char"/>
    <w:basedOn w:val="22"/>
    <w:link w:val="8"/>
    <w:semiHidden/>
    <w:qFormat/>
    <w:uiPriority w:val="9"/>
    <w:rPr>
      <w:b/>
      <w:bCs/>
    </w:rPr>
  </w:style>
  <w:style w:type="character" w:customStyle="1" w:styleId="31">
    <w:name w:val="标题 7 Char"/>
    <w:basedOn w:val="22"/>
    <w:link w:val="9"/>
    <w:semiHidden/>
    <w:qFormat/>
    <w:uiPriority w:val="9"/>
    <w:rPr>
      <w:sz w:val="24"/>
      <w:szCs w:val="24"/>
    </w:rPr>
  </w:style>
  <w:style w:type="character" w:customStyle="1" w:styleId="32">
    <w:name w:val="标题 8 Char"/>
    <w:basedOn w:val="22"/>
    <w:link w:val="10"/>
    <w:semiHidden/>
    <w:qFormat/>
    <w:uiPriority w:val="9"/>
    <w:rPr>
      <w:i/>
      <w:iCs/>
      <w:sz w:val="24"/>
      <w:szCs w:val="24"/>
    </w:rPr>
  </w:style>
  <w:style w:type="character" w:customStyle="1" w:styleId="33">
    <w:name w:val="标题 9 Char"/>
    <w:basedOn w:val="22"/>
    <w:link w:val="11"/>
    <w:semiHidden/>
    <w:qFormat/>
    <w:uiPriority w:val="9"/>
    <w:rPr>
      <w:rFonts w:asciiTheme="majorHAnsi" w:hAnsiTheme="majorHAnsi" w:eastAsiaTheme="majorEastAsia"/>
    </w:rPr>
  </w:style>
  <w:style w:type="character" w:customStyle="1" w:styleId="34">
    <w:name w:val="标题 Char"/>
    <w:basedOn w:val="22"/>
    <w:link w:val="2"/>
    <w:qFormat/>
    <w:uiPriority w:val="10"/>
    <w:rPr>
      <w:rFonts w:asciiTheme="majorHAnsi" w:hAnsiTheme="majorHAnsi" w:eastAsiaTheme="majorEastAsia"/>
      <w:b/>
      <w:bCs/>
      <w:kern w:val="28"/>
      <w:sz w:val="32"/>
      <w:szCs w:val="32"/>
    </w:rPr>
  </w:style>
  <w:style w:type="character" w:customStyle="1" w:styleId="35">
    <w:name w:val="副标题 Char"/>
    <w:basedOn w:val="22"/>
    <w:link w:val="17"/>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Char"/>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Char"/>
    <w:basedOn w:val="22"/>
    <w:link w:val="40"/>
    <w:qFormat/>
    <w:uiPriority w:val="30"/>
    <w:rPr>
      <w:b/>
      <w:i/>
      <w:sz w:val="24"/>
    </w:rPr>
  </w:style>
  <w:style w:type="character" w:customStyle="1" w:styleId="42">
    <w:name w:val="不明显强调1"/>
    <w:qFormat/>
    <w:uiPriority w:val="19"/>
    <w:rPr>
      <w:i/>
      <w:color w:val="585858" w:themeColor="text1" w:themeTint="A6"/>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Char"/>
    <w:basedOn w:val="22"/>
    <w:link w:val="16"/>
    <w:qFormat/>
    <w:uiPriority w:val="99"/>
    <w:rPr>
      <w:rFonts w:ascii="Calibri" w:hAnsi="Calibri" w:eastAsia="宋体"/>
      <w:kern w:val="2"/>
      <w:sz w:val="18"/>
      <w:szCs w:val="18"/>
    </w:rPr>
  </w:style>
  <w:style w:type="character" w:customStyle="1" w:styleId="49">
    <w:name w:val="页脚 Char"/>
    <w:basedOn w:val="22"/>
    <w:link w:val="15"/>
    <w:qFormat/>
    <w:uiPriority w:val="99"/>
    <w:rPr>
      <w:rFonts w:ascii="Calibri" w:hAnsi="Calibri" w:eastAsia="宋体"/>
      <w:kern w:val="2"/>
      <w:sz w:val="18"/>
      <w:szCs w:val="18"/>
    </w:rPr>
  </w:style>
  <w:style w:type="character" w:customStyle="1" w:styleId="50">
    <w:name w:val="批注框文本 Char"/>
    <w:basedOn w:val="22"/>
    <w:link w:val="14"/>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20</Pages>
  <Words>7727</Words>
  <Characters>7996</Characters>
  <Lines>62</Lines>
  <Paragraphs>17</Paragraphs>
  <TotalTime>1</TotalTime>
  <ScaleCrop>false</ScaleCrop>
  <LinksUpToDate>false</LinksUpToDate>
  <CharactersWithSpaces>8047</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2022-12-29T12:51:00Z</dcterms:created>
  <dc:creator>赵 恺（预算处）</dc:creator>
  <cp:lastModifiedBy>zjy</cp:lastModifiedBy>
  <cp:lastPrinted>2019-12-31T08:02:00Z</cp:lastPrinted>
  <dcterms:modified xsi:type="dcterms:W3CDTF">2023-08-18T10:27:19Z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E1105AF120A3464485D65FCC77749838</vt:lpwstr>
  </property>
  <property fmtid="{D5CDD505-2E9C-101B-9397-08002B2CF9AE}" pid="4" name="KSOSaveFontToCloudKey">
    <vt:lpwstr>0_btnclosed</vt:lpwstr>
  </property>
</Properties>
</file>