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rPr>
      </w:pPr>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ascii="Times New Roman" w:hAnsi="Times New Roman" w:eastAsia="方正小标宋_GBK" w:cs="Times New Roman"/>
          <w:kern w:val="0"/>
          <w:sz w:val="48"/>
          <w:szCs w:val="48"/>
        </w:rPr>
        <w:t>第六批新疆少数民族科技骨干特殊培养</w:t>
      </w:r>
      <w:r>
        <w:rPr>
          <w:rFonts w:eastAsia="方正小标宋_GBK"/>
          <w:kern w:val="0"/>
          <w:sz w:val="48"/>
          <w:szCs w:val="48"/>
        </w:rPr>
        <w:t>资金项目支出绩效评价</w:t>
      </w:r>
    </w:p>
    <w:p>
      <w:pPr>
        <w:spacing w:line="540" w:lineRule="exact"/>
        <w:jc w:val="center"/>
        <w:rPr>
          <w:rFonts w:eastAsia="方正小标宋_GBK"/>
          <w:kern w:val="0"/>
          <w:sz w:val="48"/>
          <w:szCs w:val="48"/>
        </w:rPr>
      </w:pPr>
      <w:r>
        <w:rPr>
          <w:rFonts w:eastAsia="方正小标宋_GBK"/>
          <w:kern w:val="0"/>
          <w:sz w:val="48"/>
          <w:szCs w:val="48"/>
        </w:rPr>
        <w:t>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lang w:val="en-US" w:eastAsia="zh-CN"/>
        </w:rPr>
        <w:t>2</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left="3236" w:leftChars="684" w:hanging="1800" w:hangingChars="500"/>
        <w:jc w:val="left"/>
        <w:rPr>
          <w:rFonts w:hint="eastAsia" w:eastAsia="仿宋_GB2312"/>
          <w:kern w:val="0"/>
          <w:sz w:val="36"/>
          <w:szCs w:val="36"/>
          <w:lang w:eastAsia="zh-CN"/>
        </w:rPr>
      </w:pPr>
      <w:r>
        <w:rPr>
          <w:rFonts w:eastAsia="仿宋_GB2312"/>
          <w:kern w:val="0"/>
          <w:sz w:val="36"/>
          <w:szCs w:val="36"/>
        </w:rPr>
        <w:t>项目名称：</w:t>
      </w:r>
      <w:r>
        <w:rPr>
          <w:rFonts w:hint="eastAsia" w:ascii="Times New Roman" w:hAnsi="Times New Roman" w:eastAsia="仿宋_GB2312" w:cs="Times New Roman"/>
          <w:kern w:val="0"/>
          <w:sz w:val="36"/>
          <w:szCs w:val="36"/>
        </w:rPr>
        <w:t>第六批新疆少数民族科技骨干特殊培养</w:t>
      </w:r>
      <w:r>
        <w:rPr>
          <w:rFonts w:hint="eastAsia" w:ascii="Times New Roman" w:hAnsi="Times New Roman" w:eastAsia="仿宋_GB2312" w:cs="Times New Roman"/>
          <w:kern w:val="0"/>
          <w:sz w:val="36"/>
          <w:szCs w:val="36"/>
          <w:lang w:eastAsia="zh-CN"/>
        </w:rPr>
        <w:t>项目</w:t>
      </w:r>
    </w:p>
    <w:p>
      <w:pPr>
        <w:spacing w:line="700" w:lineRule="exact"/>
        <w:ind w:left="4676" w:leftChars="684" w:hanging="3240" w:hangingChars="900"/>
        <w:jc w:val="left"/>
        <w:rPr>
          <w:rFonts w:hint="eastAsia" w:eastAsia="仿宋_GB2312"/>
          <w:kern w:val="0"/>
          <w:sz w:val="36"/>
          <w:szCs w:val="36"/>
          <w:lang w:eastAsia="zh-CN"/>
        </w:rPr>
      </w:pPr>
      <w:r>
        <w:rPr>
          <w:rFonts w:eastAsia="仿宋_GB2312"/>
          <w:kern w:val="0"/>
          <w:sz w:val="36"/>
          <w:szCs w:val="36"/>
        </w:rPr>
        <w:t>实施单位（公章）：</w:t>
      </w:r>
      <w:r>
        <w:rPr>
          <w:rFonts w:hint="eastAsia" w:eastAsia="仿宋_GB2312"/>
          <w:kern w:val="0"/>
          <w:sz w:val="36"/>
          <w:szCs w:val="36"/>
          <w:lang w:eastAsia="zh-CN"/>
        </w:rPr>
        <w:t>自治区产品质量监督检验研究院</w:t>
      </w:r>
    </w:p>
    <w:p>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主管部门（公章）：</w:t>
      </w:r>
      <w:r>
        <w:rPr>
          <w:rFonts w:hint="eastAsia" w:eastAsia="仿宋_GB2312"/>
          <w:kern w:val="0"/>
          <w:sz w:val="36"/>
          <w:szCs w:val="36"/>
          <w:lang w:eastAsia="zh-CN"/>
        </w:rPr>
        <w:t>自治区市场监督管理局</w:t>
      </w:r>
    </w:p>
    <w:p>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eastAsia="zh-CN"/>
        </w:rPr>
        <w:t>王进</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2022</w:t>
      </w:r>
      <w:r>
        <w:rPr>
          <w:rFonts w:eastAsia="仿宋_GB2312"/>
          <w:kern w:val="0"/>
          <w:sz w:val="36"/>
          <w:szCs w:val="36"/>
        </w:rPr>
        <w:t>年</w:t>
      </w:r>
      <w:r>
        <w:rPr>
          <w:rFonts w:hint="eastAsia" w:eastAsia="仿宋_GB2312"/>
          <w:kern w:val="0"/>
          <w:sz w:val="36"/>
          <w:szCs w:val="36"/>
          <w:lang w:val="en-US" w:eastAsia="zh-CN"/>
        </w:rPr>
        <w:t>12</w:t>
      </w:r>
      <w:r>
        <w:rPr>
          <w:rFonts w:eastAsia="仿宋_GB2312"/>
          <w:kern w:val="0"/>
          <w:sz w:val="36"/>
          <w:szCs w:val="36"/>
        </w:rPr>
        <w:t>月</w:t>
      </w:r>
      <w:r>
        <w:rPr>
          <w:rFonts w:hint="eastAsia" w:eastAsia="仿宋_GB2312"/>
          <w:kern w:val="0"/>
          <w:sz w:val="36"/>
          <w:szCs w:val="36"/>
          <w:lang w:val="en-US" w:eastAsia="zh-CN"/>
        </w:rPr>
        <w:t>30</w:t>
      </w:r>
      <w:r>
        <w:rPr>
          <w:rFonts w:eastAsia="仿宋_GB2312"/>
          <w:kern w:val="0"/>
          <w:sz w:val="36"/>
          <w:szCs w:val="36"/>
        </w:rPr>
        <w:t>日</w:t>
      </w:r>
    </w:p>
    <w:p>
      <w:pPr>
        <w:spacing w:line="540" w:lineRule="exact"/>
        <w:jc w:val="center"/>
        <w:rPr>
          <w:rFonts w:eastAsia="仿宋_GB2312"/>
          <w:kern w:val="0"/>
          <w:sz w:val="30"/>
          <w:szCs w:val="30"/>
        </w:rPr>
      </w:pPr>
    </w:p>
    <w:p>
      <w:pPr>
        <w:spacing w:line="540" w:lineRule="exact"/>
        <w:rPr>
          <w:rStyle w:val="23"/>
          <w:rFonts w:eastAsia="黑体"/>
          <w:b w:val="0"/>
          <w:spacing w:val="-4"/>
          <w:sz w:val="32"/>
          <w:szCs w:val="32"/>
        </w:rPr>
      </w:pPr>
    </w:p>
    <w:p>
      <w:pPr>
        <w:spacing w:line="600" w:lineRule="exact"/>
        <w:rPr>
          <w:rFonts w:eastAsia="黑体"/>
          <w:bCs/>
          <w:sz w:val="32"/>
          <w:szCs w:val="32"/>
        </w:rPr>
      </w:pPr>
      <w:r>
        <w:rPr>
          <w:rFonts w:eastAsia="黑体"/>
          <w:bCs/>
          <w:sz w:val="32"/>
          <w:szCs w:val="32"/>
        </w:rPr>
        <w:t>一、基本情况</w:t>
      </w:r>
    </w:p>
    <w:p>
      <w:pPr>
        <w:spacing w:line="600" w:lineRule="exact"/>
        <w:ind w:firstLine="641"/>
        <w:rPr>
          <w:rFonts w:eastAsia="楷体_GB2312"/>
          <w:b/>
          <w:bCs/>
          <w:sz w:val="32"/>
          <w:szCs w:val="32"/>
        </w:rPr>
      </w:pPr>
      <w:r>
        <w:rPr>
          <w:rFonts w:eastAsia="楷体_GB2312"/>
          <w:b/>
          <w:bCs/>
          <w:sz w:val="32"/>
          <w:szCs w:val="32"/>
        </w:rPr>
        <w:t>（一）项目概况</w:t>
      </w:r>
    </w:p>
    <w:p>
      <w:pPr>
        <w:spacing w:line="600" w:lineRule="exact"/>
        <w:ind w:firstLine="641"/>
        <w:rPr>
          <w:rFonts w:eastAsia="仿宋_GB2312"/>
          <w:b/>
          <w:bCs/>
          <w:sz w:val="32"/>
          <w:szCs w:val="32"/>
        </w:rPr>
      </w:pPr>
      <w:r>
        <w:rPr>
          <w:rFonts w:eastAsia="仿宋_GB2312"/>
          <w:b/>
          <w:bCs/>
          <w:sz w:val="32"/>
          <w:szCs w:val="32"/>
        </w:rPr>
        <w:t>1、项目背景</w:t>
      </w:r>
    </w:p>
    <w:p>
      <w:pPr>
        <w:spacing w:line="60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新疆少数民族科技骨干特殊培养工作是经国务院批准专门针对新疆少数民族科技骨干的一项特殊培养计划，是由中央财政和自治区财政支持的少数民族科技骨干培训项目。</w:t>
      </w:r>
    </w:p>
    <w:p>
      <w:pPr>
        <w:spacing w:line="60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为全面贯彻新时代党的治疆方略，牢牢扭住社会稳定和长治久安总目标，</w:t>
      </w:r>
      <w:r>
        <w:rPr>
          <w:rFonts w:ascii="Times New Roman" w:hAnsi="Times New Roman" w:eastAsia="仿宋_GB2312" w:cs="Times New Roman"/>
          <w:sz w:val="32"/>
          <w:szCs w:val="32"/>
          <w:lang w:val="en-US" w:eastAsia="zh-CN"/>
        </w:rPr>
        <w:t>进一步深化和拓展特培工作，造就一支适应新疆经济社会发展需要的少数民族高层次专业技术人才队伍</w:t>
      </w:r>
      <w:r>
        <w:rPr>
          <w:rFonts w:hint="eastAsia" w:ascii="Times New Roman" w:hAnsi="Times New Roman" w:eastAsia="仿宋_GB2312" w:cs="Times New Roman"/>
          <w:sz w:val="32"/>
          <w:szCs w:val="32"/>
          <w:lang w:val="en-US" w:eastAsia="zh-CN"/>
        </w:rPr>
        <w:t>。</w:t>
      </w:r>
    </w:p>
    <w:p>
      <w:pPr>
        <w:spacing w:line="600" w:lineRule="exact"/>
        <w:ind w:firstLine="643" w:firstLineChars="200"/>
        <w:rPr>
          <w:rFonts w:hint="eastAsia" w:ascii="Times New Roman" w:hAnsi="Times New Roman" w:eastAsia="仿宋_GB2312" w:cs="Times New Roman"/>
          <w:b/>
          <w:bCs/>
          <w:sz w:val="32"/>
          <w:szCs w:val="32"/>
        </w:rPr>
      </w:pPr>
      <w:r>
        <w:rPr>
          <w:rFonts w:hint="eastAsia" w:ascii="Times New Roman" w:hAnsi="Times New Roman" w:eastAsia="仿宋_GB2312" w:cs="Times New Roman"/>
          <w:b/>
          <w:bCs/>
          <w:sz w:val="32"/>
          <w:szCs w:val="32"/>
          <w:lang w:val="en-US" w:eastAsia="zh-CN"/>
        </w:rPr>
        <w:t>2、</w:t>
      </w:r>
      <w:r>
        <w:rPr>
          <w:rFonts w:hint="eastAsia" w:ascii="Times New Roman" w:hAnsi="Times New Roman" w:eastAsia="仿宋_GB2312" w:cs="Times New Roman"/>
          <w:b/>
          <w:bCs/>
          <w:sz w:val="32"/>
          <w:szCs w:val="32"/>
        </w:rPr>
        <w:t>项目主要内容及实施情况：</w:t>
      </w:r>
    </w:p>
    <w:p>
      <w:pPr>
        <w:spacing w:line="60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项目主要内容：根据《关于开展第六批新疆少数民族科技骨干特殊培养工作的通知》（人社部发﹝2021﹞63号）相关要求，自治区质检院党委高度重视，召开专题会议，安排部署少数民族科技骨干特殊培养工作相关事宜，成立由院领导、行政办公室、食品所组成的特培工作领导小组，负责特培人员日常的各项工作。具体负责做好特培学员接收准备工作，做好特培学员培养管理工作，做好特培学员考核结业工作等。</w:t>
      </w:r>
    </w:p>
    <w:p>
      <w:pPr>
        <w:spacing w:line="600" w:lineRule="exact"/>
        <w:ind w:firstLine="640" w:firstLineChars="200"/>
        <w:rPr>
          <w:highlight w:val="none"/>
        </w:rPr>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w:t>
      </w:r>
      <w:r>
        <w:rPr>
          <w:rFonts w:eastAsia="仿宋_GB2312"/>
          <w:sz w:val="32"/>
          <w:szCs w:val="32"/>
          <w:highlight w:val="none"/>
        </w:rPr>
        <w:t>安全顺利进行。</w:t>
      </w:r>
    </w:p>
    <w:p>
      <w:pPr>
        <w:spacing w:line="600" w:lineRule="exact"/>
        <w:ind w:firstLine="640" w:firstLineChars="200"/>
        <w:rPr>
          <w:rFonts w:eastAsia="仿宋_GB2312"/>
          <w:sz w:val="32"/>
          <w:szCs w:val="32"/>
          <w:highlight w:val="none"/>
        </w:rPr>
      </w:pPr>
      <w:r>
        <w:rPr>
          <w:rFonts w:eastAsia="仿宋_GB2312"/>
          <w:sz w:val="32"/>
          <w:szCs w:val="32"/>
          <w:highlight w:val="none"/>
        </w:rPr>
        <w:t>本项目总投资</w:t>
      </w:r>
      <w:r>
        <w:rPr>
          <w:rFonts w:hint="eastAsia" w:eastAsia="仿宋_GB2312"/>
          <w:sz w:val="32"/>
          <w:szCs w:val="32"/>
          <w:highlight w:val="none"/>
          <w:lang w:val="en-US" w:eastAsia="zh-CN"/>
        </w:rPr>
        <w:t>5</w:t>
      </w:r>
      <w:r>
        <w:rPr>
          <w:rFonts w:eastAsia="仿宋_GB2312"/>
          <w:sz w:val="32"/>
          <w:szCs w:val="32"/>
          <w:highlight w:val="none"/>
        </w:rPr>
        <w:t>万元，其中：财政本级资金</w:t>
      </w:r>
      <w:r>
        <w:rPr>
          <w:rFonts w:hint="eastAsia" w:eastAsia="仿宋_GB2312"/>
          <w:sz w:val="32"/>
          <w:szCs w:val="32"/>
          <w:highlight w:val="none"/>
          <w:lang w:val="en-US" w:eastAsia="zh-CN"/>
        </w:rPr>
        <w:t>5</w:t>
      </w:r>
      <w:r>
        <w:rPr>
          <w:rFonts w:eastAsia="仿宋_GB2312"/>
          <w:sz w:val="32"/>
          <w:szCs w:val="32"/>
          <w:highlight w:val="none"/>
        </w:rPr>
        <w:t>万元。项目实际支出</w:t>
      </w:r>
      <w:r>
        <w:rPr>
          <w:rFonts w:hint="eastAsia" w:eastAsia="仿宋_GB2312"/>
          <w:sz w:val="32"/>
          <w:szCs w:val="32"/>
          <w:highlight w:val="none"/>
          <w:lang w:val="en-US" w:eastAsia="zh-CN"/>
        </w:rPr>
        <w:t>5</w:t>
      </w:r>
      <w:r>
        <w:rPr>
          <w:rFonts w:eastAsia="仿宋_GB2312"/>
          <w:sz w:val="32"/>
          <w:szCs w:val="32"/>
          <w:highlight w:val="none"/>
        </w:rPr>
        <w:t>万元，支出率为100%。</w:t>
      </w:r>
    </w:p>
    <w:p>
      <w:pPr>
        <w:spacing w:line="600" w:lineRule="exact"/>
        <w:ind w:firstLine="643" w:firstLineChars="200"/>
        <w:rPr>
          <w:rFonts w:eastAsia="仿宋_GB2312"/>
          <w:b/>
          <w:bCs/>
          <w:sz w:val="32"/>
          <w:szCs w:val="32"/>
          <w:highlight w:val="none"/>
        </w:rPr>
      </w:pPr>
      <w:r>
        <w:rPr>
          <w:rFonts w:eastAsia="仿宋_GB2312"/>
          <w:b/>
          <w:bCs/>
          <w:sz w:val="32"/>
          <w:szCs w:val="32"/>
          <w:highlight w:val="none"/>
        </w:rPr>
        <w:t>3、资金投入和使用情况</w:t>
      </w:r>
    </w:p>
    <w:p>
      <w:pPr>
        <w:spacing w:line="600" w:lineRule="exact"/>
        <w:ind w:firstLine="640" w:firstLineChars="200"/>
        <w:rPr>
          <w:rFonts w:hint="default" w:eastAsia="仿宋_GB2312"/>
          <w:sz w:val="20"/>
          <w:szCs w:val="20"/>
          <w:highlight w:val="none"/>
          <w:lang w:val="en-US" w:eastAsia="zh-CN"/>
        </w:rPr>
      </w:pPr>
      <w:r>
        <w:rPr>
          <w:rFonts w:eastAsia="仿宋_GB2312"/>
          <w:sz w:val="32"/>
          <w:szCs w:val="32"/>
          <w:highlight w:val="none"/>
        </w:rPr>
        <w:t>（1）资金</w:t>
      </w:r>
      <w:r>
        <w:rPr>
          <w:rFonts w:hint="eastAsia" w:eastAsia="仿宋_GB2312"/>
          <w:sz w:val="32"/>
          <w:szCs w:val="32"/>
          <w:highlight w:val="none"/>
          <w:lang w:val="en-US" w:eastAsia="zh-CN"/>
        </w:rPr>
        <w:t>投入情况</w:t>
      </w:r>
    </w:p>
    <w:p>
      <w:pPr>
        <w:spacing w:line="600" w:lineRule="exact"/>
        <w:ind w:firstLine="640" w:firstLineChars="200"/>
        <w:rPr>
          <w:rFonts w:hint="eastAsia" w:eastAsia="仿宋_GB2312"/>
          <w:sz w:val="32"/>
          <w:szCs w:val="32"/>
          <w:highlight w:val="none"/>
        </w:rPr>
      </w:pPr>
      <w:r>
        <w:rPr>
          <w:rFonts w:hint="eastAsia" w:eastAsia="仿宋_GB2312"/>
          <w:sz w:val="32"/>
          <w:szCs w:val="32"/>
          <w:highlight w:val="none"/>
        </w:rPr>
        <w:t>该项目年初预算数</w:t>
      </w:r>
      <w:r>
        <w:rPr>
          <w:rFonts w:hint="eastAsia" w:eastAsia="仿宋_GB2312"/>
          <w:sz w:val="32"/>
          <w:szCs w:val="32"/>
          <w:highlight w:val="none"/>
          <w:lang w:val="en-US" w:eastAsia="zh-CN"/>
        </w:rPr>
        <w:t>5</w:t>
      </w:r>
      <w:r>
        <w:rPr>
          <w:rFonts w:hint="eastAsia" w:eastAsia="仿宋_GB2312"/>
          <w:sz w:val="32"/>
          <w:szCs w:val="32"/>
          <w:highlight w:val="none"/>
        </w:rPr>
        <w:t>万元，全年预算数</w:t>
      </w:r>
      <w:r>
        <w:rPr>
          <w:rFonts w:hint="eastAsia" w:eastAsia="仿宋_GB2312"/>
          <w:sz w:val="32"/>
          <w:szCs w:val="32"/>
          <w:highlight w:val="none"/>
          <w:lang w:val="en-US" w:eastAsia="zh-CN"/>
        </w:rPr>
        <w:t>5</w:t>
      </w:r>
      <w:r>
        <w:rPr>
          <w:rFonts w:hint="eastAsia" w:eastAsia="仿宋_GB2312"/>
          <w:sz w:val="32"/>
          <w:szCs w:val="32"/>
          <w:highlight w:val="none"/>
        </w:rPr>
        <w:t>万元，实际总投入</w:t>
      </w:r>
      <w:r>
        <w:rPr>
          <w:rFonts w:hint="eastAsia" w:eastAsia="仿宋_GB2312"/>
          <w:sz w:val="32"/>
          <w:szCs w:val="32"/>
          <w:highlight w:val="none"/>
          <w:lang w:val="en-US" w:eastAsia="zh-CN"/>
        </w:rPr>
        <w:t>5</w:t>
      </w:r>
      <w:r>
        <w:rPr>
          <w:rFonts w:hint="eastAsia" w:eastAsia="仿宋_GB2312"/>
          <w:sz w:val="32"/>
          <w:szCs w:val="32"/>
          <w:highlight w:val="none"/>
        </w:rPr>
        <w:t>万元，该项目资金已全部落实到位（或该项目资金落实到位</w:t>
      </w:r>
      <w:r>
        <w:rPr>
          <w:rFonts w:hint="eastAsia" w:eastAsia="仿宋_GB2312"/>
          <w:sz w:val="32"/>
          <w:szCs w:val="32"/>
          <w:highlight w:val="none"/>
          <w:lang w:val="en-US" w:eastAsia="zh-CN"/>
        </w:rPr>
        <w:t>5</w:t>
      </w:r>
      <w:r>
        <w:rPr>
          <w:rFonts w:hint="eastAsia" w:eastAsia="仿宋_GB2312"/>
          <w:sz w:val="32"/>
          <w:szCs w:val="32"/>
          <w:highlight w:val="none"/>
        </w:rPr>
        <w:t>万元），资金来源为</w:t>
      </w:r>
      <w:r>
        <w:rPr>
          <w:rFonts w:hint="eastAsia" w:eastAsia="仿宋_GB2312"/>
          <w:sz w:val="32"/>
          <w:szCs w:val="32"/>
          <w:highlight w:val="none"/>
          <w:lang w:eastAsia="zh-CN"/>
        </w:rPr>
        <w:t>财政拨款</w:t>
      </w:r>
      <w:r>
        <w:rPr>
          <w:rFonts w:hint="eastAsia" w:eastAsia="仿宋_GB2312"/>
          <w:sz w:val="32"/>
          <w:szCs w:val="32"/>
          <w:highlight w:val="none"/>
        </w:rPr>
        <w:t>。</w:t>
      </w:r>
    </w:p>
    <w:p>
      <w:pPr>
        <w:spacing w:line="600" w:lineRule="exact"/>
        <w:ind w:firstLine="640" w:firstLineChars="200"/>
        <w:rPr>
          <w:rFonts w:eastAsia="仿宋_GB2312"/>
          <w:sz w:val="32"/>
          <w:szCs w:val="32"/>
          <w:highlight w:val="none"/>
        </w:rPr>
      </w:pPr>
      <w:r>
        <w:rPr>
          <w:rFonts w:eastAsia="仿宋_GB2312"/>
          <w:sz w:val="32"/>
          <w:szCs w:val="32"/>
          <w:highlight w:val="none"/>
        </w:rPr>
        <w:t>项目总投资</w:t>
      </w:r>
      <w:r>
        <w:rPr>
          <w:rFonts w:hint="eastAsia" w:eastAsia="仿宋_GB2312"/>
          <w:sz w:val="32"/>
          <w:szCs w:val="32"/>
          <w:highlight w:val="none"/>
          <w:lang w:val="en-US" w:eastAsia="zh-CN"/>
        </w:rPr>
        <w:t>5</w:t>
      </w:r>
      <w:r>
        <w:rPr>
          <w:rFonts w:eastAsia="仿宋_GB2312"/>
          <w:sz w:val="32"/>
          <w:szCs w:val="32"/>
          <w:highlight w:val="none"/>
        </w:rPr>
        <w:t>万元，</w:t>
      </w:r>
    </w:p>
    <w:p>
      <w:pPr>
        <w:spacing w:line="600" w:lineRule="exact"/>
        <w:ind w:firstLine="640" w:firstLineChars="200"/>
        <w:rPr>
          <w:rFonts w:eastAsia="仿宋_GB2312"/>
          <w:sz w:val="32"/>
          <w:szCs w:val="32"/>
        </w:rPr>
      </w:pPr>
      <w:r>
        <w:rPr>
          <w:rFonts w:eastAsia="仿宋_GB2312"/>
          <w:sz w:val="32"/>
          <w:szCs w:val="32"/>
        </w:rPr>
        <w:t>（2）资金使用情况</w:t>
      </w:r>
      <w:bookmarkStart w:id="0" w:name="page10"/>
      <w:bookmarkEnd w:id="0"/>
    </w:p>
    <w:p>
      <w:pPr>
        <w:spacing w:line="600" w:lineRule="exact"/>
        <w:ind w:firstLine="640" w:firstLineChars="200"/>
        <w:rPr>
          <w:rFonts w:hint="eastAsia" w:eastAsia="仿宋_GB2312"/>
          <w:sz w:val="32"/>
          <w:szCs w:val="32"/>
        </w:rPr>
      </w:pPr>
      <w:r>
        <w:rPr>
          <w:rFonts w:hint="eastAsia" w:eastAsia="仿宋_GB2312"/>
          <w:sz w:val="32"/>
          <w:szCs w:val="32"/>
        </w:rPr>
        <w:t>该项目年初预算数</w:t>
      </w:r>
      <w:r>
        <w:rPr>
          <w:rFonts w:hint="eastAsia" w:eastAsia="仿宋_GB2312"/>
          <w:sz w:val="32"/>
          <w:szCs w:val="32"/>
          <w:lang w:val="en-US" w:eastAsia="zh-CN"/>
        </w:rPr>
        <w:t>5</w:t>
      </w:r>
      <w:r>
        <w:rPr>
          <w:rFonts w:hint="eastAsia" w:eastAsia="仿宋_GB2312"/>
          <w:sz w:val="32"/>
          <w:szCs w:val="32"/>
        </w:rPr>
        <w:t>万元，全年预算数</w:t>
      </w:r>
      <w:r>
        <w:rPr>
          <w:rFonts w:hint="eastAsia" w:eastAsia="仿宋_GB2312"/>
          <w:sz w:val="32"/>
          <w:szCs w:val="32"/>
          <w:lang w:val="en-US" w:eastAsia="zh-CN"/>
        </w:rPr>
        <w:t>5</w:t>
      </w:r>
      <w:r>
        <w:rPr>
          <w:rFonts w:hint="eastAsia" w:eastAsia="仿宋_GB2312"/>
          <w:sz w:val="32"/>
          <w:szCs w:val="32"/>
        </w:rPr>
        <w:t>万元</w:t>
      </w:r>
      <w:r>
        <w:rPr>
          <w:rFonts w:hint="eastAsia" w:eastAsia="仿宋_GB2312"/>
          <w:sz w:val="32"/>
          <w:szCs w:val="32"/>
          <w:lang w:val="en-US" w:eastAsia="zh-CN"/>
        </w:rPr>
        <w:t>,</w:t>
      </w:r>
      <w:r>
        <w:rPr>
          <w:rFonts w:hint="eastAsia" w:eastAsia="仿宋_GB2312"/>
          <w:sz w:val="32"/>
          <w:szCs w:val="32"/>
        </w:rPr>
        <w:t>，全年执行数</w:t>
      </w:r>
      <w:r>
        <w:rPr>
          <w:rFonts w:hint="eastAsia" w:eastAsia="仿宋_GB2312"/>
          <w:sz w:val="32"/>
          <w:szCs w:val="32"/>
          <w:lang w:val="en-US" w:eastAsia="zh-CN"/>
        </w:rPr>
        <w:t>5</w:t>
      </w:r>
      <w:r>
        <w:rPr>
          <w:rFonts w:hint="eastAsia" w:eastAsia="仿宋_GB2312"/>
          <w:sz w:val="32"/>
          <w:szCs w:val="32"/>
        </w:rPr>
        <w:t>万元，预算执行率为</w:t>
      </w:r>
      <w:r>
        <w:rPr>
          <w:rFonts w:hint="eastAsia" w:eastAsia="仿宋_GB2312"/>
          <w:sz w:val="32"/>
          <w:szCs w:val="32"/>
          <w:lang w:val="en-US" w:eastAsia="zh-CN"/>
        </w:rPr>
        <w:t>100</w:t>
      </w:r>
      <w:r>
        <w:rPr>
          <w:rFonts w:hint="eastAsia" w:eastAsia="仿宋_GB2312"/>
          <w:sz w:val="32"/>
          <w:szCs w:val="32"/>
        </w:rPr>
        <w:t>%，主要用于：少数民族特</w:t>
      </w:r>
      <w:r>
        <w:rPr>
          <w:rFonts w:hint="eastAsia" w:eastAsia="仿宋_GB2312"/>
          <w:sz w:val="32"/>
          <w:szCs w:val="32"/>
          <w:lang w:eastAsia="zh-CN"/>
        </w:rPr>
        <w:t>培训</w:t>
      </w:r>
      <w:r>
        <w:rPr>
          <w:rFonts w:hint="eastAsia" w:eastAsia="仿宋_GB2312"/>
          <w:sz w:val="32"/>
          <w:szCs w:val="32"/>
        </w:rPr>
        <w:t>。</w:t>
      </w:r>
    </w:p>
    <w:p>
      <w:pPr>
        <w:spacing w:line="600" w:lineRule="exact"/>
        <w:ind w:firstLine="643" w:firstLineChars="200"/>
        <w:rPr>
          <w:rFonts w:eastAsia="楷体_GB2312"/>
          <w:b/>
          <w:bCs/>
          <w:sz w:val="32"/>
          <w:szCs w:val="32"/>
        </w:rPr>
      </w:pPr>
      <w:r>
        <w:rPr>
          <w:rFonts w:eastAsia="楷体_GB2312"/>
          <w:b/>
          <w:bCs/>
          <w:sz w:val="32"/>
          <w:szCs w:val="32"/>
        </w:rPr>
        <w:t>（二）项目绩效目标</w:t>
      </w:r>
    </w:p>
    <w:p>
      <w:pPr>
        <w:spacing w:line="600" w:lineRule="exact"/>
        <w:ind w:firstLine="640" w:firstLineChars="200"/>
        <w:rPr>
          <w:rFonts w:hint="eastAsia" w:eastAsia="仿宋_GB2312"/>
          <w:sz w:val="32"/>
          <w:szCs w:val="32"/>
          <w:lang w:eastAsia="zh-CN"/>
        </w:rPr>
      </w:pPr>
      <w:r>
        <w:rPr>
          <w:rFonts w:eastAsia="仿宋_GB2312"/>
          <w:sz w:val="32"/>
          <w:szCs w:val="32"/>
        </w:rPr>
        <w:t>1、总体目标</w:t>
      </w:r>
    </w:p>
    <w:p>
      <w:pPr>
        <w:spacing w:line="600" w:lineRule="exact"/>
        <w:ind w:firstLine="640" w:firstLineChars="200"/>
        <w:rPr>
          <w:rFonts w:hint="eastAsia" w:eastAsia="仿宋_GB2312"/>
          <w:sz w:val="32"/>
          <w:szCs w:val="32"/>
        </w:rPr>
      </w:pPr>
      <w:r>
        <w:rPr>
          <w:rFonts w:hint="eastAsia" w:eastAsia="仿宋_GB2312"/>
          <w:sz w:val="32"/>
          <w:szCs w:val="32"/>
        </w:rPr>
        <w:t>新疆少数民族科技骨干特殊培养工作是经国务院批准专门针对新疆少数民族科技骨干的一项特殊培养计划，是由中央财政和自治区财政支持的少数民族科技骨干培训项目。项目目标：通过开展特培工作，使学员普遍更新了观念，拓宽了视野，提高了专业理论水平、岗位实践能力和科技创新能力。广大学员充分发挥示范和带动作用，积极把握国内外最新科研前沿，将新思想、新观念、新知识、新技术运用到实践中，承担国家及自治区重大科研项目，取得了一批高水平的科研成果，有力推动了新疆科技进步与创新</w:t>
      </w:r>
      <w:r>
        <w:rPr>
          <w:rFonts w:hint="eastAsia" w:eastAsia="仿宋_GB2312"/>
          <w:sz w:val="32"/>
          <w:szCs w:val="32"/>
          <w:lang w:eastAsia="zh-CN"/>
        </w:rPr>
        <w:t>。</w:t>
      </w:r>
      <w:r>
        <w:rPr>
          <w:rFonts w:hint="eastAsia" w:eastAsia="仿宋_GB2312"/>
          <w:sz w:val="32"/>
          <w:szCs w:val="32"/>
        </w:rPr>
        <w:t>不仅是实施人才强国战略，加强新疆少数民族人才队伍建设的一项重要举措，更是提高新疆自主创新能力，实现经济社会发展的现实要求。同时造就一支适应新疆经济社会发展需要的少数民族高层次专业技术人才队伍。</w:t>
      </w:r>
    </w:p>
    <w:p>
      <w:pPr>
        <w:spacing w:line="600" w:lineRule="exact"/>
        <w:ind w:firstLine="640" w:firstLineChars="200"/>
        <w:rPr>
          <w:rFonts w:eastAsia="楷体"/>
          <w:b/>
          <w:spacing w:val="-4"/>
          <w:sz w:val="32"/>
          <w:szCs w:val="32"/>
        </w:rPr>
      </w:pPr>
      <w:r>
        <w:rPr>
          <w:rFonts w:eastAsia="仿宋_GB2312"/>
          <w:sz w:val="32"/>
          <w:szCs w:val="32"/>
        </w:rPr>
        <w:t>2、阶段性目标</w:t>
      </w:r>
    </w:p>
    <w:p>
      <w:pPr>
        <w:spacing w:line="60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pPr>
        <w:spacing w:line="60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（2）组织实施：资金一到位，立即根据项目要求实施项目。项目责任人按照项目实施方案要求逐一进行项目部署安排，提高项目质量及效率性。</w:t>
      </w:r>
    </w:p>
    <w:p>
      <w:pPr>
        <w:spacing w:line="600" w:lineRule="exact"/>
        <w:ind w:firstLine="640" w:firstLineChars="200"/>
        <w:rPr>
          <w:rFonts w:eastAsia="黑体"/>
          <w:sz w:val="32"/>
          <w:szCs w:val="32"/>
        </w:rPr>
      </w:pPr>
      <w:r>
        <w:rPr>
          <w:rFonts w:eastAsia="黑体"/>
          <w:sz w:val="32"/>
          <w:szCs w:val="32"/>
        </w:rPr>
        <w:t>二、绩效评价工作开展情况</w:t>
      </w:r>
    </w:p>
    <w:p>
      <w:pPr>
        <w:spacing w:line="600" w:lineRule="exact"/>
        <w:ind w:firstLine="643" w:firstLineChars="200"/>
        <w:rPr>
          <w:rFonts w:eastAsia="楷体_GB2312"/>
          <w:b/>
          <w:bCs/>
          <w:sz w:val="32"/>
          <w:szCs w:val="32"/>
        </w:rPr>
      </w:pPr>
      <w:r>
        <w:rPr>
          <w:rFonts w:eastAsia="楷体_GB2312"/>
          <w:b/>
          <w:bCs/>
          <w:sz w:val="32"/>
          <w:szCs w:val="32"/>
        </w:rPr>
        <w:t>（一）绩效评价目的、对象和范围</w:t>
      </w:r>
    </w:p>
    <w:p>
      <w:pPr>
        <w:pStyle w:val="18"/>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60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1"/>
        </w:numPr>
        <w:spacing w:line="60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600" w:lineRule="exact"/>
        <w:ind w:firstLine="640" w:firstLineChars="200"/>
        <w:rPr>
          <w:rFonts w:eastAsia="仿宋_GB2312"/>
          <w:sz w:val="32"/>
          <w:szCs w:val="32"/>
        </w:rPr>
      </w:pPr>
      <w:r>
        <w:rPr>
          <w:rFonts w:eastAsia="仿宋_GB2312"/>
          <w:sz w:val="32"/>
          <w:szCs w:val="32"/>
        </w:rPr>
        <w:t>（2）项目绩效管理财政支出运行提供及时、有效的信息。</w:t>
      </w:r>
    </w:p>
    <w:p>
      <w:pPr>
        <w:spacing w:line="600" w:lineRule="exact"/>
        <w:ind w:firstLine="640" w:firstLineChars="200"/>
        <w:rPr>
          <w:rFonts w:eastAsia="仿宋_GB2312"/>
          <w:sz w:val="32"/>
          <w:szCs w:val="32"/>
        </w:rPr>
      </w:pPr>
      <w:r>
        <w:rPr>
          <w:rFonts w:eastAsia="仿宋_GB2312"/>
          <w:sz w:val="32"/>
          <w:szCs w:val="32"/>
        </w:rPr>
        <w:t>综合来看，通过开展有效的财政支出绩效评价管理，达到改进预算管理、控制节约成本，提高预算资金使用效益的目的。</w:t>
      </w:r>
    </w:p>
    <w:p>
      <w:pPr>
        <w:pStyle w:val="18"/>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76"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少数民族特培专项项目所包含的全部项目建设内容。</w:t>
      </w:r>
    </w:p>
    <w:p>
      <w:pPr>
        <w:pStyle w:val="18"/>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spacing w:line="576"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none"/>
        </w:rPr>
        <w:t>本次评价从项目决策（包括绩效目标、决策过程）、项目管理（包括项目资金、项目实施）、项目产出（包括项目产出数量、产出质量、产出时效和产出成本）项目效益四个维度对少数民族特培专项</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进行评价，评价核心为专项资金的支出完成情况和效果。</w:t>
      </w:r>
    </w:p>
    <w:p>
      <w:pPr>
        <w:spacing w:line="600" w:lineRule="exact"/>
        <w:ind w:firstLine="643" w:firstLineChars="200"/>
      </w:pPr>
      <w:r>
        <w:rPr>
          <w:rFonts w:eastAsia="楷体_GB2312"/>
          <w:b/>
          <w:bCs/>
          <w:sz w:val="32"/>
          <w:szCs w:val="32"/>
        </w:rPr>
        <w:t>（二）绩效评价原则、评价指标体系（详情见表1）、评价方法、评价标准。</w:t>
      </w:r>
    </w:p>
    <w:p>
      <w:pPr>
        <w:pStyle w:val="18"/>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60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18"/>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18"/>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18"/>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18"/>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18"/>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60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确定各个指标相对于项目总体绩效的权重分值。在绩效评价指标体系中，项目决策权重为5分，项目过程权重为5分，项目产出权重为50分，项目效益权重为40分。</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8"/>
        <w:spacing w:before="0" w:after="0" w:line="60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18"/>
        <w:widowControl w:val="0"/>
        <w:spacing w:before="0" w:after="0" w:line="60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18"/>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600" w:lineRule="exact"/>
        <w:ind w:firstLine="708" w:firstLineChars="200"/>
        <w:rPr>
          <w:rFonts w:hint="eastAsia" w:eastAsia="仿宋_GB2312"/>
          <w:color w:val="000000"/>
          <w:spacing w:val="17"/>
          <w:sz w:val="32"/>
          <w:szCs w:val="32"/>
          <w:highlight w:val="none"/>
          <w:lang w:eastAsia="zh-CN"/>
        </w:rPr>
      </w:pPr>
      <w:r>
        <w:rPr>
          <w:rFonts w:eastAsia="仿宋_GB2312"/>
          <w:color w:val="000000"/>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pPr>
        <w:spacing w:line="60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（1）比较法</w:t>
      </w:r>
    </w:p>
    <w:p>
      <w:pPr>
        <w:spacing w:line="60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通过对绩效目标与实施效果、历史与当期情况，综合分析绩效目标实现程度。对</w:t>
      </w:r>
      <w:r>
        <w:rPr>
          <w:rFonts w:eastAsia="仿宋_GB2312"/>
          <w:sz w:val="32"/>
          <w:szCs w:val="32"/>
          <w:highlight w:val="none"/>
        </w:rPr>
        <w:t>项目</w:t>
      </w:r>
      <w:r>
        <w:rPr>
          <w:rFonts w:eastAsia="仿宋_GB2312"/>
          <w:color w:val="000000"/>
          <w:spacing w:val="17"/>
          <w:sz w:val="32"/>
          <w:szCs w:val="32"/>
          <w:highlight w:val="none"/>
        </w:rPr>
        <w:t>最终验收情况与年度绩效目标对比、预算资金执行情况等相关因素进行比较。</w:t>
      </w:r>
    </w:p>
    <w:p>
      <w:pPr>
        <w:spacing w:line="60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（2）因素分析法</w:t>
      </w:r>
    </w:p>
    <w:p>
      <w:pPr>
        <w:spacing w:line="60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通过综合分析影响绩效目标实现、实施效果的内外因素，评价绩效目标实现程度。通过对</w:t>
      </w:r>
      <w:r>
        <w:rPr>
          <w:rFonts w:eastAsia="仿宋_GB2312"/>
          <w:sz w:val="32"/>
          <w:szCs w:val="32"/>
          <w:highlight w:val="none"/>
        </w:rPr>
        <w:t>项目</w:t>
      </w:r>
      <w:r>
        <w:rPr>
          <w:rFonts w:eastAsia="仿宋_GB2312"/>
          <w:color w:val="000000"/>
          <w:spacing w:val="17"/>
          <w:sz w:val="32"/>
          <w:szCs w:val="32"/>
          <w:highlight w:val="none"/>
        </w:rPr>
        <w:t>的开展情况、项目产出数量、成本控制、资金拨付文件及自评报告等相关资料的收集和审核，综合分析各因素对绩效目标实现的影响。</w:t>
      </w:r>
    </w:p>
    <w:p>
      <w:pPr>
        <w:pStyle w:val="18"/>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600" w:lineRule="exact"/>
        <w:ind w:firstLine="708" w:firstLineChars="200"/>
        <w:rPr>
          <w:rFonts w:eastAsia="仿宋_GB2312"/>
          <w:color w:val="000000"/>
          <w:spacing w:val="17"/>
          <w:sz w:val="32"/>
          <w:szCs w:val="32"/>
          <w:highlight w:val="none"/>
        </w:rPr>
      </w:pPr>
      <w:r>
        <w:rPr>
          <w:rFonts w:eastAsia="仿宋_GB2312"/>
          <w:color w:val="000000"/>
          <w:spacing w:val="17"/>
          <w:sz w:val="32"/>
          <w:szCs w:val="32"/>
        </w:rPr>
        <w:t>绩效评价标准通常包括计划标</w:t>
      </w:r>
      <w:r>
        <w:rPr>
          <w:rFonts w:eastAsia="仿宋_GB2312"/>
          <w:color w:val="000000"/>
          <w:spacing w:val="17"/>
          <w:sz w:val="32"/>
          <w:szCs w:val="32"/>
          <w:highlight w:val="none"/>
        </w:rPr>
        <w:t>准、行业标准、历史标准等，用于对绩效指标完成情况进行比较。本次评价主要采用了计划标准和行业标准。</w:t>
      </w:r>
    </w:p>
    <w:p>
      <w:pPr>
        <w:pStyle w:val="18"/>
        <w:numPr>
          <w:ilvl w:val="0"/>
          <w:numId w:val="2"/>
        </w:numPr>
        <w:spacing w:before="0" w:after="0" w:line="60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numPr>
          <w:ilvl w:val="0"/>
          <w:numId w:val="3"/>
        </w:numPr>
        <w:spacing w:line="600" w:lineRule="exact"/>
        <w:ind w:firstLine="640" w:firstLineChars="200"/>
        <w:rPr>
          <w:rFonts w:eastAsia="仿宋_GB2312"/>
          <w:bCs/>
          <w:sz w:val="32"/>
          <w:szCs w:val="32"/>
        </w:rPr>
      </w:pP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numPr>
          <w:ilvl w:val="0"/>
          <w:numId w:val="3"/>
        </w:numPr>
        <w:spacing w:line="600" w:lineRule="exact"/>
        <w:ind w:firstLine="640" w:firstLineChars="200"/>
        <w:rPr>
          <w:rFonts w:eastAsia="仿宋_GB2312"/>
          <w:bCs/>
          <w:sz w:val="32"/>
          <w:szCs w:val="32"/>
        </w:rPr>
      </w:pP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numPr>
          <w:ilvl w:val="0"/>
          <w:numId w:val="3"/>
        </w:numPr>
        <w:spacing w:line="600" w:lineRule="exact"/>
        <w:ind w:firstLine="640" w:firstLineChars="200"/>
        <w:rPr>
          <w:sz w:val="32"/>
          <w:szCs w:val="32"/>
        </w:rPr>
      </w:pP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4"/>
        </w:numPr>
        <w:spacing w:line="600" w:lineRule="exact"/>
        <w:ind w:firstLine="640" w:firstLineChars="200"/>
        <w:rPr>
          <w:rFonts w:eastAsia="黑体"/>
          <w:sz w:val="32"/>
          <w:szCs w:val="32"/>
        </w:rPr>
      </w:pPr>
      <w:r>
        <w:rPr>
          <w:rFonts w:eastAsia="黑体"/>
          <w:sz w:val="32"/>
          <w:szCs w:val="32"/>
        </w:rPr>
        <w:t>综合评价情况及评价结论（附相关评分表）</w:t>
      </w:r>
    </w:p>
    <w:p>
      <w:pPr>
        <w:pStyle w:val="18"/>
        <w:widowControl w:val="0"/>
        <w:spacing w:before="0" w:after="0" w:line="600" w:lineRule="exact"/>
        <w:ind w:firstLine="640" w:firstLineChars="200"/>
        <w:jc w:val="both"/>
        <w:outlineLvl w:val="9"/>
        <w:rPr>
          <w:rFonts w:ascii="Times New Roman" w:hAnsi="Times New Roman" w:eastAsia="仿宋_GB2312"/>
          <w:sz w:val="30"/>
          <w:szCs w:val="30"/>
        </w:rPr>
      </w:pPr>
      <w:r>
        <w:rPr>
          <w:rFonts w:ascii="Times New Roman" w:hAnsi="Times New Roman" w:eastAsia="仿宋_GB2312"/>
          <w:b w:val="0"/>
          <w:bCs w:val="0"/>
        </w:rPr>
        <w:t>对</w:t>
      </w:r>
      <w:r>
        <w:rPr>
          <w:rFonts w:hint="eastAsia" w:ascii="Times New Roman" w:hAnsi="Times New Roman" w:eastAsia="仿宋_GB2312"/>
          <w:b w:val="0"/>
          <w:bCs w:val="0"/>
          <w:highlight w:val="none"/>
        </w:rPr>
        <w:t>少数民族特培专项</w:t>
      </w:r>
      <w:r>
        <w:rPr>
          <w:rFonts w:ascii="Times New Roman" w:hAnsi="Times New Roman" w:eastAsia="仿宋_GB2312"/>
          <w:b w:val="0"/>
          <w:bCs w:val="0"/>
          <w:highlight w:val="none"/>
        </w:rPr>
        <w:t xml:space="preserve">项目进行客观评价，最终评分结果：总得分为 </w:t>
      </w:r>
      <w:r>
        <w:rPr>
          <w:rFonts w:hint="eastAsia" w:ascii="Times New Roman" w:hAnsi="Times New Roman" w:eastAsia="仿宋_GB2312"/>
          <w:b w:val="0"/>
          <w:bCs w:val="0"/>
          <w:highlight w:val="none"/>
          <w:lang w:val="en-US" w:eastAsia="zh-CN"/>
        </w:rPr>
        <w:t>97.8</w:t>
      </w:r>
      <w:r>
        <w:rPr>
          <w:rFonts w:ascii="Times New Roman" w:hAnsi="Times New Roman" w:eastAsia="仿宋_GB2312"/>
          <w:b w:val="0"/>
          <w:bCs w:val="0"/>
          <w:highlight w:val="none"/>
        </w:rPr>
        <w:t>分，属于“优”。其中，项目决策类指标权重为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 xml:space="preserve">分，得分为 </w:t>
      </w:r>
      <w:r>
        <w:rPr>
          <w:rFonts w:hint="eastAsia" w:ascii="Times New Roman" w:hAnsi="Times New Roman" w:eastAsia="仿宋_GB2312"/>
          <w:b w:val="0"/>
          <w:bCs w:val="0"/>
          <w:highlight w:val="none"/>
          <w:lang w:val="en-US" w:eastAsia="zh-CN"/>
        </w:rPr>
        <w:t>19.6</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98</w:t>
      </w:r>
      <w:r>
        <w:rPr>
          <w:rFonts w:ascii="Times New Roman" w:hAnsi="Times New Roman" w:eastAsia="仿宋_GB2312"/>
          <w:b w:val="0"/>
          <w:bCs w:val="0"/>
          <w:highlight w:val="none"/>
        </w:rPr>
        <w:t>%。项目过程类指标权重为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19.2</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96</w:t>
      </w:r>
      <w:r>
        <w:rPr>
          <w:rFonts w:ascii="Times New Roman" w:hAnsi="Times New Roman" w:eastAsia="仿宋_GB2312"/>
          <w:b w:val="0"/>
          <w:bCs w:val="0"/>
          <w:highlight w:val="none"/>
        </w:rPr>
        <w:t>%。项目产出类指标权重为</w:t>
      </w:r>
      <w:r>
        <w:rPr>
          <w:rFonts w:hint="eastAsia" w:ascii="Times New Roman" w:hAnsi="Times New Roman" w:eastAsia="仿宋_GB2312"/>
          <w:b w:val="0"/>
          <w:bCs w:val="0"/>
          <w:highlight w:val="none"/>
        </w:rPr>
        <w:t>40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40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%。项目效益类指标权重为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19</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95</w:t>
      </w:r>
      <w:r>
        <w:rPr>
          <w:rFonts w:ascii="Times New Roman" w:hAnsi="Times New Roman" w:eastAsia="仿宋_GB2312"/>
          <w:b w:val="0"/>
          <w:bCs w:val="0"/>
          <w:highlight w:val="none"/>
        </w:rPr>
        <w:t>%。</w:t>
      </w:r>
    </w:p>
    <w:p>
      <w:pPr>
        <w:pStyle w:val="18"/>
        <w:rPr>
          <w:rFonts w:ascii="Times New Roman" w:hAnsi="Times New Roman" w:eastAsia="仿宋_GB2312"/>
          <w:sz w:val="30"/>
          <w:szCs w:val="30"/>
        </w:rPr>
      </w:pPr>
      <w:r>
        <w:rPr>
          <w:rFonts w:ascii="Times New Roman" w:hAnsi="Times New Roman" w:eastAsia="仿宋_GB2312"/>
          <w:sz w:val="30"/>
          <w:szCs w:val="30"/>
        </w:rPr>
        <w:t>表1综合评分表</w:t>
      </w:r>
    </w:p>
    <w:p/>
    <w:p/>
    <w:tbl>
      <w:tblPr>
        <w:tblStyle w:val="21"/>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b/>
                <w:bCs/>
                <w:color w:val="000000"/>
                <w:kern w:val="0"/>
                <w:sz w:val="22"/>
                <w:szCs w:val="22"/>
              </w:rPr>
            </w:pPr>
            <w:r>
              <w:rPr>
                <w:b/>
                <w:bCs/>
                <w:color w:val="000000"/>
                <w:kern w:val="0"/>
                <w:sz w:val="22"/>
                <w:szCs w:val="22"/>
              </w:rPr>
              <w:t>一级指标</w:t>
            </w:r>
          </w:p>
        </w:tc>
        <w:tc>
          <w:tcPr>
            <w:tcW w:w="990"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p>
            <w:pPr>
              <w:widowControl/>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充分</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充分</w:t>
            </w:r>
          </w:p>
        </w:tc>
        <w:tc>
          <w:tcPr>
            <w:tcW w:w="1215" w:type="dxa"/>
            <w:shd w:val="clear" w:color="auto"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规范</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规范</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明确</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明确</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科学</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科学</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90%</w:t>
            </w:r>
          </w:p>
        </w:tc>
        <w:tc>
          <w:tcPr>
            <w:tcW w:w="960" w:type="dxa"/>
            <w:shd w:val="clear" w:color="auto"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3.6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p>
            <w:pPr>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continue"/>
            <w:shd w:val="clear" w:color="auto" w:fill="FFFFFF"/>
            <w:vAlign w:val="center"/>
          </w:tcPr>
          <w:p>
            <w:pPr>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合格</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合格</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健全</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健全</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90%</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3.6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90%</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3.6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40</w:t>
            </w:r>
            <w:r>
              <w:rPr>
                <w:kern w:val="0"/>
                <w:sz w:val="22"/>
                <w:szCs w:val="22"/>
              </w:rPr>
              <w:t>分</w:t>
            </w: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及时</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及时</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20</w:t>
            </w:r>
            <w:r>
              <w:rPr>
                <w:color w:val="000000"/>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p>
            <w:pPr>
              <w:widowControl/>
              <w:spacing w:line="0" w:lineRule="atLeast"/>
              <w:jc w:val="center"/>
              <w:rPr>
                <w:color w:val="000000"/>
                <w:kern w:val="0"/>
                <w:sz w:val="22"/>
                <w:szCs w:val="22"/>
              </w:rPr>
            </w:pPr>
            <w:r>
              <w:rPr>
                <w:color w:val="000000"/>
                <w:kern w:val="0"/>
                <w:sz w:val="22"/>
                <w:szCs w:val="22"/>
              </w:rPr>
              <w:t>（社会效益、经济效益、可持续效益）</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15</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95%</w:t>
            </w:r>
          </w:p>
        </w:tc>
        <w:tc>
          <w:tcPr>
            <w:tcW w:w="960" w:type="dxa"/>
            <w:shd w:val="clear" w:color="auto"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14.25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5</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w:t>
            </w:r>
            <w:r>
              <w:rPr>
                <w:rFonts w:hint="eastAsia"/>
                <w:color w:val="000000"/>
                <w:kern w:val="0"/>
                <w:sz w:val="22"/>
                <w:szCs w:val="22"/>
                <w:highlight w:val="none"/>
                <w:lang w:val="en-US" w:eastAsia="zh-CN"/>
              </w:rPr>
              <w:t>90</w:t>
            </w:r>
            <w:r>
              <w:rPr>
                <w:color w:val="000000"/>
                <w:kern w:val="0"/>
                <w:sz w:val="22"/>
                <w:szCs w:val="22"/>
                <w:highlight w:val="none"/>
              </w:rPr>
              <w:t>%</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95</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95%</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4.75</w:t>
            </w:r>
          </w:p>
        </w:tc>
      </w:tr>
    </w:tbl>
    <w:p>
      <w:pPr>
        <w:spacing w:line="600" w:lineRule="exact"/>
        <w:ind w:firstLine="320" w:firstLineChars="100"/>
        <w:rPr>
          <w:rFonts w:eastAsia="黑体"/>
          <w:sz w:val="32"/>
          <w:szCs w:val="32"/>
        </w:rPr>
      </w:pPr>
      <w:r>
        <w:rPr>
          <w:rFonts w:eastAsia="黑体"/>
          <w:sz w:val="32"/>
          <w:szCs w:val="32"/>
        </w:rPr>
        <w:t>四、绩效评价指标分析</w:t>
      </w:r>
    </w:p>
    <w:p>
      <w:pPr>
        <w:pStyle w:val="18"/>
        <w:ind w:firstLine="321" w:firstLineChars="100"/>
        <w:jc w:val="both"/>
        <w:rPr>
          <w:rFonts w:ascii="Times New Roman" w:hAnsi="Times New Roman" w:eastAsia="楷体_GB2312"/>
        </w:rPr>
      </w:pPr>
      <w:r>
        <w:rPr>
          <w:rFonts w:ascii="Times New Roman" w:hAnsi="Times New Roman" w:eastAsia="楷体_GB2312"/>
        </w:rPr>
        <w:t>（一）项目决策情况</w:t>
      </w:r>
    </w:p>
    <w:p>
      <w:pPr>
        <w:spacing w:line="600" w:lineRule="exact"/>
        <w:ind w:firstLine="640" w:firstLineChars="200"/>
        <w:outlineLvl w:val="0"/>
      </w:pPr>
      <w:r>
        <w:rPr>
          <w:rFonts w:hint="eastAsia" w:ascii="仿宋_GB2312" w:hAnsi="仿宋_GB2312" w:eastAsia="仿宋_GB2312" w:cs="仿宋_GB2312"/>
          <w:sz w:val="32"/>
          <w:szCs w:val="32"/>
        </w:rPr>
        <w:t>项目立项符合法律法规、相关政策及部门职责，能反映和考核项目立项依据情况，项目申请、设立过程符合相关要求，能反映和考核项目立项的规范情况，所设定的绩效目标依据充分，符合客观实际，能反映和考核项目绩效目标与项目实施的相符情况，依据绩效目标设定的绩效指标清晰、细化、可衡量，能反映和考核项目绩效目标的明细化情况。</w:t>
      </w:r>
    </w:p>
    <w:p>
      <w:pPr>
        <w:pStyle w:val="18"/>
        <w:ind w:firstLine="321" w:firstLineChars="100"/>
        <w:jc w:val="both"/>
        <w:rPr>
          <w:rFonts w:ascii="Times New Roman" w:hAnsi="Times New Roman" w:eastAsia="楷体_GB2312"/>
        </w:rPr>
      </w:pPr>
      <w:r>
        <w:rPr>
          <w:rFonts w:hint="eastAsia" w:ascii="Times New Roman" w:hAnsi="Times New Roman" w:eastAsia="楷体_GB2312"/>
        </w:rPr>
        <w:t>（二）</w:t>
      </w:r>
      <w:r>
        <w:rPr>
          <w:rFonts w:ascii="Times New Roman" w:hAnsi="Times New Roman" w:eastAsia="楷体_GB2312"/>
        </w:rPr>
        <w:t>项目过程情况</w:t>
      </w:r>
    </w:p>
    <w:p>
      <w:pPr>
        <w:spacing w:line="600" w:lineRule="exact"/>
        <w:ind w:firstLine="640" w:firstLineChars="200"/>
        <w:outlineLvl w:val="0"/>
        <w:rPr>
          <w:rFonts w:eastAsia="仿宋_GB2312"/>
          <w:sz w:val="32"/>
          <w:szCs w:val="32"/>
        </w:rPr>
      </w:pPr>
      <w:r>
        <w:rPr>
          <w:rFonts w:hint="eastAsia" w:ascii="仿宋_GB2312" w:hAnsi="仿宋_GB2312" w:eastAsia="仿宋_GB2312" w:cs="仿宋_GB2312"/>
          <w:sz w:val="32"/>
          <w:szCs w:val="32"/>
          <w:highlight w:val="none"/>
        </w:rPr>
        <w:t>本项目</w:t>
      </w:r>
      <w:r>
        <w:rPr>
          <w:rFonts w:hint="eastAsia" w:ascii="仿宋_GB2312" w:hAnsi="仿宋_GB2312" w:eastAsia="仿宋_GB2312" w:cs="仿宋_GB2312"/>
          <w:sz w:val="32"/>
          <w:szCs w:val="32"/>
          <w:highlight w:val="none"/>
          <w:lang w:val="en-US" w:eastAsia="zh-CN"/>
        </w:rPr>
        <w:t>总投资5万元，</w:t>
      </w:r>
      <w:r>
        <w:rPr>
          <w:rFonts w:hint="eastAsia" w:ascii="仿宋_GB2312" w:hAnsi="仿宋_GB2312" w:eastAsia="仿宋_GB2312" w:cs="仿宋_GB2312"/>
          <w:sz w:val="32"/>
          <w:szCs w:val="32"/>
          <w:highlight w:val="none"/>
        </w:rPr>
        <w:t>资金的到位率</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%，执行率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rPr>
        <w:t>项目严格按照预期绩效目标执行预算资金。</w:t>
      </w:r>
      <w:r>
        <w:rPr>
          <w:rFonts w:eastAsia="仿宋_GB2312"/>
          <w:sz w:val="32"/>
          <w:szCs w:val="32"/>
        </w:rPr>
        <w:t>在项目资金拨付和使用过程中，为确保项目资金的安全性，提高项目资金使用效率，严格遵循</w:t>
      </w:r>
      <w:r>
        <w:rPr>
          <w:rFonts w:hint="eastAsia" w:eastAsia="仿宋_GB2312"/>
          <w:sz w:val="32"/>
          <w:szCs w:val="32"/>
          <w:highlight w:val="none"/>
          <w:lang w:eastAsia="zh-CN"/>
        </w:rPr>
        <w:t>财政拨款</w:t>
      </w:r>
      <w:r>
        <w:rPr>
          <w:rFonts w:eastAsia="仿宋_GB2312"/>
          <w:sz w:val="32"/>
          <w:szCs w:val="32"/>
          <w:highlight w:val="none"/>
        </w:rPr>
        <w:t>资金的拨付程序，认真审核项目实施各阶段的相关材料和手续，根据项目实施</w:t>
      </w:r>
      <w:r>
        <w:rPr>
          <w:rFonts w:eastAsia="仿宋_GB2312"/>
          <w:sz w:val="32"/>
          <w:szCs w:val="32"/>
        </w:rPr>
        <w:t>进展情况拨付资金。</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8"/>
        <w:ind w:firstLine="321" w:firstLineChars="100"/>
        <w:jc w:val="both"/>
        <w:rPr>
          <w:rFonts w:ascii="Times New Roman" w:hAnsi="Times New Roman" w:eastAsia="楷体_GB2312"/>
        </w:rPr>
      </w:pPr>
      <w:r>
        <w:rPr>
          <w:rFonts w:hint="eastAsia" w:ascii="Times New Roman" w:hAnsi="Times New Roman" w:eastAsia="楷体_GB2312"/>
        </w:rPr>
        <w:t>（三）</w:t>
      </w:r>
      <w:r>
        <w:rPr>
          <w:rFonts w:ascii="Times New Roman" w:hAnsi="Times New Roman" w:eastAsia="楷体_GB2312"/>
        </w:rPr>
        <w:t>项目产出</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指标1：发表论文数量，指标值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≥1篇 ，实际完成值：≥1篇 ，指标完成率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指标2：参与专利申请，指标值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≥1项 ，实际完成值：≥1项 ，指标完成率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：完成样品前处理，指标值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≥17000批次 ，实际完成值：</w:t>
      </w:r>
      <w:r>
        <w:rPr>
          <w:rFonts w:hint="eastAsia" w:ascii="仿宋_GB2312" w:hAnsi="仿宋_GB2312" w:eastAsia="仿宋_GB2312" w:cs="仿宋_GB2312"/>
          <w:sz w:val="32"/>
          <w:szCs w:val="32"/>
          <w:lang w:val="en-US" w:eastAsia="zh-CN"/>
        </w:rPr>
        <w:t>17000</w:t>
      </w:r>
      <w:r>
        <w:rPr>
          <w:rFonts w:hint="eastAsia" w:ascii="仿宋_GB2312" w:hAnsi="仿宋_GB2312" w:eastAsia="仿宋_GB2312" w:cs="仿宋_GB2312"/>
          <w:sz w:val="32"/>
          <w:szCs w:val="32"/>
        </w:rPr>
        <w:t>批次 ，指标完成率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pStyle w:val="2"/>
        <w:ind w:firstLine="640" w:firstLineChars="200"/>
        <w:rPr>
          <w:rFonts w:hint="eastAsia"/>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：上机检测，指标值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≥17000批次 ，实际完成值：</w:t>
      </w:r>
      <w:r>
        <w:rPr>
          <w:rFonts w:hint="eastAsia" w:ascii="仿宋_GB2312" w:hAnsi="仿宋_GB2312" w:eastAsia="仿宋_GB2312" w:cs="仿宋_GB2312"/>
          <w:sz w:val="32"/>
          <w:szCs w:val="32"/>
          <w:lang w:val="en-US" w:eastAsia="zh-CN"/>
        </w:rPr>
        <w:t>17000</w:t>
      </w:r>
      <w:r>
        <w:rPr>
          <w:rFonts w:hint="eastAsia" w:ascii="仿宋_GB2312" w:hAnsi="仿宋_GB2312" w:eastAsia="仿宋_GB2312" w:cs="仿宋_GB2312"/>
          <w:sz w:val="32"/>
          <w:szCs w:val="32"/>
        </w:rPr>
        <w:t>批次 ，指标完成率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②</w:t>
      </w:r>
      <w:r>
        <w:rPr>
          <w:rFonts w:hint="eastAsia" w:ascii="仿宋_GB2312" w:hAnsi="仿宋_GB2312" w:eastAsia="仿宋_GB2312" w:cs="仿宋_GB2312"/>
          <w:sz w:val="32"/>
          <w:szCs w:val="32"/>
        </w:rPr>
        <w:t>时效指标：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指标1：培训完成时间，指标值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2022年8月</w:t>
      </w:r>
      <w:r>
        <w:rPr>
          <w:rFonts w:hint="eastAsia" w:ascii="仿宋_GB2312" w:hAnsi="仿宋_GB2312" w:eastAsia="仿宋_GB2312" w:cs="仿宋_GB2312"/>
          <w:sz w:val="32"/>
          <w:szCs w:val="32"/>
        </w:rPr>
        <w:t xml:space="preserve"> ，实际完成值：</w:t>
      </w:r>
      <w:r>
        <w:rPr>
          <w:rFonts w:hint="eastAsia" w:ascii="仿宋_GB2312" w:hAnsi="仿宋_GB2312" w:eastAsia="仿宋_GB2312" w:cs="仿宋_GB2312"/>
          <w:sz w:val="32"/>
          <w:szCs w:val="32"/>
          <w:lang w:val="en-US" w:eastAsia="zh-CN"/>
        </w:rPr>
        <w:t>2022年8月</w:t>
      </w:r>
      <w:r>
        <w:rPr>
          <w:rFonts w:hint="eastAsia" w:ascii="仿宋_GB2312" w:hAnsi="仿宋_GB2312" w:eastAsia="仿宋_GB2312" w:cs="仿宋_GB2312"/>
          <w:sz w:val="32"/>
          <w:szCs w:val="32"/>
        </w:rPr>
        <w:t xml:space="preserve"> ，指标完成率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4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④</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成本指标：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指标1：培养经费成本，指标值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5万元</w:t>
      </w:r>
      <w:r>
        <w:rPr>
          <w:rFonts w:hint="eastAsia" w:ascii="仿宋_GB2312" w:hAnsi="仿宋_GB2312" w:eastAsia="仿宋_GB2312" w:cs="仿宋_GB2312"/>
          <w:sz w:val="32"/>
          <w:szCs w:val="32"/>
        </w:rPr>
        <w:t xml:space="preserve"> ，实际完成值：</w:t>
      </w:r>
      <w:r>
        <w:rPr>
          <w:rFonts w:hint="eastAsia" w:ascii="仿宋_GB2312" w:hAnsi="仿宋_GB2312" w:eastAsia="仿宋_GB2312" w:cs="仿宋_GB2312"/>
          <w:sz w:val="32"/>
          <w:szCs w:val="32"/>
          <w:lang w:val="en-US" w:eastAsia="zh-CN"/>
        </w:rPr>
        <w:t>5万元</w:t>
      </w:r>
      <w:r>
        <w:rPr>
          <w:rFonts w:hint="eastAsia" w:ascii="仿宋_GB2312" w:hAnsi="仿宋_GB2312" w:eastAsia="仿宋_GB2312" w:cs="仿宋_GB2312"/>
          <w:sz w:val="32"/>
          <w:szCs w:val="32"/>
        </w:rPr>
        <w:t xml:space="preserve"> ，指标完成率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pStyle w:val="18"/>
        <w:ind w:firstLine="321" w:firstLineChars="100"/>
        <w:jc w:val="both"/>
        <w:rPr>
          <w:rFonts w:ascii="Times New Roman" w:hAnsi="Times New Roman" w:eastAsia="楷体_GB2312"/>
        </w:rPr>
      </w:pPr>
      <w:r>
        <w:rPr>
          <w:rFonts w:hint="eastAsia" w:ascii="Times New Roman" w:hAnsi="Times New Roman" w:eastAsia="楷体_GB2312"/>
        </w:rPr>
        <w:t>（四）</w:t>
      </w:r>
      <w:r>
        <w:rPr>
          <w:rFonts w:ascii="Times New Roman" w:hAnsi="Times New Roman" w:eastAsia="楷体_GB2312"/>
        </w:rPr>
        <w:t>效益情况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①</w:t>
      </w:r>
      <w:r>
        <w:rPr>
          <w:rFonts w:hint="eastAsia" w:ascii="仿宋_GB2312" w:hAnsi="仿宋_GB2312" w:eastAsia="仿宋_GB2312" w:cs="仿宋_GB2312"/>
          <w:sz w:val="32"/>
          <w:szCs w:val="32"/>
        </w:rPr>
        <w:t>社会效益指标：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指标1：为本地区建设培养少数民族骨干人才，促进其科技创新能力，指标值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有效促进</w:t>
      </w:r>
      <w:r>
        <w:rPr>
          <w:rFonts w:hint="eastAsia" w:ascii="仿宋_GB2312" w:hAnsi="仿宋_GB2312" w:eastAsia="仿宋_GB2312" w:cs="仿宋_GB2312"/>
          <w:sz w:val="32"/>
          <w:szCs w:val="32"/>
        </w:rPr>
        <w:t xml:space="preserve"> ，实际完成值：</w:t>
      </w:r>
      <w:r>
        <w:rPr>
          <w:rFonts w:hint="eastAsia" w:ascii="仿宋_GB2312" w:hAnsi="仿宋_GB2312" w:eastAsia="仿宋_GB2312" w:cs="仿宋_GB2312"/>
          <w:sz w:val="32"/>
          <w:szCs w:val="32"/>
          <w:lang w:val="en-US" w:eastAsia="zh-CN"/>
        </w:rPr>
        <w:t>有效促进</w:t>
      </w:r>
      <w:r>
        <w:rPr>
          <w:rFonts w:hint="eastAsia" w:ascii="仿宋_GB2312" w:hAnsi="仿宋_GB2312" w:eastAsia="仿宋_GB2312" w:cs="仿宋_GB2312"/>
          <w:sz w:val="32"/>
          <w:szCs w:val="32"/>
        </w:rPr>
        <w:t xml:space="preserve"> ，指标完成率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spacing w:line="600" w:lineRule="exact"/>
        <w:ind w:firstLine="640" w:firstLineChars="200"/>
        <w:rPr>
          <w:rStyle w:val="52"/>
          <w:rFonts w:ascii="Times New Roman" w:hAnsi="Times New Roman" w:cs="Times New Roman"/>
          <w:color w:val="auto"/>
        </w:rPr>
      </w:pPr>
      <w:r>
        <w:rPr>
          <w:rFonts w:eastAsia="黑体"/>
          <w:sz w:val="32"/>
          <w:szCs w:val="32"/>
        </w:rPr>
        <w:t>五、主要经验及做法、存在的问题及原因分析</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（一）主要经验及做法</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为确保</w:t>
      </w:r>
      <w:r>
        <w:rPr>
          <w:rFonts w:hint="eastAsia" w:ascii="仿宋_GB2312" w:hAnsi="仿宋_GB2312" w:eastAsia="仿宋_GB2312" w:cs="仿宋_GB2312"/>
          <w:sz w:val="32"/>
          <w:szCs w:val="32"/>
          <w:lang w:eastAsia="zh-CN"/>
        </w:rPr>
        <w:t>少数民族科技骨干特培工作的</w:t>
      </w:r>
      <w:r>
        <w:rPr>
          <w:rFonts w:hint="eastAsia" w:ascii="仿宋_GB2312" w:hAnsi="仿宋_GB2312" w:eastAsia="仿宋_GB2312" w:cs="仿宋_GB2312"/>
          <w:sz w:val="32"/>
          <w:szCs w:val="32"/>
        </w:rPr>
        <w:t>顺利进行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自治区质检院党委高度重视，召开专题会议，安排部署少数民族科技骨干特殊培养工作相关事宜，成立由院领导、行政办公室、食品所组成的特培工作领导小组，负责特培人员日常的各项工作。</w:t>
      </w:r>
      <w:r>
        <w:rPr>
          <w:rFonts w:hint="eastAsia" w:ascii="仿宋_GB2312" w:hAnsi="仿宋_GB2312" w:eastAsia="仿宋_GB2312" w:cs="仿宋_GB2312"/>
          <w:sz w:val="32"/>
          <w:szCs w:val="32"/>
        </w:rPr>
        <w:t>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8"/>
        <w:spacing w:before="0" w:after="0" w:line="60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5"/>
        </w:numPr>
        <w:spacing w:line="600" w:lineRule="exact"/>
        <w:ind w:firstLine="643" w:firstLineChars="200"/>
        <w:rPr>
          <w:rFonts w:eastAsia="楷体_GB2312"/>
          <w:b/>
          <w:bCs/>
          <w:sz w:val="32"/>
          <w:szCs w:val="32"/>
        </w:rPr>
      </w:pPr>
      <w:r>
        <w:rPr>
          <w:rFonts w:eastAsia="楷体_GB2312"/>
          <w:b/>
          <w:bCs/>
          <w:sz w:val="32"/>
          <w:szCs w:val="32"/>
        </w:rPr>
        <w:t>存在的问题及原因分析</w:t>
      </w:r>
    </w:p>
    <w:p>
      <w:pPr>
        <w:spacing w:line="600" w:lineRule="exact"/>
        <w:ind w:firstLine="640" w:firstLineChars="200"/>
        <w:rPr>
          <w:rFonts w:hint="eastAsia" w:ascii="Times New Roman" w:hAnsi="Times New Roman" w:eastAsia="仿宋_GB2312" w:cs="Times New Roman"/>
          <w:b w:val="0"/>
          <w:bCs w:val="0"/>
          <w:kern w:val="2"/>
          <w:sz w:val="32"/>
          <w:szCs w:val="32"/>
          <w:lang w:val="en-US" w:eastAsia="zh-CN" w:bidi="ar-SA"/>
        </w:rPr>
      </w:pPr>
      <w:r>
        <w:rPr>
          <w:rFonts w:ascii="Times New Roman" w:hAnsi="Times New Roman" w:eastAsia="仿宋_GB2312" w:cs="Times New Roman"/>
          <w:b w:val="0"/>
          <w:bCs w:val="0"/>
          <w:kern w:val="2"/>
          <w:sz w:val="32"/>
          <w:szCs w:val="32"/>
          <w:lang w:val="en-US" w:eastAsia="zh-CN" w:bidi="ar-SA"/>
        </w:rPr>
        <w:t>存在的问题</w:t>
      </w:r>
      <w:r>
        <w:rPr>
          <w:rFonts w:hint="eastAsia" w:ascii="Times New Roman" w:hAnsi="Times New Roman" w:eastAsia="仿宋_GB2312" w:cs="Times New Roman"/>
          <w:b w:val="0"/>
          <w:bCs w:val="0"/>
          <w:kern w:val="2"/>
          <w:sz w:val="32"/>
          <w:szCs w:val="32"/>
          <w:lang w:val="en-US" w:eastAsia="zh-CN" w:bidi="ar-SA"/>
        </w:rPr>
        <w:t>及</w:t>
      </w:r>
      <w:r>
        <w:rPr>
          <w:rFonts w:ascii="Times New Roman" w:hAnsi="Times New Roman" w:eastAsia="仿宋_GB2312" w:cs="Times New Roman"/>
          <w:b w:val="0"/>
          <w:bCs w:val="0"/>
          <w:kern w:val="2"/>
          <w:sz w:val="32"/>
          <w:szCs w:val="32"/>
          <w:lang w:val="en-US" w:eastAsia="zh-CN" w:bidi="ar-SA"/>
        </w:rPr>
        <w:t>原因分析</w:t>
      </w:r>
      <w:r>
        <w:rPr>
          <w:rFonts w:hint="eastAsia" w:ascii="Times New Roman" w:hAnsi="Times New Roman" w:eastAsia="仿宋_GB2312" w:cs="Times New Roman"/>
          <w:b w:val="0"/>
          <w:bCs w:val="0"/>
          <w:kern w:val="2"/>
          <w:sz w:val="32"/>
          <w:szCs w:val="32"/>
          <w:lang w:val="en-US" w:eastAsia="zh-CN" w:bidi="ar-SA"/>
        </w:rPr>
        <w:t>：因疫情的原因，少数民族科技骨干特殊培养经费计划上报和经费拨付比较滞后，不利于对经费后期的安排使用。</w:t>
      </w:r>
    </w:p>
    <w:p>
      <w:pPr>
        <w:numPr>
          <w:ilvl w:val="0"/>
          <w:numId w:val="6"/>
        </w:numPr>
        <w:spacing w:line="600" w:lineRule="exact"/>
        <w:ind w:firstLine="640" w:firstLineChars="200"/>
        <w:rPr>
          <w:rFonts w:eastAsia="黑体"/>
          <w:sz w:val="32"/>
          <w:szCs w:val="32"/>
        </w:rPr>
      </w:pPr>
      <w:r>
        <w:rPr>
          <w:rFonts w:eastAsia="黑体"/>
          <w:sz w:val="32"/>
          <w:szCs w:val="32"/>
        </w:rPr>
        <w:t>有关建议</w:t>
      </w:r>
    </w:p>
    <w:p>
      <w:pPr>
        <w:spacing w:line="600" w:lineRule="exact"/>
        <w:ind w:firstLine="640" w:firstLineChars="200"/>
      </w:pPr>
      <w:r>
        <w:rPr>
          <w:rFonts w:hint="eastAsia" w:ascii="仿宋_GB2312" w:hAnsi="仿宋_GB2312" w:eastAsia="仿宋_GB2312" w:cs="仿宋_GB2312"/>
          <w:sz w:val="32"/>
          <w:szCs w:val="28"/>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numPr>
          <w:ilvl w:val="0"/>
          <w:numId w:val="6"/>
        </w:numPr>
        <w:spacing w:line="600" w:lineRule="exact"/>
        <w:ind w:firstLine="640" w:firstLineChars="200"/>
        <w:rPr>
          <w:rFonts w:eastAsia="黑体"/>
          <w:sz w:val="32"/>
          <w:szCs w:val="32"/>
        </w:rPr>
      </w:pPr>
      <w:r>
        <w:rPr>
          <w:rFonts w:eastAsia="黑体"/>
          <w:sz w:val="32"/>
          <w:szCs w:val="32"/>
        </w:rPr>
        <w:t>其他需要说</w:t>
      </w:r>
      <w:bookmarkStart w:id="1" w:name="page8"/>
      <w:bookmarkEnd w:id="1"/>
      <w:r>
        <w:rPr>
          <w:rFonts w:eastAsia="黑体"/>
          <w:sz w:val="32"/>
          <w:szCs w:val="32"/>
        </w:rPr>
        <w:t>明的问题</w:t>
      </w:r>
    </w:p>
    <w:p>
      <w:pPr>
        <w:pStyle w:val="20"/>
        <w:ind w:firstLine="320" w:firstLine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pPr>
        <w:pStyle w:val="20"/>
        <w:ind w:firstLine="320" w:firstLineChars="100"/>
        <w:rPr>
          <w:rFonts w:hint="eastAsia" w:ascii="仿宋_GB2312" w:hAnsi="仿宋_GB2312" w:eastAsia="仿宋_GB2312" w:cs="仿宋_GB2312"/>
          <w:sz w:val="32"/>
          <w:szCs w:val="32"/>
        </w:rPr>
      </w:pPr>
    </w:p>
    <w:p>
      <w:pPr>
        <w:pStyle w:val="20"/>
        <w:ind w:left="0" w:leftChars="0" w:firstLine="0" w:firstLineChars="0"/>
        <w:rPr>
          <w:rFonts w:hint="eastAsia" w:ascii="仿宋_GB2312" w:hAnsi="仿宋_GB2312" w:eastAsia="仿宋_GB2312" w:cs="仿宋_GB2312"/>
          <w:sz w:val="32"/>
          <w:szCs w:val="32"/>
        </w:rPr>
      </w:pPr>
    </w:p>
    <w:tbl>
      <w:tblPr>
        <w:tblW w:w="857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481"/>
        <w:gridCol w:w="483"/>
        <w:gridCol w:w="513"/>
        <w:gridCol w:w="1166"/>
        <w:gridCol w:w="1461"/>
        <w:gridCol w:w="641"/>
        <w:gridCol w:w="768"/>
        <w:gridCol w:w="655"/>
        <w:gridCol w:w="372"/>
        <w:gridCol w:w="359"/>
        <w:gridCol w:w="388"/>
        <w:gridCol w:w="389"/>
        <w:gridCol w:w="350"/>
        <w:gridCol w:w="5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05" w:hRule="atLeast"/>
        </w:trPr>
        <w:tc>
          <w:tcPr>
            <w:tcW w:w="8578" w:type="dxa"/>
            <w:gridSpan w:val="14"/>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bdr w:val="none" w:color="auto" w:sz="0" w:space="0"/>
                <w:lang w:val="en-US" w:eastAsia="zh-CN" w:bidi="ar"/>
              </w:rPr>
              <w:t>项目支出绩效自评表</w:t>
            </w:r>
          </w:p>
        </w:tc>
      </w:tr>
      <w:tr>
        <w:tblPrEx>
          <w:tblLayout w:type="fixed"/>
          <w:tblCellMar>
            <w:top w:w="0" w:type="dxa"/>
            <w:left w:w="0" w:type="dxa"/>
            <w:bottom w:w="0" w:type="dxa"/>
            <w:right w:w="0" w:type="dxa"/>
          </w:tblCellMar>
        </w:tblPrEx>
        <w:trPr>
          <w:trHeight w:val="270" w:hRule="atLeast"/>
        </w:trPr>
        <w:tc>
          <w:tcPr>
            <w:tcW w:w="8578" w:type="dxa"/>
            <w:gridSpan w:val="14"/>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964"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项目名称</w:t>
            </w:r>
          </w:p>
        </w:tc>
        <w:tc>
          <w:tcPr>
            <w:tcW w:w="7614" w:type="dxa"/>
            <w:gridSpan w:val="1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少数民族特培专项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70" w:hRule="atLeast"/>
        </w:trPr>
        <w:tc>
          <w:tcPr>
            <w:tcW w:w="964"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主管部门</w:t>
            </w:r>
          </w:p>
        </w:tc>
        <w:tc>
          <w:tcPr>
            <w:tcW w:w="4549"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新疆维吾尔自治区产品质量监督检验研究院</w:t>
            </w:r>
          </w:p>
        </w:tc>
        <w:tc>
          <w:tcPr>
            <w:tcW w:w="102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实施单位</w:t>
            </w:r>
          </w:p>
        </w:tc>
        <w:tc>
          <w:tcPr>
            <w:tcW w:w="2038"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新疆维吾尔自治区产品质量监督检验研究院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80" w:hRule="atLeast"/>
        </w:trPr>
        <w:tc>
          <w:tcPr>
            <w:tcW w:w="964"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项目资金</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（万元）</w:t>
            </w:r>
          </w:p>
        </w:tc>
        <w:tc>
          <w:tcPr>
            <w:tcW w:w="167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年初预算数</w:t>
            </w:r>
          </w:p>
        </w:tc>
        <w:tc>
          <w:tcPr>
            <w:tcW w:w="140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全年预算数</w:t>
            </w:r>
          </w:p>
        </w:tc>
        <w:tc>
          <w:tcPr>
            <w:tcW w:w="102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全年执行数</w:t>
            </w:r>
          </w:p>
        </w:tc>
        <w:tc>
          <w:tcPr>
            <w:tcW w:w="74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分值</w:t>
            </w:r>
          </w:p>
        </w:tc>
        <w:tc>
          <w:tcPr>
            <w:tcW w:w="73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执行率</w:t>
            </w:r>
          </w:p>
        </w:tc>
        <w:tc>
          <w:tcPr>
            <w:tcW w:w="5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964"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7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年度资金总额</w:t>
            </w:r>
          </w:p>
        </w:tc>
        <w:tc>
          <w:tcPr>
            <w:tcW w:w="14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5.00</w:t>
            </w:r>
          </w:p>
        </w:tc>
        <w:tc>
          <w:tcPr>
            <w:tcW w:w="140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5.00</w:t>
            </w:r>
          </w:p>
        </w:tc>
        <w:tc>
          <w:tcPr>
            <w:tcW w:w="102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5.00</w:t>
            </w:r>
          </w:p>
        </w:tc>
        <w:tc>
          <w:tcPr>
            <w:tcW w:w="74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73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100.00%</w:t>
            </w:r>
          </w:p>
        </w:tc>
        <w:tc>
          <w:tcPr>
            <w:tcW w:w="5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39" w:hRule="atLeast"/>
        </w:trPr>
        <w:tc>
          <w:tcPr>
            <w:tcW w:w="964"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7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其中：当年财政拨款</w:t>
            </w:r>
          </w:p>
        </w:tc>
        <w:tc>
          <w:tcPr>
            <w:tcW w:w="14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140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102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74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73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5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964"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7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 xml:space="preserve">      上年结转资金</w:t>
            </w:r>
          </w:p>
        </w:tc>
        <w:tc>
          <w:tcPr>
            <w:tcW w:w="14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140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102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4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73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5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964"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7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 xml:space="preserve">  其他资金</w:t>
            </w:r>
          </w:p>
        </w:tc>
        <w:tc>
          <w:tcPr>
            <w:tcW w:w="14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140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102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4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73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5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481"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年度总体目标</w:t>
            </w:r>
          </w:p>
        </w:tc>
        <w:tc>
          <w:tcPr>
            <w:tcW w:w="5032"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预期目标</w:t>
            </w:r>
          </w:p>
        </w:tc>
        <w:tc>
          <w:tcPr>
            <w:tcW w:w="3065" w:type="dxa"/>
            <w:gridSpan w:val="7"/>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540"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032"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通过开展特培工作，使学员普遍更新了观念，拓宽了视野，提高了专业理论水平、岗位实践能力和科技创新能力。广大学员充分发挥示范和带动作用，积极把握国内外最新科研前沿，将新思想、新观念、新知识、新技术运用到实践中，承担国家及自治区重大科研项目，取得了一批高水平的科研成果，有力推动了新疆科技进步与创新。不仅是实施人才强国战略，加强新疆少数民族人才队伍建设的一项重要举措，更是提高新疆自主创新能力，实现经济社会发展的现实要求。同时造就一支适应新疆经济社会发展需要的少数民族高层次专业技术人才队伍。</w:t>
            </w:r>
          </w:p>
        </w:tc>
        <w:tc>
          <w:tcPr>
            <w:tcW w:w="3065" w:type="dxa"/>
            <w:gridSpan w:val="7"/>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按时按期保质保量完成特培工作,其中发表论文1篇，参与申请专利1项，对我单位检验检测能力的提升做出了应有的贡献。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70" w:hRule="atLeast"/>
        </w:trPr>
        <w:tc>
          <w:tcPr>
            <w:tcW w:w="481"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8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一级指标</w:t>
            </w:r>
          </w:p>
        </w:tc>
        <w:tc>
          <w:tcPr>
            <w:tcW w:w="51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二级指标</w:t>
            </w:r>
          </w:p>
        </w:tc>
        <w:tc>
          <w:tcPr>
            <w:tcW w:w="3268" w:type="dxa"/>
            <w:gridSpan w:val="3"/>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三级指标</w:t>
            </w:r>
          </w:p>
        </w:tc>
        <w:tc>
          <w:tcPr>
            <w:tcW w:w="768"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年度指标值</w:t>
            </w:r>
          </w:p>
        </w:tc>
        <w:tc>
          <w:tcPr>
            <w:tcW w:w="655"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实际完成值</w:t>
            </w:r>
          </w:p>
        </w:tc>
        <w:tc>
          <w:tcPr>
            <w:tcW w:w="731"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分值</w:t>
            </w:r>
          </w:p>
        </w:tc>
        <w:tc>
          <w:tcPr>
            <w:tcW w:w="777"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得分</w:t>
            </w:r>
          </w:p>
        </w:tc>
        <w:tc>
          <w:tcPr>
            <w:tcW w:w="902"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8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68" w:type="dxa"/>
            <w:gridSpan w:val="3"/>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6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5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31"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77"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02"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481"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年度绩效指标完成情况</w:t>
            </w:r>
          </w:p>
        </w:tc>
        <w:tc>
          <w:tcPr>
            <w:tcW w:w="48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产出指标</w:t>
            </w:r>
          </w:p>
        </w:tc>
        <w:tc>
          <w:tcPr>
            <w:tcW w:w="51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数量指标</w:t>
            </w:r>
          </w:p>
        </w:tc>
        <w:tc>
          <w:tcPr>
            <w:tcW w:w="3268"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发表论文数量</w:t>
            </w:r>
          </w:p>
        </w:tc>
        <w:tc>
          <w:tcPr>
            <w:tcW w:w="76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&gt;=1篇</w:t>
            </w:r>
          </w:p>
        </w:tc>
        <w:tc>
          <w:tcPr>
            <w:tcW w:w="6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1篇</w:t>
            </w:r>
          </w:p>
        </w:tc>
        <w:tc>
          <w:tcPr>
            <w:tcW w:w="7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77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9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02"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8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1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数量指标</w:t>
            </w:r>
          </w:p>
        </w:tc>
        <w:tc>
          <w:tcPr>
            <w:tcW w:w="3268"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参与专利申请</w:t>
            </w:r>
          </w:p>
        </w:tc>
        <w:tc>
          <w:tcPr>
            <w:tcW w:w="76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&gt;=1项</w:t>
            </w:r>
          </w:p>
        </w:tc>
        <w:tc>
          <w:tcPr>
            <w:tcW w:w="6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1项</w:t>
            </w:r>
          </w:p>
        </w:tc>
        <w:tc>
          <w:tcPr>
            <w:tcW w:w="7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77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9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02"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8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1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数量指标</w:t>
            </w:r>
          </w:p>
        </w:tc>
        <w:tc>
          <w:tcPr>
            <w:tcW w:w="3268"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完成样品前处理</w:t>
            </w:r>
          </w:p>
        </w:tc>
        <w:tc>
          <w:tcPr>
            <w:tcW w:w="76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&gt;=17000批次</w:t>
            </w:r>
          </w:p>
        </w:tc>
        <w:tc>
          <w:tcPr>
            <w:tcW w:w="6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17000批次</w:t>
            </w:r>
          </w:p>
        </w:tc>
        <w:tc>
          <w:tcPr>
            <w:tcW w:w="7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77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9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8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1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数量指标</w:t>
            </w:r>
          </w:p>
        </w:tc>
        <w:tc>
          <w:tcPr>
            <w:tcW w:w="3268"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上机检测</w:t>
            </w:r>
          </w:p>
        </w:tc>
        <w:tc>
          <w:tcPr>
            <w:tcW w:w="76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&gt;=17000批次</w:t>
            </w:r>
          </w:p>
        </w:tc>
        <w:tc>
          <w:tcPr>
            <w:tcW w:w="6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17000批次</w:t>
            </w:r>
          </w:p>
        </w:tc>
        <w:tc>
          <w:tcPr>
            <w:tcW w:w="7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77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9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8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1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质量指标</w:t>
            </w:r>
          </w:p>
        </w:tc>
        <w:tc>
          <w:tcPr>
            <w:tcW w:w="3268"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7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8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1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时效指标</w:t>
            </w:r>
          </w:p>
        </w:tc>
        <w:tc>
          <w:tcPr>
            <w:tcW w:w="3268"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培训完成时间</w:t>
            </w:r>
          </w:p>
        </w:tc>
        <w:tc>
          <w:tcPr>
            <w:tcW w:w="76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2022年8月</w:t>
            </w:r>
          </w:p>
        </w:tc>
        <w:tc>
          <w:tcPr>
            <w:tcW w:w="6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2022年8月</w:t>
            </w:r>
          </w:p>
        </w:tc>
        <w:tc>
          <w:tcPr>
            <w:tcW w:w="7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77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9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8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1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成本指标</w:t>
            </w:r>
          </w:p>
        </w:tc>
        <w:tc>
          <w:tcPr>
            <w:tcW w:w="3268"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培养经费成本</w:t>
            </w:r>
          </w:p>
        </w:tc>
        <w:tc>
          <w:tcPr>
            <w:tcW w:w="76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=5万元</w:t>
            </w:r>
          </w:p>
        </w:tc>
        <w:tc>
          <w:tcPr>
            <w:tcW w:w="6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5万元</w:t>
            </w:r>
          </w:p>
        </w:tc>
        <w:tc>
          <w:tcPr>
            <w:tcW w:w="7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77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9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8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效益指标</w:t>
            </w:r>
          </w:p>
        </w:tc>
        <w:tc>
          <w:tcPr>
            <w:tcW w:w="51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经济效益指标</w:t>
            </w:r>
          </w:p>
        </w:tc>
        <w:tc>
          <w:tcPr>
            <w:tcW w:w="3268"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7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02"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8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1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社会效益指标</w:t>
            </w:r>
          </w:p>
        </w:tc>
        <w:tc>
          <w:tcPr>
            <w:tcW w:w="3268"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为本地区建设培养少数民族骨干人才，促进其科技创新能力</w:t>
            </w:r>
          </w:p>
        </w:tc>
        <w:tc>
          <w:tcPr>
            <w:tcW w:w="76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有效促进</w:t>
            </w:r>
          </w:p>
        </w:tc>
        <w:tc>
          <w:tcPr>
            <w:tcW w:w="6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有效促进</w:t>
            </w:r>
          </w:p>
        </w:tc>
        <w:tc>
          <w:tcPr>
            <w:tcW w:w="7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w:t>
            </w:r>
          </w:p>
        </w:tc>
        <w:tc>
          <w:tcPr>
            <w:tcW w:w="77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w:t>
            </w:r>
          </w:p>
        </w:tc>
        <w:tc>
          <w:tcPr>
            <w:tcW w:w="9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8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1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生态效益指标</w:t>
            </w:r>
          </w:p>
        </w:tc>
        <w:tc>
          <w:tcPr>
            <w:tcW w:w="3268"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7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02"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8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1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可持续影响指标</w:t>
            </w:r>
          </w:p>
        </w:tc>
        <w:tc>
          <w:tcPr>
            <w:tcW w:w="3268"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7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满意度指标</w:t>
            </w:r>
          </w:p>
        </w:tc>
        <w:tc>
          <w:tcPr>
            <w:tcW w:w="51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满意度指标</w:t>
            </w:r>
          </w:p>
        </w:tc>
        <w:tc>
          <w:tcPr>
            <w:tcW w:w="3268"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被培训人员满意度</w:t>
            </w:r>
          </w:p>
        </w:tc>
        <w:tc>
          <w:tcPr>
            <w:tcW w:w="76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&gt;=90%</w:t>
            </w:r>
          </w:p>
        </w:tc>
        <w:tc>
          <w:tcPr>
            <w:tcW w:w="6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95%</w:t>
            </w:r>
          </w:p>
        </w:tc>
        <w:tc>
          <w:tcPr>
            <w:tcW w:w="7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77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9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70" w:hRule="atLeast"/>
        </w:trPr>
        <w:tc>
          <w:tcPr>
            <w:tcW w:w="6168" w:type="dxa"/>
            <w:gridSpan w:val="8"/>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总分</w:t>
            </w:r>
          </w:p>
        </w:tc>
        <w:tc>
          <w:tcPr>
            <w:tcW w:w="7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77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100.00分</w:t>
            </w:r>
          </w:p>
        </w:tc>
        <w:tc>
          <w:tcPr>
            <w:tcW w:w="9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bl>
    <w:p>
      <w:pPr>
        <w:pStyle w:val="20"/>
        <w:ind w:left="0" w:leftChars="0" w:firstLine="0" w:firstLineChars="0"/>
        <w:rPr>
          <w:rFonts w:hint="eastAsia" w:ascii="仿宋_GB2312" w:hAnsi="仿宋_GB2312" w:eastAsia="仿宋_GB2312" w:cs="仿宋_GB2312"/>
          <w:sz w:val="32"/>
          <w:szCs w:val="32"/>
          <w:lang w:eastAsia="zh-CN"/>
        </w:rPr>
        <w:sectPr>
          <w:footerReference r:id="rId3" w:type="default"/>
          <w:pgSz w:w="11906" w:h="16838"/>
          <w:pgMar w:top="1440" w:right="1558" w:bottom="1440" w:left="1800" w:header="851" w:footer="992" w:gutter="0"/>
          <w:cols w:space="425" w:num="1"/>
          <w:docGrid w:type="lines" w:linePitch="312" w:charSpace="0"/>
        </w:sectPr>
      </w:pPr>
      <w:bookmarkStart w:id="2" w:name="_GoBack"/>
      <w:bookmarkEnd w:id="2"/>
    </w:p>
    <w:p>
      <w:pPr>
        <w:pStyle w:val="18"/>
        <w:jc w:val="both"/>
        <w:rPr>
          <w:rFonts w:ascii="Times New Roman" w:hAnsi="Times New Roman"/>
        </w:rPr>
        <w:sectPr>
          <w:pgSz w:w="11906" w:h="16838"/>
          <w:pgMar w:top="1440" w:right="1558" w:bottom="1440" w:left="1800" w:header="851" w:footer="992" w:gutter="0"/>
          <w:cols w:space="425" w:num="1"/>
          <w:docGrid w:type="lines" w:linePitch="312" w:charSpace="0"/>
        </w:sectPr>
      </w:pPr>
    </w:p>
    <w:p>
      <w:pPr>
        <w:spacing w:line="600" w:lineRule="exact"/>
        <w:rPr>
          <w:bCs/>
          <w:sz w:val="32"/>
          <w:szCs w:val="32"/>
        </w:rPr>
      </w:pPr>
      <w:r>
        <w:rPr>
          <w:bCs/>
          <w:sz w:val="32"/>
          <w:szCs w:val="32"/>
        </w:rPr>
        <w:t>附件1</w:t>
      </w:r>
    </w:p>
    <w:tbl>
      <w:tblPr>
        <w:tblStyle w:val="21"/>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9"/>
        <w:gridCol w:w="767"/>
        <w:gridCol w:w="873"/>
        <w:gridCol w:w="2353"/>
        <w:gridCol w:w="518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39"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767"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87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235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5188"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36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5188" w:type="dxa"/>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5188" w:type="dxa"/>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5188" w:type="dxa"/>
            <w:shd w:val="clear" w:color="000000"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5188" w:type="dxa"/>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3.6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rPr>
            </w:pPr>
          </w:p>
        </w:tc>
        <w:tc>
          <w:tcPr>
            <w:tcW w:w="767"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5188" w:type="dxa"/>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39" w:type="dxa"/>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vMerge w:val="continue"/>
            <w:shd w:val="clear" w:color="auto" w:fill="FFFFFF"/>
            <w:vAlign w:val="center"/>
          </w:tcPr>
          <w:p>
            <w:pPr>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5188" w:type="dxa"/>
            <w:shd w:val="clear" w:color="auto" w:fill="FFFFFF"/>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过程　</w:t>
            </w: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3.6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rPr>
            </w:pPr>
          </w:p>
        </w:tc>
        <w:tc>
          <w:tcPr>
            <w:tcW w:w="767"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3.6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39"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rPr>
            </w:pP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tc>
        <w:tc>
          <w:tcPr>
            <w:tcW w:w="2353" w:type="dxa"/>
            <w:shd w:val="clear" w:color="auto" w:fill="FFFFFF"/>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5188" w:type="dxa"/>
            <w:shd w:val="clear" w:color="auto" w:fill="FFFFFF"/>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15</w:t>
            </w:r>
          </w:p>
        </w:tc>
        <w:tc>
          <w:tcPr>
            <w:tcW w:w="1363" w:type="dxa"/>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14.25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rPr>
            </w:pPr>
          </w:p>
        </w:tc>
        <w:tc>
          <w:tcPr>
            <w:tcW w:w="767"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5</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4.75</w:t>
            </w:r>
          </w:p>
        </w:tc>
      </w:tr>
    </w:tbl>
    <w:p>
      <w:pPr>
        <w:pStyle w:val="18"/>
        <w:rPr>
          <w:rFonts w:ascii="Times New Roman" w:hAnsi="Times New Roman"/>
        </w:rPr>
      </w:pPr>
    </w:p>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rPr>
          <w:rStyle w:val="23"/>
          <w:rFonts w:eastAsia="仿宋"/>
          <w:b w:val="0"/>
          <w:spacing w:val="-4"/>
          <w:sz w:val="32"/>
          <w:szCs w:val="32"/>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5"/>
          <w:jc w:val="center"/>
        </w:pPr>
        <w:r>
          <w:fldChar w:fldCharType="begin"/>
        </w:r>
        <w:r>
          <w:instrText xml:space="preserve">PAGE   \* MERGEFORMAT</w:instrText>
        </w:r>
        <w:r>
          <w:fldChar w:fldCharType="separate"/>
        </w:r>
        <w:r>
          <w:rPr>
            <w:lang w:val="zh-CN"/>
          </w:rPr>
          <w:t>17</w:t>
        </w:r>
        <w:r>
          <w:fldChar w:fldCharType="end"/>
        </w:r>
      </w:p>
    </w:sdtContent>
  </w:sdt>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3D2FA9"/>
    <w:multiLevelType w:val="singleLevel"/>
    <w:tmpl w:val="9D3D2FA9"/>
    <w:lvl w:ilvl="0" w:tentative="0">
      <w:start w:val="6"/>
      <w:numFmt w:val="chineseCounting"/>
      <w:suff w:val="nothing"/>
      <w:lvlText w:val="%1、"/>
      <w:lvlJc w:val="left"/>
      <w:rPr>
        <w:rFonts w:hint="eastAsia"/>
      </w:r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38F0C646"/>
    <w:multiLevelType w:val="singleLevel"/>
    <w:tmpl w:val="38F0C646"/>
    <w:lvl w:ilvl="0" w:tentative="0">
      <w:start w:val="1"/>
      <w:numFmt w:val="decimal"/>
      <w:suff w:val="nothing"/>
      <w:lvlText w:val="%1、"/>
      <w:lvlJc w:val="left"/>
    </w:lvl>
  </w:abstractNum>
  <w:num w:numId="1">
    <w:abstractNumId w:val="1"/>
  </w:num>
  <w:num w:numId="2">
    <w:abstractNumId w:val="4"/>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AwYmVkNDk5ZTUzMmU2N2M2NjI3MDQ5MGQ2N2U4NjgifQ=="/>
    <w:docVar w:name="KSO_WPS_MARK_KEY" w:val="c0aa4310-abec-4bd4-8d43-c8fd99e1c084"/>
  </w:docVars>
  <w:rsids>
    <w:rsidRoot w:val="00CA6457"/>
    <w:rsid w:val="00056465"/>
    <w:rsid w:val="000E50F0"/>
    <w:rsid w:val="000E586C"/>
    <w:rsid w:val="00121AE4"/>
    <w:rsid w:val="00146AAD"/>
    <w:rsid w:val="001B3A40"/>
    <w:rsid w:val="00200850"/>
    <w:rsid w:val="003748BB"/>
    <w:rsid w:val="003C18BC"/>
    <w:rsid w:val="00430B95"/>
    <w:rsid w:val="004366A8"/>
    <w:rsid w:val="00464900"/>
    <w:rsid w:val="0050203C"/>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20F12"/>
    <w:rsid w:val="00C56C72"/>
    <w:rsid w:val="00CA6457"/>
    <w:rsid w:val="00D17F2E"/>
    <w:rsid w:val="00D30354"/>
    <w:rsid w:val="00DF42A0"/>
    <w:rsid w:val="00DF7C45"/>
    <w:rsid w:val="00E31565"/>
    <w:rsid w:val="00E46C51"/>
    <w:rsid w:val="00E659F7"/>
    <w:rsid w:val="00E769FE"/>
    <w:rsid w:val="00EA2CBE"/>
    <w:rsid w:val="00F20494"/>
    <w:rsid w:val="00F32FEE"/>
    <w:rsid w:val="00F71278"/>
    <w:rsid w:val="00FA15E9"/>
    <w:rsid w:val="00FB10BB"/>
    <w:rsid w:val="01BA3113"/>
    <w:rsid w:val="02010E70"/>
    <w:rsid w:val="0327750E"/>
    <w:rsid w:val="032D72B0"/>
    <w:rsid w:val="04523D7C"/>
    <w:rsid w:val="051A56F5"/>
    <w:rsid w:val="054C5009"/>
    <w:rsid w:val="066D6EAA"/>
    <w:rsid w:val="06DC1681"/>
    <w:rsid w:val="07844C8D"/>
    <w:rsid w:val="07F96B82"/>
    <w:rsid w:val="08763837"/>
    <w:rsid w:val="08A26047"/>
    <w:rsid w:val="08B41246"/>
    <w:rsid w:val="08C662D4"/>
    <w:rsid w:val="09BD4D95"/>
    <w:rsid w:val="0AAA7679"/>
    <w:rsid w:val="0B0F58D6"/>
    <w:rsid w:val="0BD326C3"/>
    <w:rsid w:val="0D75463E"/>
    <w:rsid w:val="0F8D41CB"/>
    <w:rsid w:val="0FEE2F21"/>
    <w:rsid w:val="108E1C42"/>
    <w:rsid w:val="11B96793"/>
    <w:rsid w:val="11C75270"/>
    <w:rsid w:val="12637CC3"/>
    <w:rsid w:val="12E657C5"/>
    <w:rsid w:val="13205214"/>
    <w:rsid w:val="133C6E2A"/>
    <w:rsid w:val="14717945"/>
    <w:rsid w:val="167C7687"/>
    <w:rsid w:val="168B3546"/>
    <w:rsid w:val="17302D4B"/>
    <w:rsid w:val="17EA381C"/>
    <w:rsid w:val="17FC0896"/>
    <w:rsid w:val="17FE23D2"/>
    <w:rsid w:val="186F4FA4"/>
    <w:rsid w:val="18F14B38"/>
    <w:rsid w:val="1A2374E0"/>
    <w:rsid w:val="1B8E7AF8"/>
    <w:rsid w:val="1C317CE2"/>
    <w:rsid w:val="1D4949BE"/>
    <w:rsid w:val="1DD45808"/>
    <w:rsid w:val="1DED42AC"/>
    <w:rsid w:val="1FDF58C1"/>
    <w:rsid w:val="20005763"/>
    <w:rsid w:val="203A5804"/>
    <w:rsid w:val="20800380"/>
    <w:rsid w:val="20FB313D"/>
    <w:rsid w:val="220B4804"/>
    <w:rsid w:val="23576F6A"/>
    <w:rsid w:val="265065FC"/>
    <w:rsid w:val="26E7492D"/>
    <w:rsid w:val="272464EF"/>
    <w:rsid w:val="278B653F"/>
    <w:rsid w:val="282475E3"/>
    <w:rsid w:val="29E421D9"/>
    <w:rsid w:val="2A02543B"/>
    <w:rsid w:val="2AAA6670"/>
    <w:rsid w:val="2ADE371B"/>
    <w:rsid w:val="2BE074A1"/>
    <w:rsid w:val="2C0B0CB4"/>
    <w:rsid w:val="2C2267EA"/>
    <w:rsid w:val="2C5E6490"/>
    <w:rsid w:val="2C6100C1"/>
    <w:rsid w:val="2CD96DD0"/>
    <w:rsid w:val="2D493E21"/>
    <w:rsid w:val="2DA44C0E"/>
    <w:rsid w:val="2DB70DEC"/>
    <w:rsid w:val="2F201611"/>
    <w:rsid w:val="2F7D3509"/>
    <w:rsid w:val="312258A4"/>
    <w:rsid w:val="31D82FEC"/>
    <w:rsid w:val="3235157C"/>
    <w:rsid w:val="3264220D"/>
    <w:rsid w:val="32A83563"/>
    <w:rsid w:val="33954F65"/>
    <w:rsid w:val="34E249F8"/>
    <w:rsid w:val="355A6256"/>
    <w:rsid w:val="36427D9F"/>
    <w:rsid w:val="370E6BE2"/>
    <w:rsid w:val="373931D6"/>
    <w:rsid w:val="37AD0CAC"/>
    <w:rsid w:val="38872456"/>
    <w:rsid w:val="38F03BFC"/>
    <w:rsid w:val="3963178C"/>
    <w:rsid w:val="3A20750F"/>
    <w:rsid w:val="3AA8697D"/>
    <w:rsid w:val="3AB3012A"/>
    <w:rsid w:val="3CED0699"/>
    <w:rsid w:val="3DE9115D"/>
    <w:rsid w:val="3EB02FD6"/>
    <w:rsid w:val="3F827B83"/>
    <w:rsid w:val="410F1BCD"/>
    <w:rsid w:val="415643D0"/>
    <w:rsid w:val="41AD416F"/>
    <w:rsid w:val="41CC2676"/>
    <w:rsid w:val="42E63131"/>
    <w:rsid w:val="43B50816"/>
    <w:rsid w:val="43F72976"/>
    <w:rsid w:val="443373FE"/>
    <w:rsid w:val="454C6DBD"/>
    <w:rsid w:val="46B21672"/>
    <w:rsid w:val="470A28D2"/>
    <w:rsid w:val="49024962"/>
    <w:rsid w:val="496F4578"/>
    <w:rsid w:val="4A0C5E77"/>
    <w:rsid w:val="4DDA260E"/>
    <w:rsid w:val="4F552460"/>
    <w:rsid w:val="4FCC6863"/>
    <w:rsid w:val="4FE928EC"/>
    <w:rsid w:val="50083744"/>
    <w:rsid w:val="500A214A"/>
    <w:rsid w:val="510665CF"/>
    <w:rsid w:val="513C2CD5"/>
    <w:rsid w:val="522D604D"/>
    <w:rsid w:val="5297585E"/>
    <w:rsid w:val="52AD7D6F"/>
    <w:rsid w:val="54AC4265"/>
    <w:rsid w:val="54DA35DD"/>
    <w:rsid w:val="5549519D"/>
    <w:rsid w:val="5557596B"/>
    <w:rsid w:val="57EA357F"/>
    <w:rsid w:val="5804539B"/>
    <w:rsid w:val="592501DD"/>
    <w:rsid w:val="5951275E"/>
    <w:rsid w:val="599837E9"/>
    <w:rsid w:val="5A4E0C10"/>
    <w:rsid w:val="5B596DFC"/>
    <w:rsid w:val="5DAE6D00"/>
    <w:rsid w:val="5DF03945"/>
    <w:rsid w:val="5F03526B"/>
    <w:rsid w:val="60204AC8"/>
    <w:rsid w:val="611C2B09"/>
    <w:rsid w:val="62A911D6"/>
    <w:rsid w:val="62E515AF"/>
    <w:rsid w:val="637C2815"/>
    <w:rsid w:val="640A6CC7"/>
    <w:rsid w:val="64A719AB"/>
    <w:rsid w:val="64D04C44"/>
    <w:rsid w:val="64F31A4A"/>
    <w:rsid w:val="65B37C80"/>
    <w:rsid w:val="666B4FDC"/>
    <w:rsid w:val="66CB68F5"/>
    <w:rsid w:val="67FA6F07"/>
    <w:rsid w:val="682144B7"/>
    <w:rsid w:val="69D159FC"/>
    <w:rsid w:val="6B503F77"/>
    <w:rsid w:val="6D3E356A"/>
    <w:rsid w:val="6DD37316"/>
    <w:rsid w:val="6E311968"/>
    <w:rsid w:val="6F5C3C40"/>
    <w:rsid w:val="707F0A2F"/>
    <w:rsid w:val="70845650"/>
    <w:rsid w:val="70AD0205"/>
    <w:rsid w:val="758E6237"/>
    <w:rsid w:val="75D62B17"/>
    <w:rsid w:val="75F35E63"/>
    <w:rsid w:val="76D237FD"/>
    <w:rsid w:val="77DA7CD2"/>
    <w:rsid w:val="77F85CC4"/>
    <w:rsid w:val="797226F6"/>
    <w:rsid w:val="7A353D0B"/>
    <w:rsid w:val="7B6A01C5"/>
    <w:rsid w:val="7CB927D8"/>
    <w:rsid w:val="7D3A5E2F"/>
    <w:rsid w:val="7E440835"/>
    <w:rsid w:val="7F7F7BA6"/>
    <w:rsid w:val="7F843C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6"/>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7"/>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8"/>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9"/>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30"/>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31"/>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2"/>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3"/>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样式1"/>
    <w:basedOn w:val="1"/>
    <w:qFormat/>
    <w:uiPriority w:val="0"/>
  </w:style>
  <w:style w:type="paragraph" w:styleId="12">
    <w:name w:val="Body Text"/>
    <w:basedOn w:val="1"/>
    <w:qFormat/>
    <w:uiPriority w:val="0"/>
    <w:pPr>
      <w:spacing w:after="120"/>
    </w:pPr>
  </w:style>
  <w:style w:type="paragraph" w:styleId="13">
    <w:name w:val="Body Text Indent"/>
    <w:basedOn w:val="1"/>
    <w:qFormat/>
    <w:uiPriority w:val="0"/>
    <w:pPr>
      <w:spacing w:after="120"/>
      <w:ind w:left="420" w:leftChars="200"/>
    </w:pPr>
    <w:rPr>
      <w:rFonts w:ascii="Calibri" w:hAnsi="Calibri"/>
    </w:rPr>
  </w:style>
  <w:style w:type="paragraph" w:styleId="14">
    <w:name w:val="Balloon Text"/>
    <w:basedOn w:val="1"/>
    <w:link w:val="50"/>
    <w:semiHidden/>
    <w:unhideWhenUsed/>
    <w:qFormat/>
    <w:uiPriority w:val="99"/>
    <w:rPr>
      <w:sz w:val="18"/>
      <w:szCs w:val="18"/>
    </w:rPr>
  </w:style>
  <w:style w:type="paragraph" w:styleId="15">
    <w:name w:val="footer"/>
    <w:basedOn w:val="1"/>
    <w:link w:val="49"/>
    <w:unhideWhenUsed/>
    <w:qFormat/>
    <w:uiPriority w:val="99"/>
    <w:pPr>
      <w:tabs>
        <w:tab w:val="center" w:pos="4153"/>
        <w:tab w:val="right" w:pos="8306"/>
      </w:tabs>
      <w:snapToGrid w:val="0"/>
      <w:jc w:val="left"/>
    </w:pPr>
    <w:rPr>
      <w:rFonts w:ascii="Calibri" w:hAnsi="Calibri"/>
      <w:sz w:val="18"/>
      <w:szCs w:val="18"/>
    </w:rPr>
  </w:style>
  <w:style w:type="paragraph" w:styleId="16">
    <w:name w:val="header"/>
    <w:basedOn w:val="1"/>
    <w:link w:val="4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7">
    <w:name w:val="Subtitle"/>
    <w:basedOn w:val="1"/>
    <w:next w:val="1"/>
    <w:link w:val="35"/>
    <w:qFormat/>
    <w:uiPriority w:val="11"/>
    <w:pPr>
      <w:widowControl/>
      <w:spacing w:after="60"/>
      <w:jc w:val="center"/>
      <w:outlineLvl w:val="1"/>
    </w:pPr>
    <w:rPr>
      <w:rFonts w:asciiTheme="majorHAnsi" w:hAnsiTheme="majorHAnsi" w:eastAsiaTheme="majorEastAsia"/>
      <w:kern w:val="0"/>
      <w:sz w:val="24"/>
    </w:rPr>
  </w:style>
  <w:style w:type="paragraph" w:styleId="18">
    <w:name w:val="Title"/>
    <w:basedOn w:val="1"/>
    <w:next w:val="1"/>
    <w:link w:val="34"/>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9">
    <w:name w:val="Body Text First Indent"/>
    <w:basedOn w:val="12"/>
    <w:qFormat/>
    <w:uiPriority w:val="0"/>
    <w:pPr>
      <w:spacing w:after="0"/>
      <w:ind w:firstLine="200" w:firstLineChars="200"/>
    </w:pPr>
  </w:style>
  <w:style w:type="paragraph" w:styleId="20">
    <w:name w:val="Body Text First Indent 2"/>
    <w:basedOn w:val="13"/>
    <w:qFormat/>
    <w:uiPriority w:val="0"/>
    <w:pPr>
      <w:ind w:firstLine="420" w:firstLineChars="200"/>
    </w:pPr>
  </w:style>
  <w:style w:type="character" w:styleId="23">
    <w:name w:val="Strong"/>
    <w:basedOn w:val="22"/>
    <w:qFormat/>
    <w:uiPriority w:val="0"/>
    <w:rPr>
      <w:b/>
      <w:bCs/>
    </w:rPr>
  </w:style>
  <w:style w:type="character" w:styleId="24">
    <w:name w:val="Emphasis"/>
    <w:basedOn w:val="22"/>
    <w:qFormat/>
    <w:uiPriority w:val="20"/>
    <w:rPr>
      <w:rFonts w:asciiTheme="minorHAnsi" w:hAnsiTheme="minorHAnsi"/>
      <w:b/>
      <w:i/>
      <w:iCs/>
    </w:rPr>
  </w:style>
  <w:style w:type="character" w:customStyle="1" w:styleId="25">
    <w:name w:val="标题 1 字符"/>
    <w:basedOn w:val="22"/>
    <w:link w:val="3"/>
    <w:qFormat/>
    <w:uiPriority w:val="9"/>
    <w:rPr>
      <w:rFonts w:asciiTheme="majorHAnsi" w:hAnsiTheme="majorHAnsi" w:eastAsiaTheme="majorEastAsia"/>
      <w:b/>
      <w:bCs/>
      <w:kern w:val="32"/>
      <w:sz w:val="32"/>
      <w:szCs w:val="32"/>
    </w:rPr>
  </w:style>
  <w:style w:type="character" w:customStyle="1" w:styleId="26">
    <w:name w:val="标题 2 字符"/>
    <w:basedOn w:val="22"/>
    <w:link w:val="4"/>
    <w:semiHidden/>
    <w:qFormat/>
    <w:uiPriority w:val="9"/>
    <w:rPr>
      <w:rFonts w:asciiTheme="majorHAnsi" w:hAnsiTheme="majorHAnsi" w:eastAsiaTheme="majorEastAsia"/>
      <w:b/>
      <w:bCs/>
      <w:i/>
      <w:iCs/>
      <w:sz w:val="28"/>
      <w:szCs w:val="28"/>
    </w:rPr>
  </w:style>
  <w:style w:type="character" w:customStyle="1" w:styleId="27">
    <w:name w:val="标题 3 字符"/>
    <w:basedOn w:val="22"/>
    <w:link w:val="5"/>
    <w:semiHidden/>
    <w:qFormat/>
    <w:uiPriority w:val="9"/>
    <w:rPr>
      <w:rFonts w:asciiTheme="majorHAnsi" w:hAnsiTheme="majorHAnsi" w:eastAsiaTheme="majorEastAsia"/>
      <w:b/>
      <w:bCs/>
      <w:sz w:val="26"/>
      <w:szCs w:val="26"/>
    </w:rPr>
  </w:style>
  <w:style w:type="character" w:customStyle="1" w:styleId="28">
    <w:name w:val="标题 4 字符"/>
    <w:basedOn w:val="22"/>
    <w:link w:val="6"/>
    <w:semiHidden/>
    <w:qFormat/>
    <w:uiPriority w:val="9"/>
    <w:rPr>
      <w:b/>
      <w:bCs/>
      <w:sz w:val="28"/>
      <w:szCs w:val="28"/>
    </w:rPr>
  </w:style>
  <w:style w:type="character" w:customStyle="1" w:styleId="29">
    <w:name w:val="标题 5 字符"/>
    <w:basedOn w:val="22"/>
    <w:link w:val="7"/>
    <w:semiHidden/>
    <w:qFormat/>
    <w:uiPriority w:val="9"/>
    <w:rPr>
      <w:b/>
      <w:bCs/>
      <w:i/>
      <w:iCs/>
      <w:sz w:val="26"/>
      <w:szCs w:val="26"/>
    </w:rPr>
  </w:style>
  <w:style w:type="character" w:customStyle="1" w:styleId="30">
    <w:name w:val="标题 6 字符"/>
    <w:basedOn w:val="22"/>
    <w:link w:val="8"/>
    <w:semiHidden/>
    <w:qFormat/>
    <w:uiPriority w:val="9"/>
    <w:rPr>
      <w:b/>
      <w:bCs/>
    </w:rPr>
  </w:style>
  <w:style w:type="character" w:customStyle="1" w:styleId="31">
    <w:name w:val="标题 7 字符"/>
    <w:basedOn w:val="22"/>
    <w:link w:val="9"/>
    <w:semiHidden/>
    <w:qFormat/>
    <w:uiPriority w:val="9"/>
    <w:rPr>
      <w:sz w:val="24"/>
      <w:szCs w:val="24"/>
    </w:rPr>
  </w:style>
  <w:style w:type="character" w:customStyle="1" w:styleId="32">
    <w:name w:val="标题 8 字符"/>
    <w:basedOn w:val="22"/>
    <w:link w:val="10"/>
    <w:semiHidden/>
    <w:qFormat/>
    <w:uiPriority w:val="9"/>
    <w:rPr>
      <w:i/>
      <w:iCs/>
      <w:sz w:val="24"/>
      <w:szCs w:val="24"/>
    </w:rPr>
  </w:style>
  <w:style w:type="character" w:customStyle="1" w:styleId="33">
    <w:name w:val="标题 9 字符"/>
    <w:basedOn w:val="22"/>
    <w:link w:val="11"/>
    <w:semiHidden/>
    <w:qFormat/>
    <w:uiPriority w:val="9"/>
    <w:rPr>
      <w:rFonts w:asciiTheme="majorHAnsi" w:hAnsiTheme="majorHAnsi" w:eastAsiaTheme="majorEastAsia"/>
    </w:rPr>
  </w:style>
  <w:style w:type="character" w:customStyle="1" w:styleId="34">
    <w:name w:val="标题 字符"/>
    <w:basedOn w:val="22"/>
    <w:link w:val="18"/>
    <w:qFormat/>
    <w:uiPriority w:val="10"/>
    <w:rPr>
      <w:rFonts w:asciiTheme="majorHAnsi" w:hAnsiTheme="majorHAnsi" w:eastAsiaTheme="majorEastAsia"/>
      <w:b/>
      <w:bCs/>
      <w:kern w:val="28"/>
      <w:sz w:val="32"/>
      <w:szCs w:val="32"/>
    </w:rPr>
  </w:style>
  <w:style w:type="character" w:customStyle="1" w:styleId="35">
    <w:name w:val="副标题 字符"/>
    <w:basedOn w:val="22"/>
    <w:link w:val="17"/>
    <w:qFormat/>
    <w:uiPriority w:val="11"/>
    <w:rPr>
      <w:rFonts w:asciiTheme="majorHAnsi" w:hAnsiTheme="majorHAnsi" w:eastAsiaTheme="majorEastAsia"/>
      <w:sz w:val="24"/>
      <w:szCs w:val="24"/>
    </w:rPr>
  </w:style>
  <w:style w:type="paragraph" w:styleId="36">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7">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8">
    <w:name w:val="Quote"/>
    <w:basedOn w:val="1"/>
    <w:next w:val="1"/>
    <w:link w:val="39"/>
    <w:qFormat/>
    <w:uiPriority w:val="29"/>
    <w:pPr>
      <w:widowControl/>
      <w:jc w:val="left"/>
    </w:pPr>
    <w:rPr>
      <w:rFonts w:asciiTheme="minorHAnsi" w:hAnsiTheme="minorHAnsi" w:eastAsiaTheme="minorEastAsia"/>
      <w:i/>
      <w:kern w:val="0"/>
      <w:sz w:val="24"/>
    </w:rPr>
  </w:style>
  <w:style w:type="character" w:customStyle="1" w:styleId="39">
    <w:name w:val="引用 字符"/>
    <w:basedOn w:val="22"/>
    <w:link w:val="38"/>
    <w:qFormat/>
    <w:uiPriority w:val="29"/>
    <w:rPr>
      <w:i/>
      <w:sz w:val="24"/>
      <w:szCs w:val="24"/>
    </w:rPr>
  </w:style>
  <w:style w:type="paragraph" w:styleId="40">
    <w:name w:val="Intense Quote"/>
    <w:basedOn w:val="1"/>
    <w:next w:val="1"/>
    <w:link w:val="41"/>
    <w:qFormat/>
    <w:uiPriority w:val="30"/>
    <w:pPr>
      <w:widowControl/>
      <w:ind w:left="720" w:right="720"/>
      <w:jc w:val="left"/>
    </w:pPr>
    <w:rPr>
      <w:rFonts w:asciiTheme="minorHAnsi" w:hAnsiTheme="minorHAnsi" w:eastAsiaTheme="minorEastAsia"/>
      <w:b/>
      <w:i/>
      <w:kern w:val="0"/>
      <w:sz w:val="24"/>
      <w:szCs w:val="22"/>
    </w:rPr>
  </w:style>
  <w:style w:type="character" w:customStyle="1" w:styleId="41">
    <w:name w:val="明显引用 字符"/>
    <w:basedOn w:val="22"/>
    <w:link w:val="40"/>
    <w:qFormat/>
    <w:uiPriority w:val="30"/>
    <w:rPr>
      <w:b/>
      <w:i/>
      <w:sz w:val="24"/>
    </w:rPr>
  </w:style>
  <w:style w:type="character" w:customStyle="1" w:styleId="42">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3">
    <w:name w:val="明显强调1"/>
    <w:basedOn w:val="22"/>
    <w:qFormat/>
    <w:uiPriority w:val="21"/>
    <w:rPr>
      <w:b/>
      <w:i/>
      <w:sz w:val="24"/>
      <w:szCs w:val="24"/>
      <w:u w:val="single"/>
    </w:rPr>
  </w:style>
  <w:style w:type="character" w:customStyle="1" w:styleId="44">
    <w:name w:val="不明显参考1"/>
    <w:basedOn w:val="22"/>
    <w:qFormat/>
    <w:uiPriority w:val="31"/>
    <w:rPr>
      <w:sz w:val="24"/>
      <w:szCs w:val="24"/>
      <w:u w:val="single"/>
    </w:rPr>
  </w:style>
  <w:style w:type="character" w:customStyle="1" w:styleId="45">
    <w:name w:val="明显参考1"/>
    <w:basedOn w:val="22"/>
    <w:qFormat/>
    <w:uiPriority w:val="32"/>
    <w:rPr>
      <w:b/>
      <w:sz w:val="24"/>
      <w:u w:val="single"/>
    </w:rPr>
  </w:style>
  <w:style w:type="character" w:customStyle="1" w:styleId="46">
    <w:name w:val="书籍标题1"/>
    <w:basedOn w:val="22"/>
    <w:qFormat/>
    <w:uiPriority w:val="33"/>
    <w:rPr>
      <w:rFonts w:asciiTheme="majorHAnsi" w:hAnsiTheme="majorHAnsi" w:eastAsiaTheme="majorEastAsia"/>
      <w:b/>
      <w:i/>
      <w:sz w:val="24"/>
      <w:szCs w:val="24"/>
    </w:rPr>
  </w:style>
  <w:style w:type="paragraph" w:customStyle="1" w:styleId="47">
    <w:name w:val="TOC 标题1"/>
    <w:basedOn w:val="3"/>
    <w:next w:val="1"/>
    <w:semiHidden/>
    <w:unhideWhenUsed/>
    <w:qFormat/>
    <w:uiPriority w:val="39"/>
    <w:pPr>
      <w:outlineLvl w:val="9"/>
    </w:pPr>
    <w:rPr>
      <w:lang w:eastAsia="en-US" w:bidi="en-US"/>
    </w:rPr>
  </w:style>
  <w:style w:type="character" w:customStyle="1" w:styleId="48">
    <w:name w:val="页眉 字符"/>
    <w:basedOn w:val="22"/>
    <w:link w:val="16"/>
    <w:qFormat/>
    <w:uiPriority w:val="99"/>
    <w:rPr>
      <w:rFonts w:ascii="Calibri" w:hAnsi="Calibri" w:eastAsia="宋体"/>
      <w:kern w:val="2"/>
      <w:sz w:val="18"/>
      <w:szCs w:val="18"/>
    </w:rPr>
  </w:style>
  <w:style w:type="character" w:customStyle="1" w:styleId="49">
    <w:name w:val="页脚 字符"/>
    <w:basedOn w:val="22"/>
    <w:link w:val="15"/>
    <w:qFormat/>
    <w:uiPriority w:val="99"/>
    <w:rPr>
      <w:rFonts w:ascii="Calibri" w:hAnsi="Calibri" w:eastAsia="宋体"/>
      <w:kern w:val="2"/>
      <w:sz w:val="18"/>
      <w:szCs w:val="18"/>
    </w:rPr>
  </w:style>
  <w:style w:type="character" w:customStyle="1" w:styleId="50">
    <w:name w:val="批注框文本 字符"/>
    <w:basedOn w:val="22"/>
    <w:link w:val="14"/>
    <w:semiHidden/>
    <w:qFormat/>
    <w:uiPriority w:val="99"/>
    <w:rPr>
      <w:rFonts w:ascii="Times New Roman" w:hAnsi="Times New Roman" w:eastAsia="宋体"/>
      <w:kern w:val="2"/>
      <w:sz w:val="18"/>
      <w:szCs w:val="18"/>
    </w:rPr>
  </w:style>
  <w:style w:type="paragraph" w:customStyle="1" w:styleId="51">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2">
    <w:name w:val="fontstyle01"/>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8031</Words>
  <Characters>8313</Characters>
  <Lines>50</Lines>
  <Paragraphs>14</Paragraphs>
  <TotalTime>1</TotalTime>
  <ScaleCrop>false</ScaleCrop>
  <LinksUpToDate>false</LinksUpToDate>
  <CharactersWithSpaces>8359</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2020-07-04T08:35:00Z</dcterms:created>
  <dc:creator>赵 恺（预算处）</dc:creator>
  <cp:lastModifiedBy>zjy</cp:lastModifiedBy>
  <cp:lastPrinted>2019-12-31T08:02:00Z</cp:lastPrinted>
  <dcterms:modified xsi:type="dcterms:W3CDTF">2023-08-18T10:16:08Z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ICV">
    <vt:lpwstr>E1105AF120A3464485D65FCC77749838</vt:lpwstr>
  </property>
  <property fmtid="{D5CDD505-2E9C-101B-9397-08002B2CF9AE}" pid="4" name="KSOSaveFontToCloudKey">
    <vt:lpwstr>0_btnclosed</vt:lpwstr>
  </property>
</Properties>
</file>