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2021年食品监管补助项目专项</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lang w:val="en-US" w:eastAsia="zh-CN"/>
        </w:rPr>
        <w:t>2021年</w:t>
      </w:r>
      <w:r>
        <w:rPr>
          <w:rFonts w:hint="eastAsia" w:eastAsia="仿宋_GB2312"/>
          <w:kern w:val="0"/>
          <w:sz w:val="36"/>
          <w:szCs w:val="36"/>
        </w:rPr>
        <w:t>食品监管补助项目</w:t>
      </w:r>
    </w:p>
    <w:p>
      <w:pPr>
        <w:spacing w:line="560" w:lineRule="exact"/>
        <w:ind w:left="4676" w:leftChars="684" w:hanging="3240" w:hangingChars="900"/>
        <w:rPr>
          <w:rFonts w:eastAsia="仿宋_GB2312"/>
          <w:kern w:val="0"/>
          <w:sz w:val="36"/>
          <w:szCs w:val="36"/>
        </w:rPr>
      </w:pPr>
      <w:r>
        <w:rPr>
          <w:rFonts w:eastAsia="仿宋_GB2312"/>
          <w:kern w:val="0"/>
          <w:sz w:val="36"/>
          <w:szCs w:val="36"/>
        </w:rPr>
        <w:t>实施单位（公章）：</w:t>
      </w:r>
      <w:r>
        <w:rPr>
          <w:rFonts w:hint="eastAsia" w:ascii="仿宋_GB2312" w:hAnsi="宋体" w:eastAsia="仿宋_GB2312" w:cs="宋体"/>
          <w:kern w:val="0"/>
          <w:sz w:val="32"/>
          <w:szCs w:val="32"/>
          <w:lang w:val="en-US" w:eastAsia="zh-CN"/>
        </w:rPr>
        <w:t>自治区产品质量监督检验研究院</w:t>
      </w:r>
      <w:r>
        <w:rPr>
          <w:rFonts w:hint="eastAsia" w:ascii="仿宋_GB2312" w:hAnsi="宋体" w:eastAsia="仿宋_GB2312" w:cs="宋体"/>
          <w:kern w:val="0"/>
          <w:sz w:val="32"/>
          <w:szCs w:val="32"/>
        </w:rPr>
        <w:t xml:space="preserve"> </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自治区市场监督管理局</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val="en-US" w:eastAsia="zh-CN"/>
        </w:rPr>
        <w:t>李强</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2022</w:t>
      </w:r>
      <w:r>
        <w:rPr>
          <w:rFonts w:eastAsia="仿宋_GB2312"/>
          <w:kern w:val="0"/>
          <w:sz w:val="36"/>
          <w:szCs w:val="36"/>
        </w:rPr>
        <w:t>年</w:t>
      </w:r>
      <w:r>
        <w:rPr>
          <w:rFonts w:hint="eastAsia" w:eastAsia="仿宋_GB2312"/>
          <w:kern w:val="0"/>
          <w:sz w:val="36"/>
          <w:szCs w:val="36"/>
          <w:lang w:val="en-US" w:eastAsia="zh-CN"/>
        </w:rPr>
        <w:t>12</w:t>
      </w:r>
      <w:r>
        <w:rPr>
          <w:rFonts w:eastAsia="仿宋_GB2312"/>
          <w:kern w:val="0"/>
          <w:sz w:val="36"/>
          <w:szCs w:val="36"/>
        </w:rPr>
        <w:t>月</w:t>
      </w:r>
      <w:r>
        <w:rPr>
          <w:rFonts w:hint="eastAsia" w:eastAsia="仿宋_GB2312"/>
          <w:kern w:val="0"/>
          <w:sz w:val="36"/>
          <w:szCs w:val="36"/>
          <w:lang w:val="en-US" w:eastAsia="zh-CN"/>
        </w:rPr>
        <w:t>30</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autoSpaceDE w:val="0"/>
        <w:autoSpaceDN w:val="0"/>
        <w:adjustRightInd w:val="0"/>
        <w:spacing w:line="560" w:lineRule="exact"/>
        <w:ind w:firstLine="564"/>
        <w:rPr>
          <w:rFonts w:hint="eastAsia" w:ascii="仿宋_GB2312" w:hAnsi="仿宋_GB2312" w:eastAsia="仿宋" w:cs="仿宋_GB2312"/>
          <w:b/>
          <w:sz w:val="32"/>
          <w:szCs w:val="32"/>
        </w:rPr>
      </w:pPr>
      <w:r>
        <w:rPr>
          <w:rFonts w:hint="eastAsia" w:ascii="仿宋" w:hAnsi="仿宋" w:eastAsia="仿宋" w:cs="仿宋"/>
          <w:color w:val="000000"/>
          <w:sz w:val="32"/>
          <w:szCs w:val="32"/>
          <w:lang w:val="en-US" w:eastAsia="zh-CN" w:bidi="ar-SA"/>
        </w:rPr>
        <w:t>根据国家总局的要求，</w:t>
      </w:r>
      <w:r>
        <w:rPr>
          <w:rFonts w:hint="eastAsia" w:ascii="仿宋" w:hAnsi="仿宋" w:eastAsia="仿宋" w:cs="仿宋"/>
          <w:sz w:val="32"/>
          <w:szCs w:val="32"/>
          <w:lang w:val="en-US" w:eastAsia="zh-CN"/>
        </w:rPr>
        <w:t>本次</w:t>
      </w:r>
      <w:r>
        <w:rPr>
          <w:rFonts w:hint="eastAsia" w:ascii="仿宋" w:hAnsi="仿宋" w:eastAsia="仿宋" w:cs="仿宋"/>
          <w:sz w:val="32"/>
          <w:szCs w:val="32"/>
        </w:rPr>
        <w:t>承担</w:t>
      </w:r>
      <w:r>
        <w:rPr>
          <w:rFonts w:hint="eastAsia" w:ascii="仿宋" w:hAnsi="仿宋" w:eastAsia="仿宋" w:cs="仿宋"/>
          <w:sz w:val="32"/>
          <w:szCs w:val="32"/>
          <w:lang w:val="en-US" w:eastAsia="zh-CN"/>
        </w:rPr>
        <w:t>全疆各地州县</w:t>
      </w:r>
      <w:r>
        <w:rPr>
          <w:rFonts w:hint="eastAsia" w:ascii="仿宋" w:hAnsi="仿宋" w:eastAsia="仿宋" w:cs="仿宋"/>
          <w:sz w:val="32"/>
          <w:szCs w:val="32"/>
        </w:rPr>
        <w:t>范围内</w:t>
      </w:r>
      <w:r>
        <w:rPr>
          <w:rFonts w:hint="eastAsia" w:ascii="仿宋" w:hAnsi="仿宋" w:eastAsia="仿宋" w:cs="仿宋"/>
          <w:sz w:val="32"/>
          <w:szCs w:val="32"/>
          <w:lang w:val="en-US" w:eastAsia="zh-CN"/>
        </w:rPr>
        <w:t>2311批次</w:t>
      </w:r>
      <w:r>
        <w:rPr>
          <w:rFonts w:hint="eastAsia" w:ascii="仿宋" w:hAnsi="仿宋" w:eastAsia="仿宋" w:cs="仿宋"/>
          <w:sz w:val="32"/>
          <w:szCs w:val="32"/>
        </w:rPr>
        <w:t>食品的</w:t>
      </w:r>
      <w:r>
        <w:rPr>
          <w:rFonts w:hint="eastAsia" w:ascii="仿宋" w:hAnsi="仿宋" w:eastAsia="仿宋" w:cs="仿宋"/>
          <w:sz w:val="32"/>
          <w:szCs w:val="32"/>
          <w:lang w:val="en-US" w:eastAsia="zh-CN"/>
        </w:rPr>
        <w:t>抽检检测</w:t>
      </w:r>
      <w:r>
        <w:rPr>
          <w:rFonts w:hint="eastAsia" w:ascii="仿宋" w:hAnsi="仿宋" w:eastAsia="仿宋" w:cs="仿宋"/>
          <w:sz w:val="32"/>
          <w:szCs w:val="32"/>
        </w:rPr>
        <w:t>工作；</w:t>
      </w:r>
      <w:r>
        <w:rPr>
          <w:rFonts w:hint="eastAsia" w:ascii="仿宋" w:hAnsi="仿宋" w:eastAsia="仿宋" w:cs="仿宋"/>
          <w:sz w:val="32"/>
          <w:szCs w:val="32"/>
          <w:lang w:val="en-US" w:eastAsia="zh-CN"/>
        </w:rPr>
        <w:t>有效</w:t>
      </w:r>
      <w:r>
        <w:rPr>
          <w:rFonts w:hint="eastAsia" w:ascii="仿宋" w:hAnsi="仿宋" w:eastAsia="仿宋" w:cs="仿宋"/>
          <w:color w:val="000000"/>
          <w:sz w:val="32"/>
          <w:szCs w:val="32"/>
          <w:lang w:val="zh-CN" w:eastAsia="zh-CN" w:bidi="ar-SA"/>
        </w:rPr>
        <w:t>加强</w:t>
      </w:r>
      <w:r>
        <w:rPr>
          <w:rFonts w:hint="eastAsia" w:ascii="仿宋" w:hAnsi="仿宋" w:eastAsia="仿宋" w:cs="仿宋"/>
          <w:color w:val="000000"/>
          <w:sz w:val="32"/>
          <w:szCs w:val="32"/>
          <w:lang w:val="en-US" w:eastAsia="zh-CN" w:bidi="ar-SA"/>
        </w:rPr>
        <w:t>食品安全</w:t>
      </w:r>
      <w:r>
        <w:rPr>
          <w:rFonts w:hint="eastAsia" w:ascii="仿宋" w:hAnsi="仿宋" w:eastAsia="仿宋" w:cs="仿宋"/>
          <w:color w:val="000000"/>
          <w:sz w:val="32"/>
          <w:szCs w:val="32"/>
          <w:lang w:val="zh-CN" w:eastAsia="zh-CN" w:bidi="ar-SA"/>
        </w:rPr>
        <w:t>监督工作，</w:t>
      </w:r>
      <w:r>
        <w:rPr>
          <w:rFonts w:hint="eastAsia" w:ascii="仿宋" w:hAnsi="仿宋" w:eastAsia="仿宋" w:cs="仿宋"/>
          <w:color w:val="000000"/>
          <w:sz w:val="32"/>
          <w:szCs w:val="32"/>
          <w:lang w:val="en-US" w:eastAsia="zh-CN" w:bidi="ar-SA"/>
        </w:rPr>
        <w:t>全面提高检测能力，为全疆食品安全保驾护航。</w:t>
      </w:r>
    </w:p>
    <w:p>
      <w:pPr>
        <w:pStyle w:val="19"/>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w:t>
      </w:r>
      <w:r>
        <w:rPr>
          <w:rFonts w:ascii="Times New Roman" w:hAnsi="Times New Roman" w:eastAsia="仿宋_GB2312" w:cs="Times New Roman"/>
          <w:kern w:val="2"/>
        </w:rPr>
        <w:t>主要内容</w:t>
      </w:r>
      <w:r>
        <w:rPr>
          <w:rFonts w:hint="eastAsia" w:ascii="Times New Roman" w:hAnsi="Times New Roman" w:eastAsia="仿宋_GB2312" w:cs="Times New Roman"/>
          <w:kern w:val="2"/>
        </w:rPr>
        <w:t>及实施情况</w:t>
      </w:r>
      <w:r>
        <w:rPr>
          <w:rFonts w:ascii="Times New Roman" w:hAnsi="Times New Roman" w:eastAsia="仿宋_GB2312" w:cs="Times New Roman"/>
          <w:kern w:val="2"/>
        </w:rPr>
        <w:t>：</w:t>
      </w:r>
    </w:p>
    <w:p>
      <w:pPr>
        <w:spacing w:line="360" w:lineRule="auto"/>
        <w:ind w:firstLine="640" w:firstLineChars="200"/>
        <w:rPr>
          <w:rFonts w:hint="eastAsia" w:ascii="仿宋_GB2312" w:eastAsia="仿宋"/>
          <w:sz w:val="30"/>
          <w:szCs w:val="30"/>
          <w:lang w:val="en-US" w:eastAsia="zh-CN"/>
        </w:rPr>
      </w:pPr>
      <w:r>
        <w:rPr>
          <w:rFonts w:eastAsia="仿宋_GB2312"/>
          <w:sz w:val="32"/>
          <w:szCs w:val="32"/>
        </w:rPr>
        <w:t>项目</w:t>
      </w:r>
      <w:r>
        <w:rPr>
          <w:rFonts w:hint="eastAsia" w:eastAsia="仿宋_GB2312"/>
          <w:sz w:val="32"/>
          <w:szCs w:val="32"/>
          <w:lang w:val="en-US" w:eastAsia="zh-CN"/>
        </w:rPr>
        <w:t>主要内容</w:t>
      </w:r>
      <w:r>
        <w:rPr>
          <w:rFonts w:eastAsia="仿宋_GB2312"/>
          <w:sz w:val="32"/>
          <w:szCs w:val="32"/>
        </w:rPr>
        <w:t>：</w:t>
      </w:r>
      <w:r>
        <w:rPr>
          <w:rFonts w:hint="eastAsia" w:ascii="仿宋" w:hAnsi="仿宋" w:eastAsia="仿宋" w:cs="仿宋"/>
          <w:sz w:val="30"/>
          <w:szCs w:val="30"/>
          <w:lang w:val="en-US" w:eastAsia="zh-CN"/>
        </w:rPr>
        <w:t>对全疆各地州县</w:t>
      </w:r>
      <w:r>
        <w:rPr>
          <w:rFonts w:hint="eastAsia" w:ascii="仿宋" w:hAnsi="仿宋" w:eastAsia="仿宋" w:cs="仿宋"/>
          <w:sz w:val="30"/>
          <w:szCs w:val="30"/>
        </w:rPr>
        <w:t>范围内</w:t>
      </w:r>
      <w:r>
        <w:rPr>
          <w:rFonts w:hint="eastAsia" w:ascii="仿宋" w:hAnsi="仿宋" w:eastAsia="仿宋" w:cs="仿宋"/>
          <w:sz w:val="30"/>
          <w:szCs w:val="30"/>
          <w:lang w:val="en-US" w:eastAsia="zh-CN"/>
        </w:rPr>
        <w:t>食用农产品、餐饮食品进行抽检检测</w:t>
      </w:r>
      <w:r>
        <w:rPr>
          <w:rFonts w:hint="eastAsia" w:ascii="仿宋" w:hAnsi="仿宋" w:eastAsia="仿宋" w:cs="仿宋"/>
          <w:sz w:val="30"/>
          <w:szCs w:val="30"/>
        </w:rPr>
        <w:t>工作</w:t>
      </w:r>
      <w:r>
        <w:rPr>
          <w:rFonts w:hint="eastAsia" w:ascii="仿宋" w:hAnsi="仿宋" w:eastAsia="仿宋" w:cs="仿宋"/>
          <w:sz w:val="30"/>
          <w:szCs w:val="30"/>
          <w:lang w:eastAsia="zh-CN"/>
        </w:rPr>
        <w:t>。</w:t>
      </w:r>
    </w:p>
    <w:p>
      <w:pPr>
        <w:spacing w:line="60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color w:val="auto"/>
          <w:sz w:val="32"/>
          <w:szCs w:val="32"/>
          <w:highlight w:val="none"/>
        </w:rPr>
      </w:pPr>
      <w:r>
        <w:rPr>
          <w:rFonts w:eastAsia="仿宋_GB2312"/>
          <w:sz w:val="32"/>
          <w:szCs w:val="32"/>
        </w:rPr>
        <w:t>本项目总投资</w:t>
      </w:r>
      <w:r>
        <w:rPr>
          <w:rFonts w:hint="eastAsia" w:eastAsia="仿宋_GB2312"/>
          <w:color w:val="auto"/>
          <w:sz w:val="32"/>
          <w:szCs w:val="32"/>
          <w:highlight w:val="none"/>
          <w:lang w:val="en-US" w:eastAsia="zh-CN"/>
        </w:rPr>
        <w:t>416</w:t>
      </w:r>
      <w:r>
        <w:rPr>
          <w:rFonts w:eastAsia="仿宋_GB2312"/>
          <w:color w:val="auto"/>
          <w:sz w:val="32"/>
          <w:szCs w:val="32"/>
          <w:highlight w:val="none"/>
        </w:rPr>
        <w:t>万元，其中：财政本级资金</w:t>
      </w:r>
      <w:r>
        <w:rPr>
          <w:rFonts w:hint="eastAsia" w:eastAsia="仿宋_GB2312"/>
          <w:color w:val="auto"/>
          <w:sz w:val="32"/>
          <w:szCs w:val="32"/>
          <w:highlight w:val="none"/>
          <w:lang w:val="en-US" w:eastAsia="zh-CN"/>
        </w:rPr>
        <w:t>416</w:t>
      </w:r>
      <w:r>
        <w:rPr>
          <w:rFonts w:eastAsia="仿宋_GB2312"/>
          <w:color w:val="auto"/>
          <w:sz w:val="32"/>
          <w:szCs w:val="32"/>
          <w:highlight w:val="none"/>
        </w:rPr>
        <w:t>万元。项目实际支出</w:t>
      </w:r>
      <w:r>
        <w:rPr>
          <w:rFonts w:hint="eastAsia" w:eastAsia="仿宋_GB2312"/>
          <w:color w:val="auto"/>
          <w:sz w:val="32"/>
          <w:szCs w:val="32"/>
          <w:highlight w:val="none"/>
          <w:lang w:val="en-US" w:eastAsia="zh-CN"/>
        </w:rPr>
        <w:t>391.381374</w:t>
      </w:r>
      <w:r>
        <w:rPr>
          <w:rFonts w:eastAsia="仿宋_GB2312"/>
          <w:color w:val="auto"/>
          <w:sz w:val="32"/>
          <w:szCs w:val="32"/>
          <w:highlight w:val="none"/>
        </w:rPr>
        <w:t>万元，支出率为</w:t>
      </w:r>
      <w:r>
        <w:rPr>
          <w:rFonts w:hint="eastAsia" w:eastAsia="仿宋_GB2312"/>
          <w:color w:val="auto"/>
          <w:sz w:val="32"/>
          <w:szCs w:val="32"/>
          <w:highlight w:val="none"/>
          <w:lang w:val="en-US" w:eastAsia="zh-CN"/>
        </w:rPr>
        <w:t>94</w:t>
      </w:r>
      <w:r>
        <w:rPr>
          <w:rFonts w:eastAsia="仿宋_GB2312"/>
          <w:color w:val="auto"/>
          <w:sz w:val="32"/>
          <w:szCs w:val="32"/>
          <w:highlight w:val="none"/>
        </w:rPr>
        <w:t>%。</w:t>
      </w:r>
    </w:p>
    <w:p>
      <w:pPr>
        <w:spacing w:line="6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pPr>
        <w:spacing w:line="600" w:lineRule="exact"/>
        <w:ind w:firstLine="640" w:firstLineChars="200"/>
        <w:rPr>
          <w:rFonts w:hint="default" w:eastAsia="仿宋_GB2312"/>
          <w:color w:val="auto"/>
          <w:sz w:val="20"/>
          <w:szCs w:val="20"/>
          <w:highlight w:val="none"/>
          <w:lang w:val="en-US" w:eastAsia="zh-CN"/>
        </w:rPr>
      </w:pPr>
      <w:r>
        <w:rPr>
          <w:rFonts w:eastAsia="仿宋_GB2312"/>
          <w:color w:val="auto"/>
          <w:sz w:val="32"/>
          <w:szCs w:val="32"/>
          <w:highlight w:val="none"/>
        </w:rPr>
        <w:t>（1）资金</w:t>
      </w:r>
      <w:r>
        <w:rPr>
          <w:rFonts w:hint="eastAsia" w:eastAsia="仿宋_GB2312"/>
          <w:color w:val="auto"/>
          <w:sz w:val="32"/>
          <w:szCs w:val="32"/>
          <w:highlight w:val="none"/>
          <w:lang w:val="en-US" w:eastAsia="zh-CN"/>
        </w:rPr>
        <w:t>投入情况</w:t>
      </w:r>
    </w:p>
    <w:p>
      <w:pPr>
        <w:spacing w:line="600" w:lineRule="exact"/>
        <w:ind w:firstLine="640" w:firstLineChars="200"/>
        <w:rPr>
          <w:rFonts w:hint="eastAsia" w:eastAsia="仿宋_GB2312"/>
          <w:sz w:val="32"/>
          <w:szCs w:val="32"/>
        </w:rPr>
      </w:pPr>
      <w:r>
        <w:rPr>
          <w:rFonts w:hint="eastAsia" w:eastAsia="仿宋_GB2312"/>
          <w:color w:val="auto"/>
          <w:sz w:val="32"/>
          <w:szCs w:val="32"/>
          <w:highlight w:val="none"/>
        </w:rPr>
        <w:t>该项目年初预算数</w:t>
      </w:r>
      <w:r>
        <w:rPr>
          <w:rFonts w:hint="eastAsia" w:eastAsia="仿宋_GB2312"/>
          <w:color w:val="auto"/>
          <w:sz w:val="32"/>
          <w:szCs w:val="32"/>
          <w:highlight w:val="none"/>
          <w:lang w:val="en-US" w:eastAsia="zh-CN"/>
        </w:rPr>
        <w:t>416</w:t>
      </w:r>
      <w:r>
        <w:rPr>
          <w:rFonts w:hint="eastAsia" w:eastAsia="仿宋_GB2312"/>
          <w:color w:val="auto"/>
          <w:sz w:val="32"/>
          <w:szCs w:val="32"/>
          <w:highlight w:val="none"/>
        </w:rPr>
        <w:t>万元，全年预算数</w:t>
      </w:r>
      <w:r>
        <w:rPr>
          <w:rFonts w:hint="eastAsia" w:eastAsia="仿宋_GB2312"/>
          <w:color w:val="auto"/>
          <w:sz w:val="32"/>
          <w:szCs w:val="32"/>
          <w:highlight w:val="none"/>
          <w:lang w:val="en-US" w:eastAsia="zh-CN"/>
        </w:rPr>
        <w:t>416</w:t>
      </w:r>
      <w:r>
        <w:rPr>
          <w:rFonts w:hint="eastAsia" w:eastAsia="仿宋_GB2312"/>
          <w:color w:val="auto"/>
          <w:sz w:val="32"/>
          <w:szCs w:val="32"/>
          <w:highlight w:val="none"/>
        </w:rPr>
        <w:t>万元（有年中追加资金，全年预算数=年初预算数+追加资金），实际总投入</w:t>
      </w:r>
      <w:r>
        <w:rPr>
          <w:rFonts w:hint="eastAsia" w:eastAsia="仿宋_GB2312"/>
          <w:color w:val="auto"/>
          <w:sz w:val="32"/>
          <w:szCs w:val="32"/>
          <w:highlight w:val="none"/>
          <w:lang w:val="en-US" w:eastAsia="zh-CN"/>
        </w:rPr>
        <w:t>416</w:t>
      </w:r>
      <w:r>
        <w:rPr>
          <w:rFonts w:hint="eastAsia" w:eastAsia="仿宋_GB2312"/>
          <w:color w:val="auto"/>
          <w:sz w:val="32"/>
          <w:szCs w:val="32"/>
          <w:highlight w:val="none"/>
        </w:rPr>
        <w:t>万元，该项目资金已全部落实到位（或该项目资金落实到位</w:t>
      </w:r>
      <w:r>
        <w:rPr>
          <w:rFonts w:hint="eastAsia" w:eastAsia="仿宋_GB2312"/>
          <w:color w:val="auto"/>
          <w:sz w:val="32"/>
          <w:szCs w:val="32"/>
          <w:highlight w:val="none"/>
          <w:lang w:val="en-US" w:eastAsia="zh-CN"/>
        </w:rPr>
        <w:t>416</w:t>
      </w:r>
      <w:r>
        <w:rPr>
          <w:rFonts w:hint="eastAsia" w:eastAsia="仿宋_GB2312"/>
          <w:color w:val="auto"/>
          <w:sz w:val="32"/>
          <w:szCs w:val="32"/>
          <w:highlight w:val="none"/>
        </w:rPr>
        <w:t>万元），资金来源为</w:t>
      </w:r>
      <w:r>
        <w:rPr>
          <w:rFonts w:hint="eastAsia" w:eastAsia="仿宋_GB2312"/>
          <w:color w:val="auto"/>
          <w:sz w:val="32"/>
          <w:szCs w:val="32"/>
          <w:highlight w:val="none"/>
          <w:lang w:val="en-US" w:eastAsia="zh-CN"/>
        </w:rPr>
        <w:t>食品药品监管补助项目</w:t>
      </w:r>
      <w:r>
        <w:rPr>
          <w:rFonts w:hint="eastAsia" w:eastAsia="仿宋_GB2312"/>
          <w:color w:val="auto"/>
          <w:sz w:val="32"/>
          <w:szCs w:val="32"/>
          <w:highlight w:val="none"/>
        </w:rPr>
        <w:t xml:space="preserve"> </w:t>
      </w:r>
      <w:r>
        <w:rPr>
          <w:rFonts w:hint="eastAsia" w:eastAsia="仿宋_GB2312"/>
          <w:sz w:val="32"/>
          <w:szCs w:val="32"/>
        </w:rPr>
        <w:t xml:space="preserve">    。</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项目总投资</w:t>
      </w:r>
      <w:r>
        <w:rPr>
          <w:rFonts w:hint="eastAsia" w:eastAsia="仿宋_GB2312"/>
          <w:color w:val="auto"/>
          <w:sz w:val="32"/>
          <w:szCs w:val="32"/>
          <w:highlight w:val="none"/>
          <w:lang w:val="en-US" w:eastAsia="zh-CN"/>
        </w:rPr>
        <w:t>416</w:t>
      </w:r>
      <w:r>
        <w:rPr>
          <w:rFonts w:eastAsia="仿宋_GB2312"/>
          <w:color w:val="auto"/>
          <w:sz w:val="32"/>
          <w:szCs w:val="32"/>
          <w:highlight w:val="none"/>
        </w:rPr>
        <w:t>万元，</w:t>
      </w:r>
    </w:p>
    <w:p>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（2）资金使用情况</w:t>
      </w:r>
      <w:bookmarkStart w:id="0" w:name="page10"/>
      <w:bookmarkEnd w:id="0"/>
    </w:p>
    <w:p>
      <w:pPr>
        <w:pStyle w:val="19"/>
        <w:spacing w:before="0" w:after="0" w:line="600" w:lineRule="exact"/>
        <w:ind w:firstLine="640" w:firstLineChars="200"/>
        <w:jc w:val="both"/>
        <w:rPr>
          <w:rFonts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rPr>
        <w:t>该项目年初预算数</w:t>
      </w:r>
      <w:r>
        <w:rPr>
          <w:rFonts w:hint="eastAsia" w:ascii="Times New Roman" w:hAnsi="Times New Roman" w:eastAsia="仿宋_GB2312"/>
          <w:b w:val="0"/>
          <w:bCs w:val="0"/>
          <w:color w:val="auto"/>
          <w:kern w:val="2"/>
          <w:highlight w:val="none"/>
          <w:lang w:val="en-US" w:eastAsia="zh-CN"/>
        </w:rPr>
        <w:t>416</w:t>
      </w:r>
      <w:r>
        <w:rPr>
          <w:rFonts w:hint="eastAsia" w:ascii="Times New Roman" w:hAnsi="Times New Roman" w:eastAsia="仿宋_GB2312"/>
          <w:b w:val="0"/>
          <w:bCs w:val="0"/>
          <w:color w:val="auto"/>
          <w:kern w:val="2"/>
          <w:highlight w:val="none"/>
        </w:rPr>
        <w:t>万元，全年预算数</w:t>
      </w:r>
      <w:r>
        <w:rPr>
          <w:rFonts w:hint="eastAsia" w:ascii="Times New Roman" w:hAnsi="Times New Roman" w:eastAsia="仿宋_GB2312"/>
          <w:b w:val="0"/>
          <w:bCs w:val="0"/>
          <w:color w:val="auto"/>
          <w:kern w:val="2"/>
          <w:highlight w:val="none"/>
          <w:lang w:val="en-US" w:eastAsia="zh-CN"/>
        </w:rPr>
        <w:t>416</w:t>
      </w:r>
      <w:r>
        <w:rPr>
          <w:rFonts w:hint="eastAsia" w:ascii="Times New Roman" w:hAnsi="Times New Roman" w:eastAsia="仿宋_GB2312"/>
          <w:b w:val="0"/>
          <w:bCs w:val="0"/>
          <w:color w:val="auto"/>
          <w:kern w:val="2"/>
          <w:highlight w:val="none"/>
        </w:rPr>
        <w:t>万元</w:t>
      </w:r>
      <w:r>
        <w:rPr>
          <w:rFonts w:hint="eastAsia" w:ascii="Times New Roman" w:hAnsi="Times New Roman" w:eastAsia="仿宋_GB2312"/>
          <w:b w:val="0"/>
          <w:bCs w:val="0"/>
          <w:color w:val="auto"/>
          <w:kern w:val="2"/>
          <w:highlight w:val="none"/>
          <w:lang w:val="en-US" w:eastAsia="zh-CN"/>
        </w:rPr>
        <w:t>,</w:t>
      </w:r>
      <w:r>
        <w:rPr>
          <w:rFonts w:hint="eastAsia" w:ascii="Times New Roman" w:hAnsi="Times New Roman" w:eastAsia="仿宋_GB2312"/>
          <w:b w:val="0"/>
          <w:bCs w:val="0"/>
          <w:color w:val="auto"/>
          <w:kern w:val="2"/>
          <w:highlight w:val="none"/>
        </w:rPr>
        <w:t>（有年中追加资金，全年预算数=年初预算数+追加资金），全年执行数</w:t>
      </w:r>
      <w:r>
        <w:rPr>
          <w:rFonts w:hint="eastAsia" w:ascii="Times New Roman" w:hAnsi="Times New Roman" w:eastAsia="仿宋_GB2312"/>
          <w:b w:val="0"/>
          <w:bCs w:val="0"/>
          <w:color w:val="auto"/>
          <w:kern w:val="2"/>
          <w:highlight w:val="none"/>
          <w:lang w:val="en-US" w:eastAsia="zh-CN"/>
        </w:rPr>
        <w:t>391.381374</w:t>
      </w:r>
      <w:r>
        <w:rPr>
          <w:rFonts w:hint="eastAsia" w:ascii="Times New Roman" w:hAnsi="Times New Roman" w:eastAsia="仿宋_GB2312"/>
          <w:b w:val="0"/>
          <w:bCs w:val="0"/>
          <w:color w:val="auto"/>
          <w:kern w:val="2"/>
          <w:highlight w:val="none"/>
        </w:rPr>
        <w:t>万元，预算执行率为</w:t>
      </w:r>
      <w:r>
        <w:rPr>
          <w:rFonts w:hint="eastAsia" w:ascii="Times New Roman" w:hAnsi="Times New Roman" w:eastAsia="仿宋_GB2312"/>
          <w:b w:val="0"/>
          <w:bCs w:val="0"/>
          <w:color w:val="auto"/>
          <w:kern w:val="2"/>
          <w:highlight w:val="none"/>
          <w:lang w:val="en-US" w:eastAsia="zh-CN"/>
        </w:rPr>
        <w:t>94</w:t>
      </w:r>
      <w:r>
        <w:rPr>
          <w:rFonts w:hint="eastAsia" w:ascii="Times New Roman" w:hAnsi="Times New Roman" w:eastAsia="仿宋_GB2312"/>
          <w:b w:val="0"/>
          <w:bCs w:val="0"/>
          <w:color w:val="auto"/>
          <w:kern w:val="2"/>
          <w:highlight w:val="none"/>
        </w:rPr>
        <w:t>%（预算执行率=全年执行数/全年预算数），主要</w:t>
      </w:r>
      <w:r>
        <w:rPr>
          <w:rFonts w:ascii="Times New Roman" w:hAnsi="Times New Roman" w:eastAsia="仿宋_GB2312"/>
          <w:b w:val="0"/>
          <w:bCs w:val="0"/>
          <w:color w:val="auto"/>
          <w:kern w:val="2"/>
          <w:highlight w:val="none"/>
        </w:rPr>
        <w:t>用于</w:t>
      </w:r>
      <w:r>
        <w:rPr>
          <w:rFonts w:hint="eastAsia" w:ascii="Times New Roman" w:hAnsi="Times New Roman" w:eastAsia="仿宋_GB2312"/>
          <w:b w:val="0"/>
          <w:bCs w:val="0"/>
          <w:color w:val="auto"/>
          <w:kern w:val="2"/>
          <w:highlight w:val="none"/>
        </w:rPr>
        <w:t>：</w:t>
      </w:r>
      <w:r>
        <w:rPr>
          <w:rFonts w:hint="eastAsia" w:eastAsia="仿宋_GB2312"/>
          <w:b w:val="0"/>
          <w:bCs w:val="0"/>
          <w:color w:val="auto"/>
          <w:sz w:val="32"/>
          <w:szCs w:val="32"/>
          <w:highlight w:val="none"/>
          <w:lang w:val="en-US" w:eastAsia="zh-CN"/>
        </w:rPr>
        <w:t>食品药品监管补助项目</w:t>
      </w:r>
      <w:r>
        <w:rPr>
          <w:rFonts w:hint="eastAsia" w:ascii="Times New Roman" w:hAnsi="Times New Roman" w:eastAsia="仿宋_GB2312"/>
          <w:b w:val="0"/>
          <w:bCs w:val="0"/>
          <w:color w:val="auto"/>
          <w:kern w:val="2"/>
          <w:highlight w:val="none"/>
        </w:rPr>
        <w:t>。</w:t>
      </w:r>
    </w:p>
    <w:p>
      <w:pPr>
        <w:spacing w:line="60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pPr>
        <w:spacing w:line="600" w:lineRule="exact"/>
        <w:ind w:firstLine="640" w:firstLineChars="200"/>
        <w:rPr>
          <w:rFonts w:hint="eastAsia" w:eastAsia="仿宋_GB2312"/>
          <w:color w:val="auto"/>
          <w:sz w:val="32"/>
          <w:szCs w:val="32"/>
          <w:highlight w:val="none"/>
          <w:lang w:eastAsia="zh-CN"/>
        </w:rPr>
      </w:pPr>
      <w:r>
        <w:rPr>
          <w:rFonts w:eastAsia="仿宋_GB2312"/>
          <w:color w:val="auto"/>
          <w:sz w:val="32"/>
          <w:szCs w:val="32"/>
          <w:highlight w:val="none"/>
        </w:rPr>
        <w:t>1、总体目标</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目标表中年度预期总体目标</w:t>
      </w:r>
      <w:r>
        <w:rPr>
          <w:rFonts w:hint="eastAsia" w:eastAsia="仿宋_GB2312"/>
          <w:color w:val="auto"/>
          <w:sz w:val="32"/>
          <w:szCs w:val="32"/>
          <w:highlight w:val="none"/>
          <w:lang w:eastAsia="zh-CN"/>
        </w:rPr>
        <w:t>）</w:t>
      </w:r>
    </w:p>
    <w:p>
      <w:pPr>
        <w:spacing w:line="360" w:lineRule="auto"/>
        <w:ind w:firstLine="640" w:firstLineChars="200"/>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完成食品安全抽检监测工作2311余批次抽检任务；完成对不合格食品和问题食品的检验结果上报上级主管部门；系统内食品安全抽检测能力显著提升，食品安全抽检水平稳步提升，促进食品行业健康有序发展。</w:t>
      </w:r>
    </w:p>
    <w:p>
      <w:pPr>
        <w:pStyle w:val="2"/>
        <w:rPr>
          <w:rFonts w:hint="eastAsia"/>
          <w:color w:val="auto"/>
          <w:highlight w:val="none"/>
          <w:lang w:eastAsia="zh-CN"/>
        </w:rPr>
      </w:pPr>
    </w:p>
    <w:p>
      <w:pPr>
        <w:spacing w:line="600" w:lineRule="exact"/>
        <w:ind w:firstLine="640" w:firstLineChars="200"/>
        <w:rPr>
          <w:rFonts w:eastAsia="楷体"/>
          <w:b/>
          <w:color w:val="auto"/>
          <w:spacing w:val="-4"/>
          <w:sz w:val="32"/>
          <w:szCs w:val="32"/>
          <w:highlight w:val="none"/>
        </w:rPr>
      </w:pPr>
      <w:r>
        <w:rPr>
          <w:rFonts w:eastAsia="仿宋_GB2312"/>
          <w:color w:val="auto"/>
          <w:sz w:val="32"/>
          <w:szCs w:val="32"/>
          <w:highlight w:val="none"/>
        </w:rPr>
        <w:t>2、阶段性目标</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可根据项目情况自行修改描述</w:t>
      </w:r>
      <w:r>
        <w:rPr>
          <w:rFonts w:hint="eastAsia" w:eastAsia="仿宋_GB2312"/>
          <w:color w:val="auto"/>
          <w:spacing w:val="17"/>
          <w:sz w:val="32"/>
          <w:szCs w:val="32"/>
          <w:highlight w:val="none"/>
          <w:lang w:eastAsia="zh-CN"/>
        </w:rPr>
        <w:t>）</w:t>
      </w:r>
    </w:p>
    <w:p>
      <w:pPr>
        <w:spacing w:line="600" w:lineRule="exact"/>
        <w:ind w:firstLine="640" w:firstLineChars="200"/>
        <w:rPr>
          <w:rFonts w:eastAsia="仿宋_GB2312"/>
          <w:sz w:val="32"/>
          <w:szCs w:val="32"/>
        </w:rPr>
      </w:pPr>
      <w:r>
        <w:rPr>
          <w:rFonts w:eastAsia="仿宋_GB2312"/>
          <w:color w:val="auto"/>
          <w:sz w:val="32"/>
          <w:szCs w:val="32"/>
          <w:highlight w:val="none"/>
        </w:rPr>
        <w:t>（1）前期准备：通过制定项目实施方案，经项目负</w:t>
      </w:r>
      <w:r>
        <w:rPr>
          <w:rFonts w:eastAsia="仿宋_GB2312"/>
          <w:sz w:val="32"/>
          <w:szCs w:val="32"/>
        </w:rPr>
        <w:t>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yellow"/>
        </w:rPr>
      </w:pPr>
      <w:r>
        <w:rPr>
          <w:rFonts w:hint="eastAsia" w:eastAsia="仿宋_GB2312"/>
          <w:b w:val="0"/>
          <w:bCs w:val="0"/>
          <w:color w:val="auto"/>
          <w:sz w:val="32"/>
          <w:szCs w:val="32"/>
          <w:highlight w:val="none"/>
          <w:lang w:val="en-US" w:eastAsia="zh-CN"/>
        </w:rPr>
        <w:t>食品药品监管补助项目</w:t>
      </w:r>
      <w:r>
        <w:rPr>
          <w:rFonts w:hint="eastAsia" w:ascii="仿宋_GB2312" w:hAnsi="仿宋_GB2312" w:eastAsia="仿宋_GB2312" w:cs="仿宋_GB2312"/>
          <w:sz w:val="32"/>
          <w:szCs w:val="32"/>
          <w:highlight w:val="none"/>
        </w:rPr>
        <w:t>所包含的全部项目建设内容。</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eastAsia" w:eastAsia="仿宋_GB2312"/>
          <w:b w:val="0"/>
          <w:bCs w:val="0"/>
          <w:color w:val="auto"/>
          <w:sz w:val="32"/>
          <w:szCs w:val="32"/>
          <w:highlight w:val="none"/>
          <w:lang w:val="en-US" w:eastAsia="zh-CN"/>
        </w:rPr>
        <w:t>食品药品监管补助项目</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9"/>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9"/>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hint="eastAsia" w:eastAsia="仿宋_GB2312"/>
          <w:color w:val="auto"/>
          <w:spacing w:val="17"/>
          <w:sz w:val="32"/>
          <w:szCs w:val="32"/>
          <w:highlight w:val="none"/>
          <w:lang w:eastAsia="zh-CN"/>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可根据项目情况修改评价方法</w:t>
      </w:r>
      <w:r>
        <w:rPr>
          <w:rFonts w:hint="eastAsia" w:eastAsia="仿宋_GB2312"/>
          <w:color w:val="auto"/>
          <w:spacing w:val="17"/>
          <w:sz w:val="32"/>
          <w:szCs w:val="32"/>
          <w:highlight w:val="none"/>
          <w:lang w:eastAsia="zh-CN"/>
        </w:rPr>
        <w:t>）</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绩效评价标准通常包括计划标准、行业标准、历史标准等，用于对绩效指标完成情况进行比较。本次评价主要采用了计划标准和行业标准。</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可根据项目情况修改评价标准</w:t>
      </w:r>
      <w:r>
        <w:rPr>
          <w:rFonts w:hint="eastAsia" w:eastAsia="仿宋_GB2312"/>
          <w:color w:val="auto"/>
          <w:spacing w:val="17"/>
          <w:sz w:val="32"/>
          <w:szCs w:val="32"/>
          <w:highlight w:val="none"/>
          <w:lang w:eastAsia="zh-CN"/>
        </w:rPr>
        <w:t>）</w:t>
      </w:r>
    </w:p>
    <w:p>
      <w:pPr>
        <w:pStyle w:val="19"/>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19"/>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highlight w:val="none"/>
        </w:rPr>
        <w:t>对</w:t>
      </w:r>
      <w:r>
        <w:rPr>
          <w:rFonts w:hint="eastAsia" w:ascii="Times New Roman" w:hAnsi="Times New Roman" w:eastAsia="仿宋_GB2312"/>
          <w:b w:val="0"/>
          <w:bCs w:val="0"/>
          <w:highlight w:val="none"/>
          <w:lang w:val="en-US" w:eastAsia="zh-CN"/>
        </w:rPr>
        <w:t>食品药品监管</w:t>
      </w:r>
      <w:r>
        <w:rPr>
          <w:rFonts w:ascii="Times New Roman" w:hAnsi="Times New Roman" w:eastAsia="仿宋_GB2312"/>
          <w:b w:val="0"/>
          <w:bCs w:val="0"/>
          <w:highlight w:val="none"/>
        </w:rPr>
        <w:t xml:space="preserve">项目进行客观评价，最终评分结果：总得分为 </w:t>
      </w:r>
      <w:r>
        <w:rPr>
          <w:rFonts w:hint="eastAsia" w:ascii="Times New Roman" w:hAnsi="Times New Roman" w:eastAsia="仿宋_GB2312"/>
          <w:b w:val="0"/>
          <w:bCs w:val="0"/>
          <w:highlight w:val="none"/>
          <w:lang w:val="en-US" w:eastAsia="zh-CN"/>
        </w:rPr>
        <w:t>95.96</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18</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19.76</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98.8</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lang w:val="en-US" w:eastAsia="zh-CN"/>
        </w:rPr>
        <w:t>4</w:t>
      </w:r>
      <w:r>
        <w:rPr>
          <w:rFonts w:ascii="Times New Roman" w:hAnsi="Times New Roman" w:eastAsia="仿宋_GB2312"/>
          <w:b w:val="0"/>
          <w:bCs w:val="0"/>
          <w:highlight w:val="none"/>
        </w:rPr>
        <w:t>0分，得分为</w:t>
      </w:r>
      <w:r>
        <w:rPr>
          <w:rFonts w:hint="eastAsia" w:ascii="Times New Roman" w:hAnsi="Times New Roman" w:eastAsia="仿宋_GB2312"/>
          <w:b w:val="0"/>
          <w:bCs w:val="0"/>
          <w:highlight w:val="none"/>
          <w:lang w:val="en-US" w:eastAsia="zh-CN"/>
        </w:rPr>
        <w:t>38.2</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95.5</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lang w:val="en-US" w:eastAsia="zh-CN"/>
        </w:rPr>
        <w:t>2</w:t>
      </w:r>
      <w:r>
        <w:rPr>
          <w:rFonts w:ascii="Times New Roman" w:hAnsi="Times New Roman" w:eastAsia="仿宋_GB2312"/>
          <w:b w:val="0"/>
          <w:bCs w:val="0"/>
          <w:highlight w:val="none"/>
        </w:rPr>
        <w:t>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19"/>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　</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kern w:val="0"/>
                <w:sz w:val="22"/>
                <w:szCs w:val="22"/>
                <w:highlight w:val="none"/>
              </w:rPr>
              <w:t>20分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val="en-US"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rFonts w:hint="default"/>
                <w:color w:val="000000"/>
                <w:kern w:val="0"/>
                <w:sz w:val="22"/>
                <w:szCs w:val="22"/>
                <w:highlight w:val="none"/>
                <w:lang w:val="en-US"/>
              </w:rPr>
            </w:pPr>
            <w:r>
              <w:rPr>
                <w:rFonts w:hint="eastAsia"/>
                <w:color w:val="000000"/>
                <w:kern w:val="0"/>
                <w:sz w:val="22"/>
                <w:szCs w:val="22"/>
                <w:highlight w:val="none"/>
                <w:lang w:val="en-US" w:eastAsia="zh-CN"/>
              </w:rPr>
              <w:t>50%</w:t>
            </w:r>
          </w:p>
        </w:tc>
        <w:tc>
          <w:tcPr>
            <w:tcW w:w="960"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过程</w:t>
            </w:r>
          </w:p>
          <w:p>
            <w:pPr>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kern w:val="0"/>
                <w:sz w:val="22"/>
                <w:szCs w:val="22"/>
                <w:highlight w:val="none"/>
              </w:rPr>
              <w:t>20分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continue"/>
            <w:shd w:val="clear" w:color="auto" w:fill="FFFFFF"/>
            <w:vAlign w:val="center"/>
          </w:tcPr>
          <w:p>
            <w:pPr>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rFonts w:hint="default"/>
                <w:color w:val="000000"/>
                <w:kern w:val="0"/>
                <w:sz w:val="22"/>
                <w:szCs w:val="22"/>
                <w:highlight w:val="none"/>
                <w:lang w:val="en-US"/>
              </w:rPr>
            </w:pPr>
            <w:r>
              <w:rPr>
                <w:rFonts w:hint="eastAsia"/>
                <w:color w:val="000000"/>
                <w:kern w:val="0"/>
                <w:sz w:val="22"/>
                <w:szCs w:val="22"/>
                <w:highlight w:val="none"/>
                <w:lang w:val="en-US" w:eastAsia="zh-CN"/>
              </w:rPr>
              <w:t>94%</w:t>
            </w:r>
          </w:p>
        </w:tc>
        <w:tc>
          <w:tcPr>
            <w:tcW w:w="960"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3.76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kern w:val="0"/>
                <w:sz w:val="22"/>
                <w:szCs w:val="22"/>
                <w:highlight w:val="none"/>
              </w:rPr>
              <w:t>40分</w:t>
            </w: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color w:val="000000"/>
                <w:kern w:val="0"/>
                <w:sz w:val="22"/>
                <w:szCs w:val="22"/>
                <w:highlight w:val="none"/>
                <w:lang w:val="en-US"/>
              </w:rPr>
            </w:pPr>
            <w:r>
              <w:rPr>
                <w:rFonts w:hint="eastAsia"/>
                <w:color w:val="000000"/>
                <w:kern w:val="0"/>
                <w:sz w:val="22"/>
                <w:szCs w:val="22"/>
                <w:highlight w:val="none"/>
                <w:lang w:val="en-US" w:eastAsia="zh-CN"/>
              </w:rPr>
              <w:t>94%</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rFonts w:hint="default"/>
                <w:color w:val="000000"/>
                <w:kern w:val="0"/>
                <w:sz w:val="22"/>
                <w:szCs w:val="22"/>
                <w:highlight w:val="none"/>
                <w:lang w:val="en-US"/>
              </w:rPr>
            </w:pPr>
            <w:r>
              <w:rPr>
                <w:rFonts w:hint="eastAsia"/>
                <w:color w:val="000000"/>
                <w:kern w:val="0"/>
                <w:sz w:val="22"/>
                <w:szCs w:val="22"/>
                <w:highlight w:val="none"/>
                <w:lang w:val="en-US" w:eastAsia="zh-CN"/>
              </w:rPr>
              <w:t>94%</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color w:val="000000"/>
                <w:kern w:val="0"/>
                <w:sz w:val="22"/>
                <w:szCs w:val="22"/>
                <w:highlight w:val="none"/>
                <w:lang w:val="en-US"/>
              </w:rPr>
            </w:pPr>
            <w:r>
              <w:rPr>
                <w:rFonts w:hint="eastAsia"/>
                <w:color w:val="000000"/>
                <w:kern w:val="0"/>
                <w:sz w:val="22"/>
                <w:szCs w:val="22"/>
                <w:highlight w:val="none"/>
                <w:lang w:val="en-US" w:eastAsia="zh-CN"/>
              </w:rPr>
              <w:t>94%</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eastAsia="仿宋_GB2312"/>
                <w:color w:val="000000"/>
                <w:kern w:val="0"/>
                <w:sz w:val="22"/>
                <w:szCs w:val="22"/>
                <w:highlight w:val="none"/>
                <w:lang w:val="en-US" w:eastAsia="zh-CN"/>
              </w:rPr>
              <w:t>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20分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p>
            <w:pPr>
              <w:widowControl/>
              <w:spacing w:line="0" w:lineRule="atLeast"/>
              <w:jc w:val="center"/>
              <w:rPr>
                <w:color w:val="000000"/>
                <w:kern w:val="0"/>
                <w:sz w:val="22"/>
                <w:szCs w:val="22"/>
                <w:highlight w:val="none"/>
              </w:rPr>
            </w:pPr>
            <w:r>
              <w:rPr>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10</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bl>
    <w:p>
      <w:pPr>
        <w:pStyle w:val="2"/>
      </w:pPr>
    </w:p>
    <w:p/>
    <w:p/>
    <w:p>
      <w:pPr>
        <w:spacing w:line="600" w:lineRule="exact"/>
        <w:ind w:firstLine="320" w:firstLineChars="100"/>
        <w:rPr>
          <w:rFonts w:eastAsia="黑体"/>
          <w:sz w:val="32"/>
          <w:szCs w:val="32"/>
        </w:rPr>
      </w:pPr>
      <w:r>
        <w:rPr>
          <w:rFonts w:eastAsia="黑体"/>
          <w:sz w:val="32"/>
          <w:szCs w:val="32"/>
        </w:rPr>
        <w:t>四、绩效评价指标分析</w:t>
      </w:r>
    </w:p>
    <w:p>
      <w:pPr>
        <w:pStyle w:val="19"/>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19"/>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eastAsia="仿宋_GB2312"/>
          <w:sz w:val="32"/>
          <w:szCs w:val="32"/>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总投416万元，</w:t>
      </w:r>
      <w:r>
        <w:rPr>
          <w:rFonts w:hint="eastAsia" w:ascii="仿宋_GB2312" w:hAnsi="仿宋_GB2312" w:eastAsia="仿宋_GB2312" w:cs="仿宋_GB2312"/>
          <w:sz w:val="32"/>
          <w:szCs w:val="32"/>
          <w:highlight w:val="none"/>
        </w:rPr>
        <w:t>资金的到位率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%，执行率</w:t>
      </w:r>
      <w:r>
        <w:rPr>
          <w:rFonts w:hint="eastAsia" w:ascii="仿宋_GB2312" w:hAnsi="仿宋_GB2312" w:eastAsia="仿宋_GB2312" w:cs="仿宋_GB2312"/>
          <w:sz w:val="32"/>
          <w:szCs w:val="32"/>
          <w:highlight w:val="none"/>
          <w:lang w:val="en-US" w:eastAsia="zh-CN"/>
        </w:rPr>
        <w:t>94</w:t>
      </w:r>
      <w:r>
        <w:rPr>
          <w:rFonts w:hint="eastAsia" w:ascii="仿宋_GB2312" w:hAnsi="仿宋_GB2312" w:eastAsia="仿宋_GB2312" w:cs="仿宋_GB2312"/>
          <w:sz w:val="32"/>
          <w:szCs w:val="32"/>
          <w:highlight w:val="none"/>
        </w:rPr>
        <w:t>%，项目严格按照预期绩效目标执行预算资金。</w:t>
      </w:r>
      <w:r>
        <w:rPr>
          <w:rFonts w:eastAsia="仿宋_GB2312"/>
          <w:sz w:val="32"/>
          <w:szCs w:val="32"/>
          <w:highlight w:val="none"/>
        </w:rPr>
        <w:t>在项目资金拨付和使用过程中，为确保项目资金的安全性，提高项目资金使用效率，严格遵循</w:t>
      </w:r>
      <w:r>
        <w:rPr>
          <w:rFonts w:hint="eastAsia" w:eastAsia="仿宋_GB2312"/>
          <w:sz w:val="32"/>
          <w:szCs w:val="32"/>
          <w:highlight w:val="none"/>
          <w:lang w:val="en-US" w:eastAsia="zh-CN"/>
        </w:rPr>
        <w:t>财政专款专用</w:t>
      </w:r>
      <w:r>
        <w:rPr>
          <w:rFonts w:eastAsia="仿宋_GB2312"/>
          <w:sz w:val="32"/>
          <w:szCs w:val="32"/>
          <w:highlight w:val="none"/>
        </w:rPr>
        <w:t>资金的拨付程序，认真审核项目实施各阶段的相关材料和手续，根据项目实施进</w:t>
      </w:r>
      <w:r>
        <w:rPr>
          <w:rFonts w:eastAsia="仿宋_GB2312"/>
          <w:sz w:val="32"/>
          <w:szCs w:val="32"/>
        </w:rPr>
        <w:t>展情况拨付资金。</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48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 xml:space="preserve">指标1： </w:t>
      </w:r>
      <w:r>
        <w:rPr>
          <w:rFonts w:hint="eastAsia" w:ascii="仿宋_GB2312" w:hAnsi="仿宋_GB2312" w:eastAsia="仿宋_GB2312" w:cs="仿宋_GB2312"/>
          <w:kern w:val="2"/>
          <w:sz w:val="32"/>
          <w:szCs w:val="32"/>
          <w:lang w:val="en-US" w:eastAsia="zh-CN" w:bidi="ar-SA"/>
        </w:rPr>
        <w:t>全年食品安全监督抽检批次指标，指标值为2311批次，自治区实际完成=2338批次，指标完成率100%。</w:t>
      </w:r>
    </w:p>
    <w:p>
      <w:pPr>
        <w:spacing w:line="600" w:lineRule="exact"/>
        <w:ind w:firstLine="640" w:firstLineChars="200"/>
        <w:outlineLvl w:val="0"/>
        <w:rPr>
          <w:rFonts w:hint="default"/>
          <w:lang w:val="en-US" w:eastAsia="zh-CN"/>
        </w:rPr>
      </w:pPr>
      <w:r>
        <w:rPr>
          <w:rFonts w:hint="eastAsia" w:ascii="仿宋_GB2312" w:hAnsi="仿宋_GB2312" w:eastAsia="仿宋_GB2312" w:cs="仿宋_GB2312"/>
          <w:sz w:val="32"/>
          <w:szCs w:val="32"/>
          <w:lang w:val="en-US" w:eastAsia="zh-CN"/>
        </w:rPr>
        <w:t>指标2：</w:t>
      </w:r>
      <w:r>
        <w:rPr>
          <w:rFonts w:hint="eastAsia" w:ascii="仿宋_GB2312" w:hAnsi="仿宋_GB2312" w:eastAsia="仿宋_GB2312" w:cs="仿宋_GB2312"/>
          <w:kern w:val="2"/>
          <w:sz w:val="32"/>
          <w:szCs w:val="32"/>
          <w:lang w:val="en-US" w:eastAsia="zh-CN" w:bidi="ar-SA"/>
        </w:rPr>
        <w:t>落实总局抽检任务，要盖辖区食品种类指标，指标值为31大类中的品种批次，自治区实际完成=31大类中的品种完成率100%。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pStyle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指标1：抽检监测结果系统录入率100%，指标完成率100%。</w:t>
      </w:r>
    </w:p>
    <w:p>
      <w:pPr>
        <w:pStyle w:val="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指标2：食品安全抽样检验信息系统运行100%，指标完成率100%。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指标3：食品抽检秘书处运转100%，指标完成率100%。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48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指标1：全年抽检监测任务完成时间指标，指标值为2021-12-31，指标实际完成率100%。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pStyle w:val="19"/>
        <w:spacing w:before="0" w:after="0" w:line="600" w:lineRule="exact"/>
        <w:ind w:firstLine="643"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lang w:val="en-US" w:eastAsia="zh-CN"/>
        </w:rPr>
        <w:t>指标1：</w:t>
      </w:r>
      <w:r>
        <w:rPr>
          <w:rFonts w:hint="eastAsia" w:ascii="仿宋_GB2312" w:hAnsi="仿宋_GB2312" w:eastAsia="仿宋_GB2312" w:cs="仿宋_GB2312"/>
          <w:b w:val="0"/>
          <w:bCs w:val="0"/>
          <w:kern w:val="2"/>
          <w:sz w:val="32"/>
          <w:szCs w:val="32"/>
          <w:lang w:val="en-US" w:eastAsia="zh-CN" w:bidi="ar-SA"/>
        </w:rPr>
        <w:t>全年食品监督抽检费用指标，指标416万元，实际完成391.381374万元，指标完成率94%。</w:t>
      </w:r>
    </w:p>
    <w:p>
      <w:pPr>
        <w:pStyle w:val="2"/>
        <w:rPr>
          <w:rFonts w:hint="default" w:eastAsia="仿宋_GB2312"/>
          <w:lang w:val="en-US" w:eastAsia="zh-CN"/>
        </w:rPr>
      </w:pPr>
    </w:p>
    <w:p>
      <w:pPr>
        <w:pStyle w:val="19"/>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outlineLvl w:val="0"/>
        <w:rPr>
          <w:rFonts w:hint="eastAsia"/>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经济效益指标：</w:t>
      </w:r>
      <w:r>
        <w:rPr>
          <w:rFonts w:hint="eastAsia" w:ascii="仿宋_GB2312" w:hAnsi="仿宋_GB2312" w:eastAsia="仿宋_GB2312" w:cs="仿宋_GB2312"/>
          <w:sz w:val="32"/>
          <w:szCs w:val="32"/>
          <w:lang w:val="en-US" w:eastAsia="zh-CN"/>
        </w:rPr>
        <w:t>无</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社会效益指标：</w:t>
      </w:r>
      <w:r>
        <w:rPr>
          <w:rFonts w:hint="eastAsia" w:ascii="仿宋_GB2312" w:hAnsi="仿宋_GB2312" w:eastAsia="仿宋_GB2312" w:cs="仿宋_GB2312"/>
          <w:sz w:val="32"/>
          <w:szCs w:val="32"/>
          <w:lang w:val="en-US" w:eastAsia="zh-CN"/>
        </w:rPr>
        <w:t>无</w:t>
      </w:r>
    </w:p>
    <w:p>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③生态效益指标：无</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④可持续影响指标：无</w:t>
      </w:r>
    </w:p>
    <w:p>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⑤满意度指标：</w:t>
      </w:r>
    </w:p>
    <w:p>
      <w:pPr>
        <w:spacing w:line="480" w:lineRule="auto"/>
        <w:ind w:firstLine="640" w:firstLineChars="200"/>
        <w:rPr>
          <w:rFonts w:hint="eastAsia" w:ascii="仿宋" w:hAnsi="仿宋" w:eastAsia="仿宋" w:cs="仿宋"/>
          <w:b w:val="0"/>
          <w:bCs w:val="0"/>
          <w:color w:val="auto"/>
          <w:kern w:val="2"/>
          <w:sz w:val="28"/>
          <w:szCs w:val="28"/>
          <w:highlight w:val="none"/>
          <w:lang w:val="en-US" w:eastAsia="zh-CN" w:bidi="ar-SA"/>
        </w:rPr>
      </w:pPr>
      <w:r>
        <w:rPr>
          <w:rStyle w:val="52"/>
          <w:rFonts w:hint="eastAsia" w:eastAsia="仿宋_GB2312"/>
          <w:lang w:val="en-US" w:eastAsia="zh-CN"/>
        </w:rPr>
        <w:t>指标1：</w:t>
      </w:r>
      <w:r>
        <w:rPr>
          <w:rStyle w:val="52"/>
        </w:rPr>
        <w:t>满意度指标方面：</w:t>
      </w:r>
      <w:r>
        <w:rPr>
          <w:rFonts w:hint="eastAsia" w:ascii="仿宋" w:hAnsi="仿宋" w:eastAsia="仿宋" w:cs="仿宋"/>
          <w:b w:val="0"/>
          <w:bCs w:val="0"/>
          <w:color w:val="auto"/>
          <w:kern w:val="2"/>
          <w:sz w:val="28"/>
          <w:szCs w:val="28"/>
          <w:highlight w:val="none"/>
          <w:lang w:val="en-US" w:eastAsia="zh-CN" w:bidi="ar-SA"/>
        </w:rPr>
        <w:t>全年抽检企业满意度指标，指标值为90%，指标完成率100%。</w:t>
      </w:r>
    </w:p>
    <w:p>
      <w:pPr>
        <w:pStyle w:val="2"/>
        <w:rPr>
          <w:rFonts w:hint="eastAsia"/>
          <w:lang w:val="en-US" w:eastAsia="zh-CN"/>
        </w:rPr>
      </w:pPr>
    </w:p>
    <w:p>
      <w:pPr>
        <w:numPr>
          <w:ilvl w:val="0"/>
          <w:numId w:val="0"/>
        </w:numPr>
        <w:ind w:leftChars="200"/>
      </w:pP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9"/>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pStyle w:val="19"/>
        <w:spacing w:before="0" w:after="0" w:line="600" w:lineRule="exact"/>
        <w:ind w:firstLine="640" w:firstLineChars="200"/>
        <w:jc w:val="both"/>
        <w:rPr>
          <w:rFonts w:hint="default" w:ascii="Times New Roman" w:hAnsi="Times New Roman" w:eastAsia="仿宋_GB2312"/>
          <w:b w:val="0"/>
          <w:bCs w:val="0"/>
          <w:kern w:val="2"/>
          <w:lang w:val="en-US" w:eastAsia="zh-CN"/>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r>
        <w:rPr>
          <w:rFonts w:hint="eastAsia" w:ascii="Times New Roman" w:hAnsi="Times New Roman" w:eastAsia="仿宋_GB2312"/>
          <w:b w:val="0"/>
          <w:bCs w:val="0"/>
          <w:kern w:val="2"/>
          <w:lang w:val="en-US" w:eastAsia="zh-CN"/>
        </w:rPr>
        <w:t>因我所抽样工作覆盖全疆14个地州县，路程较远，抽样量大，抽样组无法及时回到单位进行各项核销工作，导致很多工作滞后，在以后的工作中会合理安排各项工作计划，保证抽检工作顺利进行。</w:t>
      </w:r>
    </w:p>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7"/>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623"/>
        <w:gridCol w:w="624"/>
        <w:gridCol w:w="632"/>
        <w:gridCol w:w="726"/>
        <w:gridCol w:w="1006"/>
        <w:gridCol w:w="411"/>
        <w:gridCol w:w="886"/>
        <w:gridCol w:w="792"/>
        <w:gridCol w:w="498"/>
        <w:gridCol w:w="453"/>
        <w:gridCol w:w="507"/>
        <w:gridCol w:w="372"/>
        <w:gridCol w:w="413"/>
        <w:gridCol w:w="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5"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bookmarkStart w:id="2" w:name="_GoBack"/>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8578"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24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项目名称</w:t>
            </w:r>
          </w:p>
        </w:tc>
        <w:tc>
          <w:tcPr>
            <w:tcW w:w="7331"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2021年食品监管补助项目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24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主管部门</w:t>
            </w:r>
          </w:p>
        </w:tc>
        <w:tc>
          <w:tcPr>
            <w:tcW w:w="3661"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c>
          <w:tcPr>
            <w:tcW w:w="12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实施单位</w:t>
            </w:r>
          </w:p>
        </w:tc>
        <w:tc>
          <w:tcPr>
            <w:tcW w:w="2380"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新疆维吾尔自治区产品质量监督检验研究院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1247"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项目资金</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（万元）</w:t>
            </w:r>
          </w:p>
        </w:tc>
        <w:tc>
          <w:tcPr>
            <w:tcW w:w="13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年初预算数</w:t>
            </w:r>
          </w:p>
        </w:tc>
        <w:tc>
          <w:tcPr>
            <w:tcW w:w="129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全年预算数</w:t>
            </w:r>
          </w:p>
        </w:tc>
        <w:tc>
          <w:tcPr>
            <w:tcW w:w="12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全年执行数</w:t>
            </w:r>
          </w:p>
        </w:tc>
        <w:tc>
          <w:tcPr>
            <w:tcW w:w="96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78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执行率</w:t>
            </w:r>
          </w:p>
        </w:tc>
        <w:tc>
          <w:tcPr>
            <w:tcW w:w="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24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年度资金总额</w:t>
            </w:r>
          </w:p>
        </w:tc>
        <w:tc>
          <w:tcPr>
            <w:tcW w:w="10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416.00</w:t>
            </w:r>
          </w:p>
        </w:tc>
        <w:tc>
          <w:tcPr>
            <w:tcW w:w="129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416.00</w:t>
            </w:r>
          </w:p>
        </w:tc>
        <w:tc>
          <w:tcPr>
            <w:tcW w:w="12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391.38</w:t>
            </w:r>
          </w:p>
        </w:tc>
        <w:tc>
          <w:tcPr>
            <w:tcW w:w="96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78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94.08%</w:t>
            </w:r>
          </w:p>
        </w:tc>
        <w:tc>
          <w:tcPr>
            <w:tcW w:w="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9.41分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39" w:hRule="atLeast"/>
        </w:trPr>
        <w:tc>
          <w:tcPr>
            <w:tcW w:w="124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其中：当年财政拨款</w:t>
            </w:r>
          </w:p>
        </w:tc>
        <w:tc>
          <w:tcPr>
            <w:tcW w:w="10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416</w:t>
            </w:r>
          </w:p>
        </w:tc>
        <w:tc>
          <w:tcPr>
            <w:tcW w:w="129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416</w:t>
            </w:r>
          </w:p>
        </w:tc>
        <w:tc>
          <w:tcPr>
            <w:tcW w:w="12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391.38</w:t>
            </w:r>
          </w:p>
        </w:tc>
        <w:tc>
          <w:tcPr>
            <w:tcW w:w="96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8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24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上年结转资金</w:t>
            </w:r>
          </w:p>
        </w:tc>
        <w:tc>
          <w:tcPr>
            <w:tcW w:w="10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9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8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24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其他资金</w:t>
            </w:r>
          </w:p>
        </w:tc>
        <w:tc>
          <w:tcPr>
            <w:tcW w:w="10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9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2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8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w:t>
            </w:r>
          </w:p>
        </w:tc>
        <w:tc>
          <w:tcPr>
            <w:tcW w:w="4285"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预期目标</w:t>
            </w:r>
          </w:p>
        </w:tc>
        <w:tc>
          <w:tcPr>
            <w:tcW w:w="3670"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85"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根据国家总局对抽检工作的部署安排，结合我区当前工作实际，2023年，计划完成：</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a.抽检监测任务2311批次，需要经费416万元；</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b.食品安全抽检监测系统运行正常；</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c.食品安全监督抽检信息公示；</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d.食品抽检不合格和问题食品核查处置；</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e.食品安全风险预警交流。</w:t>
            </w:r>
          </w:p>
        </w:tc>
        <w:tc>
          <w:tcPr>
            <w:tcW w:w="3670"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根据自治区市场监督管理局工作部署，我所已完成对全疆各地州县抽检检测关工作，完成对不合格食品和问题食品的检验结果上报上级主管部门；系统内食品安全抽检测能力显著提升，食品安全抽检水平稳步提升，促进食品行业健康有序发展。我所已完成各项任务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一级指标</w:t>
            </w:r>
          </w:p>
        </w:tc>
        <w:tc>
          <w:tcPr>
            <w:tcW w:w="63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2143"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88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年度指标值</w:t>
            </w:r>
          </w:p>
        </w:tc>
        <w:tc>
          <w:tcPr>
            <w:tcW w:w="79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实际完成值</w:t>
            </w:r>
          </w:p>
        </w:tc>
        <w:tc>
          <w:tcPr>
            <w:tcW w:w="951"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879"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104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43"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1"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9"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年度绩效指标完成情况</w:t>
            </w:r>
          </w:p>
        </w:tc>
        <w:tc>
          <w:tcPr>
            <w:tcW w:w="62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产出指标</w:t>
            </w: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完成国家食品安全评价性抽检批次</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&gt;=2311批次</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23338批次</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落实本次抽检任务，覆盖辖区食品种类</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=31大类</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31大类</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抽检监测结果系统录入率</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&gt;=100%</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食品安全抽样检验信息系统运行</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食品抽检秘书处运转</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完成时间</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2022年12月31日前</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2022年12月31日前</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抽检成本</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&lt;=416万元</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391.38万元</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效益指标</w:t>
            </w: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经济效益指标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生态效益指标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可持续影响指标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6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2143"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食品安全获得感、幸福感、安全感</w:t>
            </w:r>
          </w:p>
        </w:tc>
        <w:tc>
          <w:tcPr>
            <w:tcW w:w="88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逐步提高</w:t>
            </w:r>
          </w:p>
        </w:tc>
        <w:tc>
          <w:tcPr>
            <w:tcW w:w="7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逐步提高</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700"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总分</w:t>
            </w:r>
          </w:p>
        </w:tc>
        <w:tc>
          <w:tcPr>
            <w:tcW w:w="95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98.41分</w:t>
            </w:r>
          </w:p>
        </w:tc>
        <w:tc>
          <w:tcPr>
            <w:tcW w:w="104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bookmarkEnd w:id="2"/>
    </w:tbl>
    <w:p>
      <w:pPr>
        <w:pStyle w:val="19"/>
        <w:jc w:val="both"/>
        <w:rPr>
          <w:rFonts w:ascii="Times New Roman" w:hAnsi="Times New Roman" w:eastAsia="黑体"/>
          <w:b w:val="0"/>
          <w:bCs w:val="0"/>
        </w:rPr>
      </w:pPr>
    </w:p>
    <w:p>
      <w:pPr>
        <w:pStyle w:val="19"/>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val="en-US" w:eastAsia="zh-CN"/>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5</w:t>
            </w:r>
          </w:p>
        </w:tc>
      </w:tr>
    </w:tbl>
    <w:p>
      <w:pPr>
        <w:pStyle w:val="19"/>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wYmVkNDk5ZTUzMmU2N2M2NjI3MDQ5MGQ2N2U4Njg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15507"/>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1F64D0F"/>
    <w:rsid w:val="051A56F5"/>
    <w:rsid w:val="066D6EAA"/>
    <w:rsid w:val="06DC1681"/>
    <w:rsid w:val="08C662D4"/>
    <w:rsid w:val="09A32E69"/>
    <w:rsid w:val="09BD4D95"/>
    <w:rsid w:val="0B0F58D6"/>
    <w:rsid w:val="0F7F5F14"/>
    <w:rsid w:val="0F8D41CB"/>
    <w:rsid w:val="0FEE2F21"/>
    <w:rsid w:val="11C75270"/>
    <w:rsid w:val="122E4051"/>
    <w:rsid w:val="12637CC3"/>
    <w:rsid w:val="12E657C5"/>
    <w:rsid w:val="133C6E2A"/>
    <w:rsid w:val="13764E7A"/>
    <w:rsid w:val="167C7687"/>
    <w:rsid w:val="168B3546"/>
    <w:rsid w:val="180B532F"/>
    <w:rsid w:val="1A2374E0"/>
    <w:rsid w:val="1C317CE2"/>
    <w:rsid w:val="1DD45808"/>
    <w:rsid w:val="1DED42AC"/>
    <w:rsid w:val="20005763"/>
    <w:rsid w:val="20FB313D"/>
    <w:rsid w:val="220B4804"/>
    <w:rsid w:val="248C1688"/>
    <w:rsid w:val="25341526"/>
    <w:rsid w:val="278B653F"/>
    <w:rsid w:val="282475E3"/>
    <w:rsid w:val="283C1E88"/>
    <w:rsid w:val="28B40063"/>
    <w:rsid w:val="29E421D9"/>
    <w:rsid w:val="2C6100C1"/>
    <w:rsid w:val="2F201611"/>
    <w:rsid w:val="30196096"/>
    <w:rsid w:val="3235157C"/>
    <w:rsid w:val="3264220D"/>
    <w:rsid w:val="32A83563"/>
    <w:rsid w:val="33150E29"/>
    <w:rsid w:val="33792F26"/>
    <w:rsid w:val="3432123D"/>
    <w:rsid w:val="343E7CCC"/>
    <w:rsid w:val="38872456"/>
    <w:rsid w:val="3963178C"/>
    <w:rsid w:val="3A2A31CC"/>
    <w:rsid w:val="3CED0699"/>
    <w:rsid w:val="3EB02FD6"/>
    <w:rsid w:val="4105404B"/>
    <w:rsid w:val="41CC2676"/>
    <w:rsid w:val="46B21672"/>
    <w:rsid w:val="46B32BD6"/>
    <w:rsid w:val="47DB0AD8"/>
    <w:rsid w:val="496F4578"/>
    <w:rsid w:val="49FA75DA"/>
    <w:rsid w:val="4D554BBE"/>
    <w:rsid w:val="4E0C57E3"/>
    <w:rsid w:val="4F552460"/>
    <w:rsid w:val="4FCC6863"/>
    <w:rsid w:val="500A214A"/>
    <w:rsid w:val="522D604D"/>
    <w:rsid w:val="5297585E"/>
    <w:rsid w:val="52AD7D6F"/>
    <w:rsid w:val="54813E80"/>
    <w:rsid w:val="5549519D"/>
    <w:rsid w:val="5557596B"/>
    <w:rsid w:val="56B44D91"/>
    <w:rsid w:val="5B596DFC"/>
    <w:rsid w:val="5DAE6D00"/>
    <w:rsid w:val="5DF03945"/>
    <w:rsid w:val="5F03526B"/>
    <w:rsid w:val="60793CB6"/>
    <w:rsid w:val="62E515AF"/>
    <w:rsid w:val="637C2815"/>
    <w:rsid w:val="63E145E3"/>
    <w:rsid w:val="666B4FDC"/>
    <w:rsid w:val="66D74BBD"/>
    <w:rsid w:val="67F21957"/>
    <w:rsid w:val="682144B7"/>
    <w:rsid w:val="685F19E3"/>
    <w:rsid w:val="6A1953BA"/>
    <w:rsid w:val="6B503F77"/>
    <w:rsid w:val="6BC404DB"/>
    <w:rsid w:val="6E311968"/>
    <w:rsid w:val="708E10B8"/>
    <w:rsid w:val="72B648F6"/>
    <w:rsid w:val="7A353D0B"/>
    <w:rsid w:val="7ADB73C8"/>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6">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7">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8">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9">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10">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1">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2">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3">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spacing w:after="0"/>
      <w:ind w:firstLine="200" w:firstLineChars="200"/>
    </w:pPr>
  </w:style>
  <w:style w:type="paragraph" w:styleId="3">
    <w:name w:val="Body Text"/>
    <w:basedOn w:val="1"/>
    <w:next w:val="4"/>
    <w:qFormat/>
    <w:uiPriority w:val="0"/>
    <w:pPr>
      <w:spacing w:after="120"/>
    </w:pPr>
  </w:style>
  <w:style w:type="paragraph" w:customStyle="1" w:styleId="4">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0">
    <w:name w:val="Body Text First Indent 2"/>
    <w:basedOn w:val="14"/>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5"/>
    <w:qFormat/>
    <w:uiPriority w:val="9"/>
    <w:rPr>
      <w:rFonts w:asciiTheme="majorHAnsi" w:hAnsiTheme="majorHAnsi" w:eastAsiaTheme="majorEastAsia"/>
      <w:b/>
      <w:bCs/>
      <w:kern w:val="32"/>
      <w:sz w:val="32"/>
      <w:szCs w:val="32"/>
    </w:rPr>
  </w:style>
  <w:style w:type="character" w:customStyle="1" w:styleId="26">
    <w:name w:val="标题 2 字符"/>
    <w:basedOn w:val="22"/>
    <w:link w:val="6"/>
    <w:semiHidden/>
    <w:qFormat/>
    <w:uiPriority w:val="9"/>
    <w:rPr>
      <w:rFonts w:asciiTheme="majorHAnsi" w:hAnsiTheme="majorHAnsi" w:eastAsiaTheme="majorEastAsia"/>
      <w:b/>
      <w:bCs/>
      <w:i/>
      <w:iCs/>
      <w:sz w:val="28"/>
      <w:szCs w:val="28"/>
    </w:rPr>
  </w:style>
  <w:style w:type="character" w:customStyle="1" w:styleId="27">
    <w:name w:val="标题 3 字符"/>
    <w:basedOn w:val="22"/>
    <w:link w:val="7"/>
    <w:semiHidden/>
    <w:qFormat/>
    <w:uiPriority w:val="9"/>
    <w:rPr>
      <w:rFonts w:asciiTheme="majorHAnsi" w:hAnsiTheme="majorHAnsi" w:eastAsiaTheme="majorEastAsia"/>
      <w:b/>
      <w:bCs/>
      <w:sz w:val="26"/>
      <w:szCs w:val="26"/>
    </w:rPr>
  </w:style>
  <w:style w:type="character" w:customStyle="1" w:styleId="28">
    <w:name w:val="标题 4 字符"/>
    <w:basedOn w:val="22"/>
    <w:link w:val="8"/>
    <w:semiHidden/>
    <w:qFormat/>
    <w:uiPriority w:val="9"/>
    <w:rPr>
      <w:b/>
      <w:bCs/>
      <w:sz w:val="28"/>
      <w:szCs w:val="28"/>
    </w:rPr>
  </w:style>
  <w:style w:type="character" w:customStyle="1" w:styleId="29">
    <w:name w:val="标题 5 字符"/>
    <w:basedOn w:val="22"/>
    <w:link w:val="9"/>
    <w:semiHidden/>
    <w:qFormat/>
    <w:uiPriority w:val="9"/>
    <w:rPr>
      <w:b/>
      <w:bCs/>
      <w:i/>
      <w:iCs/>
      <w:sz w:val="26"/>
      <w:szCs w:val="26"/>
    </w:rPr>
  </w:style>
  <w:style w:type="character" w:customStyle="1" w:styleId="30">
    <w:name w:val="标题 6 字符"/>
    <w:basedOn w:val="22"/>
    <w:link w:val="10"/>
    <w:semiHidden/>
    <w:qFormat/>
    <w:uiPriority w:val="9"/>
    <w:rPr>
      <w:b/>
      <w:bCs/>
    </w:rPr>
  </w:style>
  <w:style w:type="character" w:customStyle="1" w:styleId="31">
    <w:name w:val="标题 7 字符"/>
    <w:basedOn w:val="22"/>
    <w:link w:val="11"/>
    <w:semiHidden/>
    <w:qFormat/>
    <w:uiPriority w:val="9"/>
    <w:rPr>
      <w:sz w:val="24"/>
      <w:szCs w:val="24"/>
    </w:rPr>
  </w:style>
  <w:style w:type="character" w:customStyle="1" w:styleId="32">
    <w:name w:val="标题 8 字符"/>
    <w:basedOn w:val="22"/>
    <w:link w:val="12"/>
    <w:semiHidden/>
    <w:qFormat/>
    <w:uiPriority w:val="9"/>
    <w:rPr>
      <w:i/>
      <w:iCs/>
      <w:sz w:val="24"/>
      <w:szCs w:val="24"/>
    </w:rPr>
  </w:style>
  <w:style w:type="character" w:customStyle="1" w:styleId="33">
    <w:name w:val="标题 9 字符"/>
    <w:basedOn w:val="22"/>
    <w:link w:val="13"/>
    <w:semiHidden/>
    <w:qFormat/>
    <w:uiPriority w:val="9"/>
    <w:rPr>
      <w:rFonts w:asciiTheme="majorHAnsi" w:hAnsiTheme="majorHAnsi" w:eastAsiaTheme="majorEastAsia"/>
    </w:rPr>
  </w:style>
  <w:style w:type="character" w:customStyle="1" w:styleId="34">
    <w:name w:val="标题 字符"/>
    <w:basedOn w:val="22"/>
    <w:link w:val="19"/>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5"/>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7619</Words>
  <Characters>8032</Characters>
  <Lines>50</Lines>
  <Paragraphs>14</Paragraphs>
  <TotalTime>1</TotalTime>
  <ScaleCrop>false</ScaleCrop>
  <LinksUpToDate>false</LinksUpToDate>
  <CharactersWithSpaces>8071</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zjy</cp:lastModifiedBy>
  <cp:lastPrinted>2023-03-14T07:56:00Z</cp:lastPrinted>
  <dcterms:modified xsi:type="dcterms:W3CDTF">2023-08-18T10:23:07Z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E1105AF120A3464485D65FCC77749838</vt:lpwstr>
  </property>
  <property fmtid="{D5CDD505-2E9C-101B-9397-08002B2CF9AE}" pid="4" name="KSOSaveFontToCloudKey">
    <vt:lpwstr>0_btnclosed</vt:lpwstr>
  </property>
</Properties>
</file>