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w:t>
      </w:r>
      <w:r>
        <w:rPr>
          <w:rFonts w:hint="eastAsia" w:ascii="宋体" w:hAnsi="宋体" w:eastAsia="宋体" w:cs="Arial"/>
          <w:b/>
          <w:bCs/>
          <w:sz w:val="52"/>
          <w:szCs w:val="52"/>
          <w:lang w:eastAsia="zh-CN"/>
        </w:rPr>
        <w:t>自评</w:t>
      </w:r>
      <w:r>
        <w:rPr>
          <w:rFonts w:hint="eastAsia" w:ascii="宋体" w:hAnsi="宋体" w:eastAsia="宋体" w:cs="Arial"/>
          <w:b/>
          <w:bCs/>
          <w:sz w:val="52"/>
          <w:szCs w:val="52"/>
        </w:rPr>
        <w:t>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2年度）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项目名称：产品检验检测（经营成本）</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实施单位（公章）：新疆维吾尔自治区纤维纺织产品质量监督检验研究中心</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主管部门（公章）：新疆维吾尔自治区市场监督管理局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b/>
          <w:kern w:val="0"/>
          <w:sz w:val="32"/>
          <w:szCs w:val="32"/>
        </w:rPr>
      </w:pPr>
      <w:r>
        <w:rPr>
          <w:rFonts w:hint="eastAsia" w:ascii="宋体" w:hAnsi="宋体" w:eastAsia="宋体" w:cs="仿宋_GB2312"/>
          <w:b/>
          <w:bCs/>
          <w:color w:val="000000"/>
          <w:kern w:val="0"/>
          <w:sz w:val="32"/>
          <w:szCs w:val="32"/>
        </w:rPr>
        <w:t>项目负责人（签章）：</w:t>
      </w:r>
      <w:r>
        <w:rPr>
          <w:rFonts w:ascii="宋体" w:hAnsi="宋体" w:eastAsia="宋体" w:cs="宋体"/>
          <w:b/>
          <w:kern w:val="0"/>
          <w:sz w:val="32"/>
          <w:szCs w:val="32"/>
        </w:rPr>
        <w:t xml:space="preserve"> </w:t>
      </w:r>
      <w:r>
        <w:rPr>
          <w:rFonts w:hint="eastAsia" w:ascii="宋体" w:hAnsi="宋体" w:eastAsia="宋体" w:cs="宋体"/>
          <w:b/>
          <w:kern w:val="0"/>
          <w:sz w:val="32"/>
          <w:szCs w:val="32"/>
        </w:rPr>
        <w:t>王新丽</w:t>
      </w:r>
    </w:p>
    <w:p>
      <w:pPr>
        <w:spacing w:line="560" w:lineRule="exact"/>
        <w:ind w:firstLine="321" w:firstLineChars="100"/>
        <w:rPr>
          <w:rFonts w:ascii="宋体" w:hAnsi="宋体" w:eastAsia="宋体" w:cs="仿宋_GB2312"/>
          <w:b/>
          <w:color w:val="000000"/>
          <w:kern w:val="0"/>
          <w:sz w:val="32"/>
          <w:szCs w:val="32"/>
        </w:rPr>
      </w:pPr>
      <w:r>
        <w:rPr>
          <w:rFonts w:hint="eastAsia" w:ascii="宋体" w:hAnsi="宋体" w:eastAsia="宋体" w:cs="仿宋_GB2312"/>
          <w:b/>
          <w:bCs/>
          <w:color w:val="000000"/>
          <w:kern w:val="0"/>
          <w:sz w:val="32"/>
          <w:szCs w:val="32"/>
        </w:rPr>
        <w:t>填报时间：2022</w:t>
      </w:r>
      <w:r>
        <w:rPr>
          <w:rFonts w:hint="eastAsia" w:ascii="宋体" w:hAnsi="宋体" w:eastAsia="宋体" w:cs="仿宋_GB2312"/>
          <w:b/>
          <w:color w:val="000000"/>
          <w:kern w:val="0"/>
          <w:sz w:val="32"/>
          <w:szCs w:val="32"/>
        </w:rPr>
        <w:t>年12月13日</w:t>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8"/>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"_Toc68702112" </w:instrText>
          </w:r>
          <w:r>
            <w:fldChar w:fldCharType="separate"/>
          </w:r>
          <w:r>
            <w:rPr>
              <w:rStyle w:val="14"/>
              <w:rFonts w:ascii="宋体" w:hAnsi="宋体" w:eastAsia="宋体"/>
            </w:rPr>
            <w:t>一、基本情况</w:t>
          </w:r>
          <w:r>
            <w:tab/>
          </w:r>
          <w:r>
            <w:rPr>
              <w:rFonts w:hint="eastAsia"/>
            </w:rPr>
            <w:t>3</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"_Toc68702113" </w:instrText>
          </w:r>
          <w:r>
            <w:fldChar w:fldCharType="separate"/>
          </w:r>
          <w:r>
            <w:rPr>
              <w:rStyle w:val="14"/>
              <w:rFonts w:ascii="仿宋_GB2312"/>
            </w:rPr>
            <w:t>（一）项目概况。</w:t>
          </w:r>
          <w:r>
            <w:tab/>
          </w:r>
          <w:r>
            <w:rPr>
              <w:rFonts w:hint="eastAsia"/>
            </w:rPr>
            <w:t>3</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"_Toc68702114" </w:instrText>
          </w:r>
          <w:r>
            <w:fldChar w:fldCharType="separate"/>
          </w:r>
          <w:r>
            <w:rPr>
              <w:rStyle w:val="14"/>
              <w:rFonts w:ascii="仿宋_GB2312"/>
            </w:rPr>
            <w:t>（二）项目绩效目标。</w:t>
          </w:r>
          <w:r>
            <w:tab/>
          </w:r>
          <w:r>
            <w:rPr>
              <w:rFonts w:hint="eastAsia"/>
            </w:rPr>
            <w:t>4</w:t>
          </w:r>
          <w:r>
            <w:rPr>
              <w:rFonts w:hint="eastAsia"/>
            </w:rPr>
            <w:fldChar w:fldCharType="end"/>
          </w:r>
        </w:p>
        <w:p>
          <w:pPr>
            <w:pStyle w:val="7"/>
            <w:tabs>
              <w:tab w:val="right" w:leader="dot" w:pos="8834"/>
            </w:tabs>
            <w:rPr>
              <w:rFonts w:cstheme="minorBidi"/>
              <w:kern w:val="2"/>
              <w:sz w:val="21"/>
            </w:rPr>
          </w:pPr>
          <w:r>
            <w:fldChar w:fldCharType="begin"/>
          </w:r>
          <w:r>
            <w:instrText xml:space="preserve"> HYPERLINK \l "_Toc68702115" </w:instrText>
          </w:r>
          <w:r>
            <w:fldChar w:fldCharType="separate"/>
          </w:r>
          <w:r>
            <w:rPr>
              <w:rStyle w:val="14"/>
              <w:rFonts w:ascii="宋体" w:hAnsi="宋体" w:eastAsia="宋体"/>
            </w:rPr>
            <w:t>二、绩效评价工作开展情况</w:t>
          </w:r>
          <w:r>
            <w:tab/>
          </w:r>
          <w:r>
            <w:rPr>
              <w:rFonts w:hint="eastAsia"/>
            </w:rPr>
            <w:t>5</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"_Toc68702116" </w:instrText>
          </w:r>
          <w:r>
            <w:fldChar w:fldCharType="separate"/>
          </w:r>
          <w:r>
            <w:rPr>
              <w:rStyle w:val="14"/>
              <w:rFonts w:ascii="仿宋_GB2312"/>
            </w:rPr>
            <w:t>（一）绩效评价目的、对象和范围。</w:t>
          </w:r>
          <w:r>
            <w:tab/>
          </w:r>
          <w:r>
            <w:rPr>
              <w:rFonts w:hint="eastAsia"/>
            </w:rPr>
            <w:t>5</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"_Toc68702117" </w:instrText>
          </w:r>
          <w:r>
            <w:fldChar w:fldCharType="separate"/>
          </w:r>
          <w:r>
            <w:rPr>
              <w:rStyle w:val="14"/>
              <w:rFonts w:ascii="仿宋_GB2312"/>
            </w:rPr>
            <w:t>（二）绩效评价原则、评价指标体系、评价方法、评价标准等。</w:t>
          </w:r>
          <w:r>
            <w:tab/>
          </w:r>
          <w:r>
            <w:rPr>
              <w:rFonts w:hint="eastAsia"/>
            </w:rPr>
            <w:t>6</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"_Toc68702118" </w:instrText>
          </w:r>
          <w:r>
            <w:fldChar w:fldCharType="separate"/>
          </w:r>
          <w:r>
            <w:rPr>
              <w:rStyle w:val="14"/>
              <w:rFonts w:ascii="仿宋_GB2312"/>
            </w:rPr>
            <w:t>（三）绩效评价工作过程。</w:t>
          </w:r>
          <w:r>
            <w:tab/>
          </w:r>
          <w:r>
            <w:rPr>
              <w:rFonts w:hint="eastAsia"/>
            </w:rPr>
            <w:t>9</w:t>
          </w:r>
          <w:r>
            <w:rPr>
              <w:rFonts w:hint="eastAsia"/>
            </w:rPr>
            <w:fldChar w:fldCharType="end"/>
          </w:r>
        </w:p>
        <w:p>
          <w:pPr>
            <w:pStyle w:val="7"/>
            <w:tabs>
              <w:tab w:val="right" w:leader="dot" w:pos="8834"/>
            </w:tabs>
            <w:rPr>
              <w:rFonts w:cstheme="minorBidi"/>
              <w:kern w:val="2"/>
              <w:sz w:val="21"/>
            </w:rPr>
          </w:pPr>
          <w:r>
            <w:fldChar w:fldCharType="begin"/>
          </w:r>
          <w:r>
            <w:instrText xml:space="preserve"> HYPERLINK \l "_Toc68702119" </w:instrText>
          </w:r>
          <w:r>
            <w:fldChar w:fldCharType="separate"/>
          </w:r>
          <w:r>
            <w:rPr>
              <w:rStyle w:val="14"/>
              <w:rFonts w:ascii="宋体" w:hAnsi="宋体" w:eastAsia="宋体"/>
            </w:rPr>
            <w:t>三、综合评价情况及评价结论</w:t>
          </w:r>
          <w:r>
            <w:tab/>
          </w:r>
          <w:r>
            <w:rPr>
              <w:rFonts w:hint="eastAsia"/>
            </w:rPr>
            <w:t>9</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"_Toc68702120" </w:instrText>
          </w:r>
          <w:r>
            <w:fldChar w:fldCharType="separate"/>
          </w:r>
          <w:r>
            <w:rPr>
              <w:rStyle w:val="14"/>
              <w:rFonts w:ascii="仿宋_GB2312"/>
            </w:rPr>
            <w:t>（一）综合评价情况</w:t>
          </w:r>
          <w:r>
            <w:tab/>
          </w:r>
          <w:r>
            <w:rPr>
              <w:rFonts w:hint="eastAsia"/>
            </w:rPr>
            <w:t>9</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"_Toc68702121" </w:instrText>
          </w:r>
          <w:r>
            <w:fldChar w:fldCharType="separate"/>
          </w:r>
          <w:r>
            <w:rPr>
              <w:rStyle w:val="14"/>
              <w:rFonts w:ascii="仿宋_GB2312"/>
            </w:rPr>
            <w:t>（二）评价结论</w:t>
          </w:r>
          <w:r>
            <w:tab/>
          </w:r>
          <w:r>
            <w:rPr>
              <w:rFonts w:hint="eastAsia"/>
            </w:rPr>
            <w:t>9</w:t>
          </w:r>
          <w:r>
            <w:rPr>
              <w:rFonts w:hint="eastAsia"/>
            </w:rPr>
            <w:fldChar w:fldCharType="end"/>
          </w:r>
        </w:p>
        <w:p>
          <w:pPr>
            <w:pStyle w:val="7"/>
            <w:tabs>
              <w:tab w:val="right" w:leader="dot" w:pos="8834"/>
            </w:tabs>
            <w:rPr>
              <w:rFonts w:cstheme="minorBidi"/>
              <w:kern w:val="2"/>
              <w:sz w:val="21"/>
            </w:rPr>
          </w:pPr>
          <w:r>
            <w:fldChar w:fldCharType="begin"/>
          </w:r>
          <w:r>
            <w:instrText xml:space="preserve"> HYPERLINK \l "_Toc68702122" </w:instrText>
          </w:r>
          <w:r>
            <w:fldChar w:fldCharType="separate"/>
          </w:r>
          <w:r>
            <w:rPr>
              <w:rStyle w:val="14"/>
              <w:rFonts w:ascii="宋体" w:hAnsi="宋体" w:eastAsia="宋体"/>
            </w:rPr>
            <w:t>四、绩效评价指标分析</w:t>
          </w:r>
          <w:r>
            <w:tab/>
          </w:r>
          <w:r>
            <w:rPr>
              <w:rFonts w:hint="eastAsia"/>
            </w:rPr>
            <w:t>10</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"_Toc68702123" </w:instrText>
          </w:r>
          <w:r>
            <w:fldChar w:fldCharType="separate"/>
          </w:r>
          <w:r>
            <w:rPr>
              <w:rStyle w:val="14"/>
              <w:rFonts w:ascii="仿宋_GB2312"/>
            </w:rPr>
            <w:t>（一）项目决策情况。</w:t>
          </w:r>
          <w:r>
            <w:tab/>
          </w:r>
          <w:r>
            <w:rPr>
              <w:rFonts w:hint="eastAsia"/>
            </w:rPr>
            <w:t>10</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"_Toc68702124" </w:instrText>
          </w:r>
          <w:r>
            <w:fldChar w:fldCharType="separate"/>
          </w:r>
          <w:r>
            <w:rPr>
              <w:rStyle w:val="14"/>
              <w:rFonts w:ascii="仿宋_GB2312"/>
            </w:rPr>
            <w:t>（二）项目过程情况。</w:t>
          </w:r>
          <w:r>
            <w:tab/>
          </w:r>
          <w:r>
            <w:rPr>
              <w:rFonts w:hint="eastAsia"/>
            </w:rPr>
            <w:t>11</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"_Toc68702125" </w:instrText>
          </w:r>
          <w:r>
            <w:fldChar w:fldCharType="separate"/>
          </w:r>
          <w:r>
            <w:rPr>
              <w:rStyle w:val="14"/>
              <w:rFonts w:ascii="仿宋_GB2312"/>
            </w:rPr>
            <w:t>（三）项目产出情况。</w:t>
          </w:r>
          <w:r>
            <w:tab/>
          </w:r>
          <w:r>
            <w:rPr>
              <w:rFonts w:hint="eastAsia"/>
            </w:rPr>
            <w:t>11</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"_Toc68702126" </w:instrText>
          </w:r>
          <w:r>
            <w:fldChar w:fldCharType="separate"/>
          </w:r>
          <w:r>
            <w:rPr>
              <w:rStyle w:val="14"/>
              <w:rFonts w:ascii="仿宋_GB2312"/>
            </w:rPr>
            <w:t>（四）项目效益情况。</w:t>
          </w:r>
          <w:r>
            <w:tab/>
          </w:r>
          <w:r>
            <w:rPr>
              <w:rFonts w:hint="eastAsia"/>
            </w:rPr>
            <w:t>11</w:t>
          </w:r>
          <w:r>
            <w:rPr>
              <w:rFonts w:hint="eastAsia"/>
            </w:rPr>
            <w:fldChar w:fldCharType="end"/>
          </w:r>
        </w:p>
        <w:p>
          <w:pPr>
            <w:pStyle w:val="7"/>
            <w:tabs>
              <w:tab w:val="right" w:leader="dot" w:pos="8834"/>
            </w:tabs>
            <w:rPr>
              <w:rFonts w:cstheme="minorBidi"/>
              <w:kern w:val="2"/>
              <w:sz w:val="21"/>
            </w:rPr>
          </w:pPr>
          <w:r>
            <w:fldChar w:fldCharType="begin"/>
          </w:r>
          <w:r>
            <w:instrText xml:space="preserve"> HYPERLINK \l "_Toc68702127" </w:instrText>
          </w:r>
          <w:r>
            <w:fldChar w:fldCharType="separate"/>
          </w:r>
          <w:r>
            <w:rPr>
              <w:rStyle w:val="14"/>
              <w:rFonts w:ascii="宋体" w:hAnsi="宋体" w:eastAsia="宋体"/>
            </w:rPr>
            <w:t>五、主要经验及做法、存在的问题及原因分析</w:t>
          </w:r>
          <w:r>
            <w:tab/>
          </w:r>
          <w:r>
            <w:rPr>
              <w:rFonts w:hint="eastAsia"/>
            </w:rPr>
            <w:t>12</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"_Toc68702128" </w:instrText>
          </w:r>
          <w:r>
            <w:fldChar w:fldCharType="separate"/>
          </w:r>
          <w:r>
            <w:rPr>
              <w:rStyle w:val="14"/>
              <w:rFonts w:ascii="仿宋_GB2312"/>
            </w:rPr>
            <w:t>（一）主要经验及做法</w:t>
          </w:r>
          <w:r>
            <w:tab/>
          </w:r>
          <w:r>
            <w:rPr>
              <w:rFonts w:hint="eastAsia"/>
            </w:rPr>
            <w:t>12</w:t>
          </w:r>
          <w:r>
            <w:rPr>
              <w:rFonts w:hint="eastAsia"/>
            </w:rPr>
            <w:fldChar w:fldCharType="end"/>
          </w:r>
        </w:p>
        <w:p>
          <w:pPr>
            <w:pStyle w:val="8"/>
            <w:tabs>
              <w:tab w:val="right" w:leader="dot" w:pos="8834"/>
            </w:tabs>
            <w:rPr>
              <w:rFonts w:cstheme="minorBidi"/>
              <w:kern w:val="2"/>
              <w:sz w:val="21"/>
            </w:rPr>
          </w:pPr>
          <w:r>
            <w:fldChar w:fldCharType="begin"/>
          </w:r>
          <w:r>
            <w:instrText xml:space="preserve"> HYPERLINK \l "_Toc68702129" </w:instrText>
          </w:r>
          <w:r>
            <w:fldChar w:fldCharType="separate"/>
          </w:r>
          <w:r>
            <w:rPr>
              <w:rStyle w:val="14"/>
              <w:rFonts w:ascii="仿宋_GB2312"/>
            </w:rPr>
            <w:t>（二）存在的问题及原因分析</w:t>
          </w:r>
          <w:r>
            <w:tab/>
          </w:r>
          <w:r>
            <w:rPr>
              <w:rFonts w:hint="eastAsia"/>
            </w:rPr>
            <w:t>13</w:t>
          </w:r>
          <w:r>
            <w:rPr>
              <w:rFonts w:hint="eastAsia"/>
            </w:rPr>
            <w:fldChar w:fldCharType="end"/>
          </w:r>
        </w:p>
        <w:p>
          <w:pPr>
            <w:pStyle w:val="7"/>
            <w:tabs>
              <w:tab w:val="right" w:leader="dot" w:pos="8834"/>
            </w:tabs>
            <w:rPr>
              <w:rFonts w:cstheme="minorBidi"/>
              <w:kern w:val="2"/>
              <w:sz w:val="21"/>
            </w:rPr>
          </w:pPr>
          <w:r>
            <w:fldChar w:fldCharType="begin"/>
          </w:r>
          <w:r>
            <w:instrText xml:space="preserve"> HYPERLINK \l "_Toc68702130" </w:instrText>
          </w:r>
          <w:r>
            <w:fldChar w:fldCharType="separate"/>
          </w:r>
          <w:r>
            <w:rPr>
              <w:rStyle w:val="14"/>
              <w:rFonts w:ascii="宋体" w:hAnsi="宋体" w:eastAsia="宋体"/>
            </w:rPr>
            <w:t>六、有关建议</w:t>
          </w:r>
          <w:r>
            <w:tab/>
          </w:r>
          <w:r>
            <w:rPr>
              <w:rFonts w:hint="eastAsia"/>
            </w:rPr>
            <w:t>13</w:t>
          </w:r>
          <w:r>
            <w:rPr>
              <w:rFonts w:hint="eastAsia"/>
            </w:rPr>
            <w:fldChar w:fldCharType="end"/>
          </w:r>
        </w:p>
        <w:p>
          <w:pPr>
            <w:pStyle w:val="7"/>
            <w:tabs>
              <w:tab w:val="right" w:leader="dot" w:pos="8834"/>
            </w:tabs>
            <w:rPr>
              <w:rFonts w:cstheme="minorBidi"/>
              <w:kern w:val="2"/>
              <w:sz w:val="21"/>
            </w:rPr>
          </w:pPr>
          <w:r>
            <w:fldChar w:fldCharType="begin"/>
          </w:r>
          <w:r>
            <w:instrText xml:space="preserve"> HYPERLINK \l "_Toc68702131" </w:instrText>
          </w:r>
          <w:r>
            <w:fldChar w:fldCharType="separate"/>
          </w:r>
          <w:r>
            <w:rPr>
              <w:rStyle w:val="14"/>
              <w:rFonts w:ascii="宋体" w:hAnsi="宋体" w:eastAsia="宋体"/>
            </w:rPr>
            <w:t>七、其他需要说明的问题</w:t>
          </w:r>
          <w:r>
            <w:tab/>
          </w:r>
          <w:r>
            <w:rPr>
              <w:rFonts w:hint="eastAsia"/>
            </w:rPr>
            <w:t>14</w:t>
          </w:r>
          <w:r>
            <w:rPr>
              <w:rFonts w:hint="eastAsia"/>
            </w:rP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rPr>
          <w:rFonts w:ascii="黑体" w:hAnsi="黑体" w:eastAsia="黑体"/>
        </w:rPr>
        <w:sectPr>
          <w:pgSz w:w="11906" w:h="16838"/>
          <w:pgMar w:top="1928" w:right="1531" w:bottom="1701" w:left="1531" w:header="737" w:footer="851" w:gutter="0"/>
          <w:pgNumType w:start="1"/>
          <w:cols w:space="720" w:num="1"/>
          <w:docGrid w:type="lines" w:linePitch="408" w:charSpace="0"/>
        </w:sectPr>
      </w:pPr>
    </w:p>
    <w:p>
      <w:pPr>
        <w:ind w:firstLine="2891" w:firstLineChars="800"/>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spacing w:line="580" w:lineRule="exact"/>
        <w:ind w:firstLine="600" w:firstLineChars="200"/>
        <w:rPr>
          <w:rFonts w:ascii="黑体" w:hAnsi="黑体" w:eastAsia="黑体"/>
        </w:rPr>
      </w:pPr>
      <w:r>
        <w:rPr>
          <w:rFonts w:hint="eastAsia" w:ascii="黑体" w:hAnsi="黑体" w:eastAsia="黑体"/>
        </w:rPr>
        <w:t>一、基本情况</w:t>
      </w:r>
    </w:p>
    <w:p>
      <w:pPr>
        <w:spacing w:line="580" w:lineRule="exact"/>
        <w:ind w:firstLine="643" w:firstLineChars="200"/>
        <w:outlineLvl w:val="0"/>
        <w:rPr>
          <w:rFonts w:ascii="仿宋_GB2312"/>
          <w:b/>
          <w:bCs/>
          <w:sz w:val="32"/>
          <w:szCs w:val="32"/>
        </w:rPr>
      </w:pPr>
      <w:r>
        <w:rPr>
          <w:rFonts w:hint="eastAsia" w:ascii="仿宋_GB2312"/>
          <w:b/>
          <w:bCs/>
          <w:sz w:val="32"/>
          <w:szCs w:val="32"/>
        </w:rPr>
        <w:t>（一）项目概况</w:t>
      </w:r>
    </w:p>
    <w:p>
      <w:pPr>
        <w:widowControl/>
        <w:ind w:firstLine="602" w:firstLineChars="200"/>
        <w:jc w:val="left"/>
        <w:rPr>
          <w:rFonts w:ascii="仿宋_GB2312"/>
          <w:b/>
        </w:rPr>
      </w:pPr>
      <w:r>
        <w:rPr>
          <w:rFonts w:hint="eastAsia" w:ascii="仿宋_GB2312"/>
          <w:b/>
        </w:rPr>
        <w:t>1、项目背景：</w:t>
      </w:r>
    </w:p>
    <w:p>
      <w:pPr>
        <w:adjustRightInd w:val="0"/>
        <w:spacing w:line="520" w:lineRule="exact"/>
        <w:ind w:firstLine="600" w:firstLineChars="200"/>
        <w:outlineLvl w:val="0"/>
        <w:rPr>
          <w:rFonts w:ascii="仿宋_GB2312"/>
        </w:rPr>
      </w:pPr>
      <w:r>
        <w:rPr>
          <w:rFonts w:hint="eastAsia" w:ascii="仿宋_GB2312"/>
        </w:rPr>
        <w:t>根据自治区分类推进事业单位改革工作领导小组《关于印发新疆维吾尔自治区质量技术监督局所属事业单位分类改革方案的通知》（新事改办〔2015〕3号）的文件精神，新疆维吾尔自治区纤维检验局将实验场所、仪器设施、环境条件、检验人员等相关检验检测的职责任务全部划转给新疆维吾尔自治区纤维纺织产品质量监督检验研究中心（以下简称中心）。该中心主要职责任务是：承担棉花纤维和毛绒、麻、蚕丝、化纤等非棉纤维、纺织品及纤维制品的检验检测、监督抽查、定期监督检验等工作；承担社会对纺织品、纤维及制品的委托检验，仲裁检验等工作；建立纤维及纺织服装产品检测体系和质量体系，为纺织服装企业提供技术服务；开展纤维、纺织技术及应用领域的研究。对全疆棉花加工企业、棉花仓储库及纤检机构的棉检设备进行计量检定/校准。</w:t>
      </w:r>
    </w:p>
    <w:p>
      <w:pPr>
        <w:spacing w:line="580" w:lineRule="exact"/>
        <w:ind w:firstLine="602" w:firstLineChars="200"/>
        <w:outlineLvl w:val="0"/>
        <w:rPr>
          <w:rFonts w:ascii="仿宋_GB2312"/>
          <w:b/>
          <w:bCs/>
        </w:rPr>
      </w:pPr>
      <w:r>
        <w:rPr>
          <w:rFonts w:hint="eastAsia" w:ascii="仿宋_GB2312"/>
          <w:b/>
          <w:bCs/>
        </w:rPr>
        <w:t>2.主要内容及实施情况：</w:t>
      </w:r>
    </w:p>
    <w:p>
      <w:pPr>
        <w:adjustRightInd w:val="0"/>
        <w:spacing w:line="520" w:lineRule="exact"/>
        <w:ind w:firstLine="600" w:firstLineChars="200"/>
        <w:outlineLvl w:val="0"/>
        <w:rPr>
          <w:rFonts w:ascii="仿宋" w:hAnsi="仿宋" w:eastAsia="仿宋" w:cs="仿宋_GB2312"/>
          <w:bCs/>
          <w:color w:val="000000"/>
          <w:kern w:val="0"/>
          <w:sz w:val="32"/>
          <w:szCs w:val="32"/>
        </w:rPr>
      </w:pPr>
      <w:r>
        <w:rPr>
          <w:rFonts w:hint="eastAsia" w:ascii="仿宋_GB2312"/>
          <w:bCs/>
        </w:rPr>
        <w:t>主要内容：</w:t>
      </w:r>
      <w:r>
        <w:rPr>
          <w:rFonts w:hint="eastAsia" w:ascii="仿宋" w:hAnsi="仿宋" w:eastAsia="仿宋" w:cs="仿宋_GB2312"/>
          <w:bCs/>
          <w:color w:val="000000"/>
          <w:kern w:val="0"/>
          <w:sz w:val="32"/>
          <w:szCs w:val="32"/>
        </w:rPr>
        <w:t>按照上级部门下达的监督抽查工作任务，分阶段开展纤维制品及棉花包装物等各类产品质量监督抽查、检验检测工作。</w:t>
      </w:r>
      <w:r>
        <w:rPr>
          <w:rFonts w:hint="eastAsia" w:ascii="仿宋_GB2312"/>
        </w:rPr>
        <w:t>对全疆棉花加工企业、棉花仓储库及纤检机构的棉检设备进行计量检定/校准。</w:t>
      </w:r>
    </w:p>
    <w:p>
      <w:pPr>
        <w:adjustRightInd w:val="0"/>
        <w:spacing w:line="520" w:lineRule="exact"/>
        <w:ind w:firstLine="600" w:firstLineChars="200"/>
        <w:rPr>
          <w:rFonts w:ascii="仿宋" w:hAnsi="仿宋" w:eastAsia="仿宋" w:cs="仿宋_GB2312"/>
          <w:bCs/>
          <w:kern w:val="0"/>
          <w:sz w:val="32"/>
          <w:szCs w:val="32"/>
        </w:rPr>
      </w:pPr>
      <w:r>
        <w:rPr>
          <w:rFonts w:hint="eastAsia" w:ascii="仿宋_GB2312"/>
          <w:bCs/>
        </w:rPr>
        <w:t>实施情况：</w:t>
      </w:r>
      <w:r>
        <w:rPr>
          <w:rFonts w:ascii="仿宋" w:hAnsi="仿宋" w:eastAsia="仿宋" w:cs="仿宋_GB2312"/>
          <w:bCs/>
          <w:color w:val="000000"/>
          <w:kern w:val="0"/>
          <w:sz w:val="32"/>
          <w:szCs w:val="32"/>
        </w:rPr>
        <w:t>项目目前已经完成实际设立的目标，项目在实施过程中严格按照目标设立的各阶段任务进行开展工作，在前期立项过程中严格把质量关，建立安全防护机制，保证项目实施各阶段安全顺利进行。</w:t>
      </w:r>
      <w:r>
        <w:rPr>
          <w:rFonts w:hint="eastAsia" w:ascii="仿宋" w:hAnsi="仿宋" w:eastAsia="仿宋" w:cs="仿宋_GB2312"/>
          <w:bCs/>
          <w:kern w:val="0"/>
          <w:sz w:val="32"/>
          <w:szCs w:val="32"/>
        </w:rPr>
        <w:t>截至12月20日，共抽查企业321家次，监督抽检376批产品（其中监督抽查纺织品及服装301批次，絮用纤维72批次，捆扎带3批次）。受理委托检验：纺织品及服装575批次，絮用纤维61批次，捆扎带542批次，套袋69批，共计1247批。</w:t>
      </w:r>
      <w:r>
        <w:rPr>
          <w:rFonts w:hint="eastAsia" w:ascii="仿宋_GB2312"/>
          <w:sz w:val="32"/>
          <w:szCs w:val="32"/>
        </w:rPr>
        <w:t>2022年计量检定报告出具6736份，检定及校准企业累计1250批次，检定/校准各类仪器6736台件，实现检定费用总收入894414。</w:t>
      </w:r>
      <w:r>
        <w:rPr>
          <w:rFonts w:hint="eastAsia" w:ascii="仿宋" w:hAnsi="仿宋" w:eastAsia="仿宋" w:cs="仿宋_GB2312"/>
          <w:bCs/>
          <w:kern w:val="0"/>
          <w:sz w:val="32"/>
          <w:szCs w:val="32"/>
        </w:rPr>
        <w:t>线上线下共举办棉花加工企业质量检验人员、信息系统管理人员培训班25期，培训人员3857人次。</w:t>
      </w:r>
    </w:p>
    <w:p>
      <w:pPr>
        <w:spacing w:line="580" w:lineRule="exact"/>
        <w:ind w:firstLine="602" w:firstLineChars="200"/>
        <w:outlineLvl w:val="0"/>
        <w:rPr>
          <w:color w:val="000000" w:themeColor="text1"/>
          <w14:textFill>
            <w14:solidFill>
              <w14:schemeClr w14:val="tx1"/>
            </w14:solidFill>
          </w14:textFill>
        </w:rPr>
      </w:pPr>
      <w:r>
        <w:rPr>
          <w:rFonts w:hint="eastAsia" w:ascii="仿宋_GB2312"/>
          <w:b/>
          <w:bCs/>
          <w:color w:val="000000" w:themeColor="text1"/>
          <w14:textFill>
            <w14:solidFill>
              <w14:schemeClr w14:val="tx1"/>
            </w14:solidFill>
          </w14:textFill>
        </w:rPr>
        <w:t>3.资金投入及使用情况：</w:t>
      </w:r>
      <w:r>
        <w:rPr>
          <w:rFonts w:hint="eastAsia"/>
          <w:color w:val="000000" w:themeColor="text1"/>
          <w14:textFill>
            <w14:solidFill>
              <w14:schemeClr w14:val="tx1"/>
            </w14:solidFill>
          </w14:textFill>
        </w:rPr>
        <w:t>该项目年初预算1016.84万元，全年预算数1016.84万元，资金来源为非财政拨款。</w:t>
      </w:r>
    </w:p>
    <w:p>
      <w:pPr>
        <w:spacing w:line="360" w:lineRule="auto"/>
        <w:ind w:left="300" w:leftChars="100" w:firstLine="300" w:firstLineChars="100"/>
        <w:rPr>
          <w:color w:val="000000" w:themeColor="text1"/>
          <w14:textFill>
            <w14:solidFill>
              <w14:schemeClr w14:val="tx1"/>
            </w14:solidFill>
          </w14:textFill>
        </w:rPr>
      </w:pPr>
      <w:r>
        <w:rPr>
          <w:rFonts w:hint="eastAsia"/>
          <w:color w:val="000000" w:themeColor="text1"/>
          <w14:textFill>
            <w14:solidFill>
              <w14:schemeClr w14:val="tx1"/>
            </w14:solidFill>
          </w14:textFill>
        </w:rPr>
        <w:t>资金使用情况：该项目年初预算数1016.84 万元，全年预算数7</w:t>
      </w:r>
      <w:r>
        <w:rPr>
          <w:color w:val="000000" w:themeColor="text1"/>
          <w14:textFill>
            <w14:solidFill>
              <w14:schemeClr w14:val="tx1"/>
            </w14:solidFill>
          </w14:textFill>
        </w:rPr>
        <w:t>79.09</w:t>
      </w:r>
      <w:r>
        <w:rPr>
          <w:rFonts w:hint="eastAsia"/>
          <w:color w:val="000000" w:themeColor="text1"/>
          <w14:textFill>
            <w14:solidFill>
              <w14:schemeClr w14:val="tx1"/>
            </w14:solidFill>
          </w14:textFill>
        </w:rPr>
        <w:t>万元，全年执行数7</w:t>
      </w:r>
      <w:r>
        <w:rPr>
          <w:color w:val="000000" w:themeColor="text1"/>
          <w14:textFill>
            <w14:solidFill>
              <w14:schemeClr w14:val="tx1"/>
            </w14:solidFill>
          </w14:textFill>
        </w:rPr>
        <w:t>79.09</w:t>
      </w:r>
      <w:r>
        <w:rPr>
          <w:rFonts w:hint="eastAsia"/>
          <w:color w:val="000000" w:themeColor="text1"/>
          <w14:textFill>
            <w14:solidFill>
              <w14:schemeClr w14:val="tx1"/>
            </w14:solidFill>
          </w14:textFill>
        </w:rPr>
        <w:t>万元，预算执行率为</w:t>
      </w:r>
      <w:r>
        <w:rPr>
          <w:color w:val="000000" w:themeColor="text1"/>
          <w14:textFill>
            <w14:solidFill>
              <w14:schemeClr w14:val="tx1"/>
            </w14:solidFill>
          </w14:textFill>
        </w:rPr>
        <w:t>100</w:t>
      </w:r>
      <w:r>
        <w:rPr>
          <w:rFonts w:hint="eastAsia"/>
          <w:color w:val="000000" w:themeColor="text1"/>
          <w14:textFill>
            <w14:solidFill>
              <w14:schemeClr w14:val="tx1"/>
            </w14:solidFill>
          </w14:textFill>
        </w:rPr>
        <w:t>%（预算执行率=全年执行数/全年预算数），用于：主要用于人员支出</w:t>
      </w:r>
      <w:r>
        <w:rPr>
          <w:color w:val="000000" w:themeColor="text1"/>
          <w14:textFill>
            <w14:solidFill>
              <w14:schemeClr w14:val="tx1"/>
            </w14:solidFill>
          </w14:textFill>
        </w:rPr>
        <w:t>181.45</w:t>
      </w:r>
      <w:r>
        <w:rPr>
          <w:rFonts w:hint="eastAsia"/>
          <w:color w:val="000000" w:themeColor="text1"/>
          <w14:textFill>
            <w14:solidFill>
              <w14:schemeClr w14:val="tx1"/>
            </w14:solidFill>
          </w14:textFill>
        </w:rPr>
        <w:t>万元，</w:t>
      </w:r>
      <w:r>
        <w:rPr>
          <w:color w:val="000000" w:themeColor="text1"/>
          <w14:textFill>
            <w14:solidFill>
              <w14:schemeClr w14:val="tx1"/>
            </w14:solidFill>
          </w14:textFill>
        </w:rPr>
        <w:t>办公费29.47</w:t>
      </w:r>
      <w:r>
        <w:rPr>
          <w:rFonts w:hint="eastAsia"/>
          <w:color w:val="000000" w:themeColor="text1"/>
          <w14:textFill>
            <w14:solidFill>
              <w14:schemeClr w14:val="tx1"/>
            </w14:solidFill>
          </w14:textFill>
        </w:rPr>
        <w:t>万元，手续费</w:t>
      </w:r>
      <w:r>
        <w:rPr>
          <w:color w:val="000000" w:themeColor="text1"/>
          <w14:textFill>
            <w14:solidFill>
              <w14:schemeClr w14:val="tx1"/>
            </w14:solidFill>
          </w14:textFill>
        </w:rPr>
        <w:t>0.09</w:t>
      </w:r>
      <w:r>
        <w:rPr>
          <w:rFonts w:hint="eastAsia"/>
          <w:color w:val="000000" w:themeColor="text1"/>
          <w14:textFill>
            <w14:solidFill>
              <w14:schemeClr w14:val="tx1"/>
            </w14:solidFill>
          </w14:textFill>
        </w:rPr>
        <w:t>万元，物业管理费</w:t>
      </w:r>
      <w:r>
        <w:rPr>
          <w:color w:val="000000" w:themeColor="text1"/>
          <w14:textFill>
            <w14:solidFill>
              <w14:schemeClr w14:val="tx1"/>
            </w14:solidFill>
          </w14:textFill>
        </w:rPr>
        <w:t>3.98</w:t>
      </w:r>
      <w:r>
        <w:rPr>
          <w:rFonts w:hint="eastAsia"/>
          <w:color w:val="000000" w:themeColor="text1"/>
          <w14:textFill>
            <w14:solidFill>
              <w14:schemeClr w14:val="tx1"/>
            </w14:solidFill>
          </w14:textFill>
        </w:rPr>
        <w:t>万元，电费</w:t>
      </w:r>
      <w:r>
        <w:rPr>
          <w:color w:val="000000" w:themeColor="text1"/>
          <w14:textFill>
            <w14:solidFill>
              <w14:schemeClr w14:val="tx1"/>
            </w14:solidFill>
          </w14:textFill>
        </w:rPr>
        <w:t>1.5</w:t>
      </w:r>
      <w:r>
        <w:rPr>
          <w:rFonts w:hint="eastAsia"/>
          <w:color w:val="000000" w:themeColor="text1"/>
          <w14:textFill>
            <w14:solidFill>
              <w14:schemeClr w14:val="tx1"/>
            </w14:solidFill>
          </w14:textFill>
        </w:rPr>
        <w:t>万元，差旅费</w:t>
      </w:r>
      <w:r>
        <w:rPr>
          <w:color w:val="000000" w:themeColor="text1"/>
          <w14:textFill>
            <w14:solidFill>
              <w14:schemeClr w14:val="tx1"/>
            </w14:solidFill>
          </w14:textFill>
        </w:rPr>
        <w:t>38.28</w:t>
      </w:r>
      <w:r>
        <w:rPr>
          <w:rFonts w:hint="eastAsia"/>
          <w:color w:val="000000" w:themeColor="text1"/>
          <w14:textFill>
            <w14:solidFill>
              <w14:schemeClr w14:val="tx1"/>
            </w14:solidFill>
          </w14:textFill>
        </w:rPr>
        <w:t>万元，培训费</w:t>
      </w:r>
      <w:r>
        <w:rPr>
          <w:color w:val="000000" w:themeColor="text1"/>
          <w14:textFill>
            <w14:solidFill>
              <w14:schemeClr w14:val="tx1"/>
            </w14:solidFill>
          </w14:textFill>
        </w:rPr>
        <w:t>9.36</w:t>
      </w:r>
      <w:r>
        <w:rPr>
          <w:rFonts w:hint="eastAsia"/>
          <w:color w:val="000000" w:themeColor="text1"/>
          <w14:textFill>
            <w14:solidFill>
              <w14:schemeClr w14:val="tx1"/>
            </w14:solidFill>
          </w14:textFill>
        </w:rPr>
        <w:t>万元，维修维护费</w:t>
      </w:r>
      <w:r>
        <w:rPr>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0</w:t>
      </w:r>
      <w:bookmarkStart w:id="0" w:name="_GoBack"/>
      <w:bookmarkEnd w:id="0"/>
      <w:r>
        <w:rPr>
          <w:color w:val="000000" w:themeColor="text1"/>
          <w14:textFill>
            <w14:solidFill>
              <w14:schemeClr w14:val="tx1"/>
            </w14:solidFill>
          </w14:textFill>
        </w:rPr>
        <w:t>1</w:t>
      </w:r>
      <w:r>
        <w:rPr>
          <w:rFonts w:hint="eastAsia"/>
          <w:color w:val="000000" w:themeColor="text1"/>
          <w14:textFill>
            <w14:solidFill>
              <w14:schemeClr w14:val="tx1"/>
            </w14:solidFill>
          </w14:textFill>
        </w:rPr>
        <w:t>万元，公务用车运行维护费</w:t>
      </w:r>
      <w:r>
        <w:rPr>
          <w:color w:val="000000" w:themeColor="text1"/>
          <w14:textFill>
            <w14:solidFill>
              <w14:schemeClr w14:val="tx1"/>
            </w14:solidFill>
          </w14:textFill>
        </w:rPr>
        <w:t>2.14</w:t>
      </w:r>
      <w:r>
        <w:rPr>
          <w:rFonts w:hint="eastAsia"/>
          <w:color w:val="000000" w:themeColor="text1"/>
          <w14:textFill>
            <w14:solidFill>
              <w14:schemeClr w14:val="tx1"/>
            </w14:solidFill>
          </w14:textFill>
        </w:rPr>
        <w:t>万元，专用材料费</w:t>
      </w:r>
      <w:r>
        <w:rPr>
          <w:color w:val="000000" w:themeColor="text1"/>
          <w14:textFill>
            <w14:solidFill>
              <w14:schemeClr w14:val="tx1"/>
            </w14:solidFill>
          </w14:textFill>
        </w:rPr>
        <w:t>18.33</w:t>
      </w:r>
      <w:r>
        <w:rPr>
          <w:rFonts w:hint="eastAsia"/>
          <w:color w:val="000000" w:themeColor="text1"/>
          <w14:textFill>
            <w14:solidFill>
              <w14:schemeClr w14:val="tx1"/>
            </w14:solidFill>
          </w14:textFill>
        </w:rPr>
        <w:t>万元，委托业务费</w:t>
      </w:r>
      <w:r>
        <w:rPr>
          <w:color w:val="000000" w:themeColor="text1"/>
          <w14:textFill>
            <w14:solidFill>
              <w14:schemeClr w14:val="tx1"/>
            </w14:solidFill>
          </w14:textFill>
        </w:rPr>
        <w:t>7.47</w:t>
      </w:r>
      <w:r>
        <w:rPr>
          <w:rFonts w:hint="eastAsia"/>
          <w:color w:val="000000" w:themeColor="text1"/>
          <w14:textFill>
            <w14:solidFill>
              <w14:schemeClr w14:val="tx1"/>
            </w14:solidFill>
          </w14:textFill>
        </w:rPr>
        <w:t>万元，劳务费</w:t>
      </w:r>
      <w:r>
        <w:rPr>
          <w:color w:val="000000" w:themeColor="text1"/>
          <w14:textFill>
            <w14:solidFill>
              <w14:schemeClr w14:val="tx1"/>
            </w14:solidFill>
          </w14:textFill>
        </w:rPr>
        <w:t>402.22</w:t>
      </w:r>
      <w:r>
        <w:rPr>
          <w:rFonts w:hint="eastAsia"/>
          <w:color w:val="000000" w:themeColor="text1"/>
          <w14:textFill>
            <w14:solidFill>
              <w14:schemeClr w14:val="tx1"/>
            </w14:solidFill>
          </w14:textFill>
        </w:rPr>
        <w:t>万元，各项税金</w:t>
      </w:r>
      <w:r>
        <w:rPr>
          <w:color w:val="000000" w:themeColor="text1"/>
          <w14:textFill>
            <w14:solidFill>
              <w14:schemeClr w14:val="tx1"/>
            </w14:solidFill>
          </w14:textFill>
        </w:rPr>
        <w:t>68.3</w:t>
      </w:r>
      <w:r>
        <w:rPr>
          <w:rFonts w:hint="eastAsia"/>
          <w:color w:val="000000" w:themeColor="text1"/>
          <w14:textFill>
            <w14:solidFill>
              <w14:schemeClr w14:val="tx1"/>
            </w14:solidFill>
          </w14:textFill>
        </w:rPr>
        <w:t>万元等支出。</w:t>
      </w:r>
    </w:p>
    <w:p>
      <w:pPr>
        <w:spacing w:line="580" w:lineRule="exact"/>
        <w:ind w:firstLine="643" w:firstLineChars="200"/>
        <w:rPr>
          <w:rFonts w:ascii="仿宋_GB2312"/>
          <w:b/>
          <w:bCs/>
          <w:sz w:val="32"/>
          <w:szCs w:val="32"/>
        </w:rPr>
      </w:pPr>
      <w:r>
        <w:rPr>
          <w:rFonts w:hint="eastAsia" w:ascii="仿宋_GB2312"/>
          <w:b/>
          <w:bCs/>
          <w:sz w:val="32"/>
          <w:szCs w:val="32"/>
        </w:rPr>
        <w:t>(二)项目绩效目标</w:t>
      </w:r>
    </w:p>
    <w:p>
      <w:pPr>
        <w:spacing w:line="580" w:lineRule="exact"/>
        <w:ind w:firstLine="643" w:firstLineChars="200"/>
        <w:rPr>
          <w:rFonts w:ascii="仿宋_GB2312" w:eastAsia="仿宋"/>
          <w:sz w:val="32"/>
        </w:rPr>
      </w:pPr>
      <w:r>
        <w:rPr>
          <w:rFonts w:hint="eastAsia" w:ascii="仿宋_GB2312" w:eastAsia="仿宋"/>
          <w:b/>
          <w:bCs/>
          <w:sz w:val="32"/>
        </w:rPr>
        <w:t>1.总体目标：</w:t>
      </w:r>
      <w:r>
        <w:rPr>
          <w:rFonts w:hint="eastAsia" w:ascii="仿宋_GB2312" w:eastAsia="仿宋"/>
          <w:sz w:val="32"/>
        </w:rPr>
        <w:t>承担棉花纤维和毛绒、麻、蚕丝、化纤等非棉纤维、纺织品及纤维制品的检验检测、监督抽查、定期监督检验等工作；承担社会对纺织品、纤维及制品的委托检验，仲裁检验等工作；建立纤维及纺织服装产品检测体系和质量体系，为纺织服装企业提供技术服务；开展纤维、纺织技术及应用领域的研究。为维护新疆棉花、毛绒、纺织品多年来的质量信誉，安排该专项资金主要用于抽调大量人力物力，全天候，大纵深实施动态监管，年均派出自治区级专项检查组50多个，协调组织各级纤检机构出动执法检查人员近万人次，深入南、北、东疆棉花、羊毛收购加工站点线和纺织生产企业实施全区性专项执法监督检查，努力做到纵向到底横向到边、不留死角的拉网式监督，力保新疆纤维质量的稳定。</w:t>
      </w:r>
    </w:p>
    <w:p>
      <w:pPr>
        <w:spacing w:line="580" w:lineRule="exact"/>
        <w:ind w:firstLine="643" w:firstLineChars="200"/>
        <w:rPr>
          <w:rFonts w:ascii="仿宋_GB2312" w:eastAsia="仿宋"/>
          <w:sz w:val="32"/>
        </w:rPr>
      </w:pPr>
      <w:r>
        <w:rPr>
          <w:rFonts w:hint="eastAsia" w:ascii="仿宋_GB2312" w:eastAsia="仿宋"/>
          <w:b/>
          <w:sz w:val="32"/>
        </w:rPr>
        <w:t>2.阶段性目标：</w:t>
      </w:r>
      <w:r>
        <w:rPr>
          <w:rFonts w:hint="eastAsia" w:ascii="仿宋_GB2312" w:eastAsia="仿宋"/>
          <w:sz w:val="32"/>
        </w:rPr>
        <w:t>按照上级部门工作要求，结合产品特性，分阶段性的开展监督抽查工作。在抽样阶段、检验和异议处理阶段、结果上报阶段按照相关实施细则和方案里规定的时间节点完成各项工作任务。</w:t>
      </w:r>
    </w:p>
    <w:p>
      <w:pPr>
        <w:spacing w:line="580" w:lineRule="exact"/>
        <w:ind w:firstLine="600" w:firstLineChars="200"/>
        <w:rPr>
          <w:rFonts w:ascii="黑体" w:hAnsi="黑体" w:eastAsia="黑体"/>
        </w:rPr>
      </w:pPr>
      <w:r>
        <w:rPr>
          <w:rFonts w:hint="eastAsia" w:ascii="黑体" w:hAnsi="黑体" w:eastAsia="黑体"/>
        </w:rPr>
        <w:t>二、绩效评价工作开展情况</w:t>
      </w:r>
    </w:p>
    <w:p>
      <w:pPr>
        <w:spacing w:line="580" w:lineRule="exact"/>
        <w:ind w:firstLine="643" w:firstLineChars="200"/>
        <w:outlineLvl w:val="0"/>
        <w:rPr>
          <w:rFonts w:ascii="仿宋_GB2312"/>
          <w:b/>
          <w:bCs/>
          <w:sz w:val="32"/>
          <w:szCs w:val="32"/>
        </w:rPr>
      </w:pPr>
      <w:r>
        <w:rPr>
          <w:rFonts w:hint="eastAsia" w:ascii="仿宋_GB2312"/>
          <w:b/>
          <w:bCs/>
          <w:sz w:val="32"/>
          <w:szCs w:val="32"/>
        </w:rPr>
        <w:t>（一）绩效评价目的、对象和范围。</w:t>
      </w:r>
    </w:p>
    <w:p>
      <w:pPr>
        <w:spacing w:line="600" w:lineRule="exact"/>
        <w:ind w:firstLine="602" w:firstLineChars="200"/>
        <w:rPr>
          <w:rFonts w:ascii="仿宋_GB2312"/>
          <w:b/>
          <w:bCs/>
        </w:rPr>
      </w:pPr>
      <w:r>
        <w:rPr>
          <w:rFonts w:hint="eastAsia" w:ascii="仿宋_GB2312"/>
          <w:b/>
          <w:bCs/>
        </w:rPr>
        <w:t>1.绩效评价目的：</w:t>
      </w:r>
    </w:p>
    <w:p>
      <w:pPr>
        <w:spacing w:line="600" w:lineRule="exact"/>
        <w:ind w:firstLine="640" w:firstLineChars="200"/>
        <w:rPr>
          <w:sz w:val="32"/>
          <w:szCs w:val="32"/>
        </w:rPr>
      </w:pPr>
      <w:r>
        <w:rPr>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600" w:lineRule="exact"/>
        <w:ind w:firstLine="640" w:firstLineChars="200"/>
        <w:rPr>
          <w:sz w:val="32"/>
          <w:szCs w:val="32"/>
        </w:rPr>
      </w:pPr>
      <w:r>
        <w:rPr>
          <w:sz w:val="32"/>
          <w:szCs w:val="32"/>
        </w:rPr>
        <w:t>项目在实施前向项目负责人提供财政支出绩效方面的资金管理信息，促进项目支出严格按照资金管理规定进行。</w:t>
      </w:r>
    </w:p>
    <w:p>
      <w:pPr>
        <w:spacing w:line="600" w:lineRule="exact"/>
        <w:ind w:firstLine="640" w:firstLineChars="200"/>
        <w:rPr>
          <w:sz w:val="32"/>
          <w:szCs w:val="32"/>
        </w:rPr>
      </w:pPr>
      <w:r>
        <w:rPr>
          <w:sz w:val="32"/>
          <w:szCs w:val="32"/>
        </w:rPr>
        <w:t>（2）项目绩效管理财政支出运行提供及时、有效的信息。</w:t>
      </w:r>
    </w:p>
    <w:p>
      <w:pPr>
        <w:spacing w:line="600" w:lineRule="exact"/>
        <w:rPr>
          <w:sz w:val="32"/>
          <w:szCs w:val="32"/>
        </w:rPr>
      </w:pPr>
      <w:r>
        <w:rPr>
          <w:sz w:val="32"/>
          <w:szCs w:val="32"/>
        </w:rPr>
        <w:t>综合来看，通过开展有效的财政支出绩效评价管理，达到改进预算管理、控制节约成本，提高预算资金使用效益的目的。</w:t>
      </w:r>
    </w:p>
    <w:p>
      <w:pPr>
        <w:spacing w:line="580" w:lineRule="exact"/>
        <w:ind w:firstLine="600" w:firstLineChars="200"/>
        <w:rPr>
          <w:rFonts w:ascii="仿宋_GB2312"/>
        </w:rPr>
      </w:pPr>
      <w:r>
        <w:rPr>
          <w:rFonts w:hint="eastAsia" w:ascii="仿宋_GB2312"/>
        </w:rPr>
        <w:t>了解项目经费管理是否规范，预期支出和产出效益是否按计划完成，发现预算资金在项目执行管理中制度保障、实际操作方面的缺陷和薄弱环节，同时提炼总结经验，提升资金使用效率，以达到改进预算管理、控制成本、优化资源配置的目的。</w:t>
      </w:r>
    </w:p>
    <w:p>
      <w:pPr>
        <w:spacing w:line="580" w:lineRule="exact"/>
        <w:ind w:firstLine="602" w:firstLineChars="200"/>
        <w:rPr>
          <w:rFonts w:ascii="仿宋_GB2312"/>
          <w:b/>
          <w:bCs/>
        </w:rPr>
      </w:pPr>
      <w:r>
        <w:rPr>
          <w:rFonts w:hint="eastAsia" w:ascii="仿宋_GB2312"/>
          <w:b/>
          <w:bCs/>
        </w:rPr>
        <w:t>2.绩效评价对象：</w:t>
      </w:r>
    </w:p>
    <w:p>
      <w:pPr>
        <w:spacing w:line="580" w:lineRule="exact"/>
        <w:ind w:firstLine="640" w:firstLineChars="200"/>
        <w:rPr>
          <w:rFonts w:ascii="仿宋_GB2312"/>
          <w:sz w:val="32"/>
          <w:szCs w:val="32"/>
        </w:rPr>
      </w:pPr>
      <w:r>
        <w:rPr>
          <w:rFonts w:hint="eastAsia" w:ascii="仿宋_GB2312"/>
          <w:sz w:val="32"/>
          <w:szCs w:val="32"/>
        </w:rPr>
        <w:t>产品检验检测成本所包含的全部建设内容</w:t>
      </w:r>
    </w:p>
    <w:p>
      <w:pPr>
        <w:spacing w:line="580" w:lineRule="exact"/>
        <w:ind w:firstLine="602" w:firstLineChars="200"/>
        <w:rPr>
          <w:rFonts w:ascii="仿宋_GB2312"/>
          <w:b/>
          <w:bCs/>
        </w:rPr>
      </w:pPr>
      <w:r>
        <w:rPr>
          <w:rFonts w:hint="eastAsia" w:ascii="仿宋_GB2312"/>
          <w:b/>
          <w:bCs/>
        </w:rPr>
        <w:t>3.绩效评价范围：</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w:t>
      </w:r>
      <w:r>
        <w:rPr>
          <w:rFonts w:hint="eastAsia" w:ascii="宋体" w:hAnsi="宋体" w:eastAsia="宋体" w:cs="仿宋_GB2312"/>
          <w:b/>
          <w:bCs/>
          <w:color w:val="000000"/>
          <w:kern w:val="0"/>
          <w:sz w:val="32"/>
          <w:szCs w:val="32"/>
        </w:rPr>
        <w:t>产品检验检测（经营成本）</w:t>
      </w:r>
      <w:r>
        <w:rPr>
          <w:rFonts w:hint="eastAsia"/>
          <w:color w:val="000000" w:themeColor="text1"/>
          <w14:textFill>
            <w14:solidFill>
              <w14:schemeClr w14:val="tx1"/>
            </w14:solidFill>
          </w14:textFill>
        </w:rPr>
        <w:t>进行评价，评价核心为专项资金的支出完成情况和效果。</w:t>
      </w:r>
    </w:p>
    <w:p>
      <w:pPr>
        <w:adjustRightInd w:val="0"/>
        <w:spacing w:line="520" w:lineRule="exact"/>
        <w:ind w:firstLine="640" w:firstLineChars="200"/>
        <w:rPr>
          <w:rFonts w:ascii="黑体" w:hAnsi="黑体" w:eastAsia="黑体"/>
          <w:sz w:val="32"/>
          <w:szCs w:val="32"/>
        </w:rPr>
      </w:pPr>
      <w:r>
        <w:rPr>
          <w:rFonts w:hint="eastAsia" w:ascii="黑体" w:hAnsi="黑体" w:eastAsia="黑体"/>
          <w:sz w:val="32"/>
          <w:szCs w:val="32"/>
        </w:rPr>
        <w:t>（二）绩效评价原则、评价指标体系、评价方法、评价标准。</w:t>
      </w:r>
    </w:p>
    <w:p>
      <w:pPr>
        <w:adjustRightInd w:val="0"/>
        <w:spacing w:line="520" w:lineRule="exact"/>
        <w:ind w:firstLine="640" w:firstLineChars="200"/>
        <w:rPr>
          <w:rFonts w:ascii="黑体" w:hAnsi="黑体" w:eastAsia="黑体"/>
          <w:sz w:val="32"/>
          <w:szCs w:val="32"/>
        </w:rPr>
      </w:pPr>
      <w:r>
        <w:rPr>
          <w:rFonts w:hint="eastAsia" w:ascii="黑体" w:hAnsi="黑体" w:eastAsia="黑体"/>
          <w:sz w:val="32"/>
          <w:szCs w:val="32"/>
        </w:rPr>
        <w:t>1、绩效评价原则</w:t>
      </w:r>
    </w:p>
    <w:p>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pPr>
        <w:spacing w:line="360" w:lineRule="auto"/>
        <w:rPr>
          <w:b/>
        </w:rPr>
      </w:pPr>
      <w:r>
        <w:rPr>
          <w:rFonts w:hint="eastAsia"/>
          <w:b/>
        </w:rPr>
        <w:t>2、评价指标体系（附表说明）</w:t>
      </w:r>
    </w:p>
    <w:p>
      <w:pPr>
        <w:spacing w:line="600" w:lineRule="exact"/>
        <w:ind w:firstLine="708" w:firstLineChars="200"/>
        <w:rPr>
          <w:color w:val="000000"/>
          <w:spacing w:val="17"/>
          <w:sz w:val="32"/>
          <w:szCs w:val="32"/>
        </w:rPr>
      </w:pPr>
      <w:r>
        <w:rPr>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color w:val="000000"/>
          <w:spacing w:val="17"/>
          <w:sz w:val="32"/>
          <w:szCs w:val="32"/>
        </w:rPr>
      </w:pPr>
      <w:r>
        <w:rPr>
          <w:color w:val="000000"/>
          <w:spacing w:val="17"/>
          <w:sz w:val="32"/>
          <w:szCs w:val="32"/>
        </w:rPr>
        <w:t>（1）确定评价指标</w:t>
      </w:r>
    </w:p>
    <w:p>
      <w:pPr>
        <w:spacing w:line="600" w:lineRule="exact"/>
        <w:ind w:firstLine="708" w:firstLineChars="200"/>
        <w:rPr>
          <w:color w:val="000000"/>
          <w:spacing w:val="17"/>
          <w:sz w:val="32"/>
          <w:szCs w:val="32"/>
        </w:rPr>
      </w:pPr>
      <w:r>
        <w:rPr>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color w:val="000000"/>
          <w:spacing w:val="17"/>
          <w:sz w:val="32"/>
          <w:szCs w:val="32"/>
        </w:rPr>
      </w:pPr>
      <w:r>
        <w:rPr>
          <w:color w:val="000000"/>
          <w:spacing w:val="17"/>
          <w:sz w:val="32"/>
          <w:szCs w:val="32"/>
        </w:rPr>
        <w:t>（2）确定权重</w:t>
      </w:r>
    </w:p>
    <w:p>
      <w:pPr>
        <w:spacing w:line="600" w:lineRule="exact"/>
        <w:ind w:firstLine="708" w:firstLineChars="200"/>
        <w:rPr>
          <w:color w:val="000000"/>
          <w:spacing w:val="17"/>
          <w:sz w:val="32"/>
          <w:szCs w:val="32"/>
        </w:rPr>
      </w:pPr>
      <w:r>
        <w:rPr>
          <w:color w:val="000000"/>
          <w:spacing w:val="17"/>
          <w:sz w:val="32"/>
          <w:szCs w:val="32"/>
        </w:rPr>
        <w:t>确定各个指标相对于项目总体绩效的权重分值。在绩效评价指标体系中，项目决策权重为</w:t>
      </w:r>
      <w:r>
        <w:rPr>
          <w:rFonts w:hint="eastAsia"/>
          <w:color w:val="000000"/>
          <w:spacing w:val="17"/>
          <w:sz w:val="32"/>
          <w:szCs w:val="32"/>
        </w:rPr>
        <w:t>20</w:t>
      </w:r>
      <w:r>
        <w:rPr>
          <w:color w:val="000000"/>
          <w:spacing w:val="17"/>
          <w:sz w:val="32"/>
          <w:szCs w:val="32"/>
        </w:rPr>
        <w:t>分，项目过程权重为</w:t>
      </w:r>
      <w:r>
        <w:rPr>
          <w:rFonts w:hint="eastAsia"/>
          <w:color w:val="000000"/>
          <w:spacing w:val="17"/>
          <w:sz w:val="32"/>
          <w:szCs w:val="32"/>
        </w:rPr>
        <w:t>20</w:t>
      </w:r>
      <w:r>
        <w:rPr>
          <w:color w:val="000000"/>
          <w:spacing w:val="17"/>
          <w:sz w:val="32"/>
          <w:szCs w:val="32"/>
        </w:rPr>
        <w:t>分，项目产出权重为</w:t>
      </w:r>
      <w:r>
        <w:rPr>
          <w:rFonts w:hint="eastAsia"/>
          <w:color w:val="000000"/>
          <w:spacing w:val="17"/>
          <w:sz w:val="32"/>
          <w:szCs w:val="32"/>
        </w:rPr>
        <w:t>4</w:t>
      </w:r>
      <w:r>
        <w:rPr>
          <w:color w:val="000000"/>
          <w:spacing w:val="17"/>
          <w:sz w:val="32"/>
          <w:szCs w:val="32"/>
        </w:rPr>
        <w:t>0分，项目效益权重为</w:t>
      </w:r>
      <w:r>
        <w:rPr>
          <w:rFonts w:hint="eastAsia"/>
          <w:color w:val="000000"/>
          <w:spacing w:val="17"/>
          <w:sz w:val="32"/>
          <w:szCs w:val="32"/>
        </w:rPr>
        <w:t>2</w:t>
      </w:r>
      <w:r>
        <w:rPr>
          <w:color w:val="000000"/>
          <w:spacing w:val="17"/>
          <w:sz w:val="32"/>
          <w:szCs w:val="32"/>
        </w:rPr>
        <w:t>0分。</w:t>
      </w:r>
    </w:p>
    <w:p>
      <w:pPr>
        <w:spacing w:line="600" w:lineRule="exact"/>
        <w:ind w:firstLine="708" w:firstLineChars="200"/>
        <w:rPr>
          <w:rFonts w:ascii="仿宋" w:hAnsi="仿宋" w:eastAsia="仿宋" w:cs="仿宋"/>
          <w:color w:val="000000"/>
          <w:spacing w:val="17"/>
          <w:sz w:val="32"/>
          <w:szCs w:val="32"/>
        </w:rPr>
      </w:pPr>
      <w:r>
        <w:rPr>
          <w:rFonts w:hint="eastAsia" w:ascii="仿宋" w:hAnsi="仿宋" w:eastAsia="仿宋" w:cs="仿宋"/>
          <w:color w:val="000000"/>
          <w:spacing w:val="17"/>
          <w:sz w:val="32"/>
          <w:szCs w:val="32"/>
        </w:rPr>
        <w:t>（3）确定指标标准值</w:t>
      </w:r>
    </w:p>
    <w:p>
      <w:pPr>
        <w:spacing w:line="600" w:lineRule="exact"/>
        <w:ind w:firstLine="708" w:firstLineChars="200"/>
        <w:rPr>
          <w:color w:val="000000"/>
          <w:spacing w:val="17"/>
          <w:sz w:val="32"/>
          <w:szCs w:val="32"/>
        </w:rPr>
      </w:pPr>
      <w:r>
        <w:rPr>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line="600" w:lineRule="exact"/>
        <w:ind w:firstLine="708" w:firstLineChars="200"/>
        <w:jc w:val="both"/>
        <w:rPr>
          <w:rFonts w:ascii="Times New Roman" w:hAnsi="Times New Roman" w:cs="Times New Roman"/>
          <w:b w:val="0"/>
          <w:bCs w:val="0"/>
          <w:color w:val="000000"/>
          <w:spacing w:val="17"/>
          <w:sz w:val="32"/>
        </w:rPr>
      </w:pPr>
      <w:r>
        <w:rPr>
          <w:rFonts w:ascii="Times New Roman" w:hAnsi="Times New Roman" w:cs="Times New Roman"/>
          <w:b w:val="0"/>
          <w:bCs w:val="0"/>
          <w:color w:val="000000"/>
          <w:spacing w:val="17"/>
          <w:sz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0"/>
        <w:spacing w:line="600" w:lineRule="exact"/>
        <w:ind w:firstLine="708" w:firstLineChars="200"/>
        <w:jc w:val="both"/>
        <w:outlineLvl w:val="9"/>
        <w:rPr>
          <w:rFonts w:ascii="Times New Roman" w:hAnsi="Times New Roman" w:cs="Times New Roman"/>
          <w:b w:val="0"/>
          <w:bCs w:val="0"/>
          <w:color w:val="000000"/>
          <w:spacing w:val="17"/>
          <w:sz w:val="32"/>
        </w:rPr>
      </w:pPr>
      <w:r>
        <w:rPr>
          <w:rFonts w:ascii="Times New Roman" w:hAnsi="Times New Roman" w:cs="Times New Roman"/>
          <w:b w:val="0"/>
          <w:bCs w:val="0"/>
          <w:color w:val="000000"/>
          <w:spacing w:val="17"/>
          <w:sz w:val="32"/>
        </w:rPr>
        <w:t>具体评价指标体系详情见附件1</w:t>
      </w:r>
    </w:p>
    <w:p>
      <w:pPr>
        <w:pStyle w:val="10"/>
        <w:adjustRightInd w:val="0"/>
        <w:spacing w:line="520" w:lineRule="exact"/>
        <w:ind w:firstLine="640" w:firstLineChars="200"/>
        <w:jc w:val="both"/>
        <w:outlineLvl w:val="9"/>
        <w:rPr>
          <w:rFonts w:ascii="黑体" w:hAnsi="黑体" w:eastAsia="黑体"/>
          <w:b w:val="0"/>
          <w:bCs w:val="0"/>
          <w:sz w:val="32"/>
        </w:rPr>
      </w:pPr>
      <w:r>
        <w:rPr>
          <w:rFonts w:ascii="黑体" w:hAnsi="黑体" w:eastAsia="黑体"/>
          <w:b w:val="0"/>
          <w:bCs w:val="0"/>
          <w:sz w:val="32"/>
        </w:rPr>
        <w:t>3、绩效评价方法</w:t>
      </w:r>
    </w:p>
    <w:p>
      <w:pPr>
        <w:adjustRightInd w:val="0"/>
        <w:spacing w:line="520" w:lineRule="exact"/>
        <w:ind w:firstLine="708" w:firstLineChars="200"/>
        <w:rPr>
          <w:color w:val="000000"/>
          <w:spacing w:val="17"/>
          <w:sz w:val="32"/>
          <w:szCs w:val="32"/>
        </w:rPr>
      </w:pPr>
      <w:r>
        <w:rPr>
          <w:color w:val="000000"/>
          <w:spacing w:val="17"/>
          <w:sz w:val="32"/>
          <w:szCs w:val="32"/>
        </w:rPr>
        <w:t>绩效评价从项目决策、项目过程、项目产出、项目效益四个维度进行评价。评价对象为项目目标实施情况，  评价核心为资金的支出完成情况和项目的产出效益。</w:t>
      </w:r>
    </w:p>
    <w:p>
      <w:pPr>
        <w:adjustRightInd w:val="0"/>
        <w:spacing w:line="520" w:lineRule="exact"/>
        <w:ind w:firstLine="708" w:firstLineChars="200"/>
        <w:rPr>
          <w:color w:val="000000"/>
          <w:spacing w:val="17"/>
          <w:sz w:val="32"/>
          <w:szCs w:val="32"/>
        </w:rPr>
      </w:pPr>
      <w:r>
        <w:rPr>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adjustRightInd w:val="0"/>
        <w:spacing w:line="520" w:lineRule="exact"/>
        <w:ind w:firstLine="708" w:firstLineChars="200"/>
        <w:rPr>
          <w:color w:val="000000"/>
          <w:spacing w:val="17"/>
          <w:sz w:val="32"/>
          <w:szCs w:val="32"/>
        </w:rPr>
      </w:pPr>
      <w:r>
        <w:rPr>
          <w:color w:val="000000"/>
          <w:spacing w:val="17"/>
          <w:sz w:val="32"/>
          <w:szCs w:val="32"/>
        </w:rPr>
        <w:t>（1）比较法</w:t>
      </w:r>
    </w:p>
    <w:p>
      <w:pPr>
        <w:adjustRightInd w:val="0"/>
        <w:spacing w:line="520" w:lineRule="exact"/>
        <w:ind w:firstLine="708" w:firstLineChars="200"/>
        <w:rPr>
          <w:color w:val="000000"/>
          <w:spacing w:val="17"/>
          <w:sz w:val="32"/>
          <w:szCs w:val="32"/>
        </w:rPr>
      </w:pPr>
      <w:r>
        <w:rPr>
          <w:color w:val="000000"/>
          <w:spacing w:val="17"/>
          <w:sz w:val="32"/>
          <w:szCs w:val="32"/>
        </w:rPr>
        <w:t>通过对绩效目标与实施效果、历史与当期情况，综合分析绩效目标实现程度。对</w:t>
      </w:r>
      <w:r>
        <w:rPr>
          <w:sz w:val="32"/>
          <w:szCs w:val="32"/>
        </w:rPr>
        <w:t>项目</w:t>
      </w:r>
      <w:r>
        <w:rPr>
          <w:color w:val="000000"/>
          <w:spacing w:val="17"/>
          <w:sz w:val="32"/>
          <w:szCs w:val="32"/>
        </w:rPr>
        <w:t>最终验收情况与年度绩效目标对比、预算资金执行情况等相关因素进行比较。</w:t>
      </w:r>
    </w:p>
    <w:p>
      <w:pPr>
        <w:adjustRightInd w:val="0"/>
        <w:spacing w:line="520" w:lineRule="exact"/>
        <w:ind w:firstLine="708" w:firstLineChars="200"/>
        <w:rPr>
          <w:color w:val="000000"/>
          <w:spacing w:val="17"/>
          <w:sz w:val="32"/>
          <w:szCs w:val="32"/>
        </w:rPr>
      </w:pPr>
      <w:r>
        <w:rPr>
          <w:color w:val="000000"/>
          <w:spacing w:val="17"/>
          <w:sz w:val="32"/>
          <w:szCs w:val="32"/>
        </w:rPr>
        <w:t>（2）因素分析法</w:t>
      </w:r>
    </w:p>
    <w:p>
      <w:pPr>
        <w:adjustRightInd w:val="0"/>
        <w:spacing w:line="520" w:lineRule="exact"/>
        <w:ind w:firstLine="708" w:firstLineChars="200"/>
        <w:rPr>
          <w:color w:val="000000"/>
          <w:spacing w:val="17"/>
          <w:sz w:val="32"/>
          <w:szCs w:val="32"/>
        </w:rPr>
      </w:pPr>
      <w:r>
        <w:rPr>
          <w:color w:val="000000"/>
          <w:spacing w:val="17"/>
          <w:sz w:val="32"/>
          <w:szCs w:val="32"/>
        </w:rPr>
        <w:t>通过综合分析影响绩效目标实现、实施效果的内外因素，评价绩效目标实现程度。通过对</w:t>
      </w:r>
      <w:r>
        <w:rPr>
          <w:sz w:val="32"/>
          <w:szCs w:val="32"/>
        </w:rPr>
        <w:t>项目</w:t>
      </w:r>
      <w:r>
        <w:rPr>
          <w:color w:val="000000"/>
          <w:spacing w:val="17"/>
          <w:sz w:val="32"/>
          <w:szCs w:val="32"/>
        </w:rPr>
        <w:t>的开展情况、项目产出数量、成本控制、资金拨付文件及自评报告等相关资料的收集和审核，综合分析各因素对绩效目标实现的影响。</w:t>
      </w:r>
    </w:p>
    <w:p>
      <w:pPr>
        <w:pStyle w:val="10"/>
        <w:adjustRightInd w:val="0"/>
        <w:spacing w:line="520" w:lineRule="exact"/>
        <w:ind w:firstLine="640" w:firstLineChars="200"/>
        <w:jc w:val="both"/>
        <w:outlineLvl w:val="9"/>
        <w:rPr>
          <w:rFonts w:ascii="Times New Roman" w:hAnsi="Times New Roman"/>
          <w:b w:val="0"/>
          <w:bCs w:val="0"/>
          <w:sz w:val="32"/>
        </w:rPr>
      </w:pPr>
      <w:r>
        <w:rPr>
          <w:rFonts w:ascii="Times New Roman" w:hAnsi="Times New Roman"/>
          <w:b w:val="0"/>
          <w:bCs w:val="0"/>
          <w:sz w:val="32"/>
        </w:rPr>
        <w:t>4、评价标准</w:t>
      </w:r>
    </w:p>
    <w:p>
      <w:pPr>
        <w:adjustRightInd w:val="0"/>
        <w:spacing w:line="520" w:lineRule="exact"/>
        <w:ind w:firstLine="708" w:firstLineChars="200"/>
        <w:rPr>
          <w:color w:val="000000"/>
          <w:spacing w:val="17"/>
          <w:sz w:val="32"/>
          <w:szCs w:val="32"/>
        </w:rPr>
      </w:pPr>
      <w:r>
        <w:rPr>
          <w:color w:val="000000"/>
          <w:spacing w:val="17"/>
          <w:sz w:val="32"/>
          <w:szCs w:val="32"/>
        </w:rPr>
        <w:t>绩效评价标准通常包括计划标准、行业标准、历史标准等，用于对绩效指标完成情况进行比较。本次评价主要采用了计划标准和行业标准。</w:t>
      </w:r>
    </w:p>
    <w:p>
      <w:pPr>
        <w:pStyle w:val="10"/>
        <w:widowControl/>
        <w:numPr>
          <w:ilvl w:val="0"/>
          <w:numId w:val="2"/>
        </w:numPr>
        <w:adjustRightInd w:val="0"/>
        <w:spacing w:line="520" w:lineRule="exact"/>
        <w:ind w:firstLine="708" w:firstLineChars="200"/>
        <w:jc w:val="both"/>
        <w:rPr>
          <w:rFonts w:ascii="黑体" w:hAnsi="黑体" w:eastAsia="黑体" w:cs="楷体"/>
          <w:b w:val="0"/>
          <w:color w:val="000000"/>
          <w:spacing w:val="17"/>
          <w:sz w:val="32"/>
        </w:rPr>
      </w:pPr>
      <w:r>
        <w:rPr>
          <w:rFonts w:hint="eastAsia" w:ascii="黑体" w:hAnsi="黑体" w:eastAsia="黑体" w:cs="楷体"/>
          <w:b w:val="0"/>
          <w:color w:val="000000"/>
          <w:spacing w:val="17"/>
          <w:sz w:val="32"/>
        </w:rPr>
        <w:t>绩效评价工作过程</w:t>
      </w:r>
    </w:p>
    <w:p>
      <w:pPr>
        <w:numPr>
          <w:ilvl w:val="0"/>
          <w:numId w:val="3"/>
        </w:numPr>
        <w:adjustRightInd w:val="0"/>
        <w:spacing w:line="520" w:lineRule="exact"/>
        <w:ind w:firstLine="640" w:firstLineChars="200"/>
        <w:rPr>
          <w:bCs/>
          <w:sz w:val="32"/>
          <w:szCs w:val="32"/>
        </w:rPr>
      </w:pPr>
      <w:r>
        <w:rPr>
          <w:rFonts w:hint="eastAsia"/>
          <w:bCs/>
          <w:sz w:val="32"/>
          <w:szCs w:val="32"/>
        </w:rPr>
        <w:t>前期准备。首先成立评价工作组，开展前期调研；其次明确项目绩效目标，设计绩效评价指标体系并确定绩效评价方法；最后制定评价实施方案并进行论证。</w:t>
      </w:r>
    </w:p>
    <w:p>
      <w:pPr>
        <w:numPr>
          <w:ilvl w:val="0"/>
          <w:numId w:val="3"/>
        </w:numPr>
        <w:adjustRightInd w:val="0"/>
        <w:spacing w:line="520" w:lineRule="exact"/>
        <w:ind w:firstLine="640" w:firstLineChars="200"/>
        <w:rPr>
          <w:bCs/>
          <w:sz w:val="32"/>
          <w:szCs w:val="32"/>
        </w:rPr>
      </w:pPr>
      <w:r>
        <w:rPr>
          <w:rFonts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adjustRightInd w:val="0"/>
        <w:spacing w:line="520" w:lineRule="exact"/>
        <w:ind w:firstLine="640" w:firstLineChars="200"/>
        <w:rPr>
          <w:bCs/>
          <w:sz w:val="32"/>
          <w:szCs w:val="32"/>
        </w:rPr>
      </w:pPr>
      <w:r>
        <w:rPr>
          <w:rFonts w:hint="eastAsia"/>
          <w:bCs/>
          <w:sz w:val="32"/>
          <w:szCs w:val="32"/>
        </w:rPr>
        <w:t>3、分析评价。根据收集梳理的资料围绕项目立项、资金落实、业务管理、财务管理、项目产出、项目效益等内容，对照已确定的绩效评价指标进行详细。</w:t>
      </w:r>
    </w:p>
    <w:p>
      <w:pPr>
        <w:numPr>
          <w:ilvl w:val="0"/>
          <w:numId w:val="4"/>
        </w:numPr>
        <w:adjustRightInd w:val="0"/>
        <w:spacing w:line="520" w:lineRule="exact"/>
        <w:ind w:firstLine="640" w:firstLineChars="200"/>
        <w:rPr>
          <w:rFonts w:eastAsia="黑体"/>
          <w:sz w:val="32"/>
          <w:szCs w:val="32"/>
        </w:rPr>
      </w:pPr>
      <w:r>
        <w:rPr>
          <w:rFonts w:eastAsia="黑体"/>
          <w:sz w:val="32"/>
          <w:szCs w:val="32"/>
        </w:rPr>
        <w:t>综合评价情况及评价结论</w:t>
      </w:r>
    </w:p>
    <w:p>
      <w:pPr>
        <w:pStyle w:val="10"/>
        <w:adjustRightInd w:val="0"/>
        <w:spacing w:line="520" w:lineRule="exact"/>
        <w:ind w:firstLine="640" w:firstLineChars="200"/>
        <w:jc w:val="both"/>
        <w:outlineLvl w:val="9"/>
        <w:rPr>
          <w:rFonts w:ascii="Times New Roman" w:hAnsi="Times New Roman" w:cs="Times New Roman"/>
          <w:b w:val="0"/>
          <w:sz w:val="32"/>
        </w:rPr>
      </w:pPr>
      <w:r>
        <w:rPr>
          <w:rFonts w:ascii="Times New Roman" w:hAnsi="Times New Roman" w:cs="Times New Roman"/>
          <w:b w:val="0"/>
          <w:sz w:val="32"/>
        </w:rPr>
        <w:t>对</w:t>
      </w:r>
      <w:r>
        <w:rPr>
          <w:rFonts w:hint="eastAsia" w:ascii="Times New Roman" w:hAnsi="Times New Roman" w:cs="Times New Roman"/>
          <w:b w:val="0"/>
          <w:sz w:val="32"/>
        </w:rPr>
        <w:t>棉花及纤维制品质量监督管理</w:t>
      </w:r>
      <w:r>
        <w:rPr>
          <w:rFonts w:ascii="Times New Roman" w:hAnsi="Times New Roman" w:cs="Times New Roman"/>
          <w:b w:val="0"/>
          <w:sz w:val="32"/>
        </w:rPr>
        <w:t xml:space="preserve">项目进行客观评价，最终评分结果：总得分为 </w:t>
      </w:r>
      <w:r>
        <w:rPr>
          <w:rFonts w:hint="eastAsia" w:ascii="Times New Roman" w:hAnsi="Times New Roman" w:cs="Times New Roman"/>
          <w:b w:val="0"/>
          <w:sz w:val="32"/>
        </w:rPr>
        <w:t>100</w:t>
      </w:r>
      <w:r>
        <w:rPr>
          <w:rFonts w:ascii="Times New Roman" w:hAnsi="Times New Roman" w:cs="Times New Roman"/>
          <w:b w:val="0"/>
          <w:sz w:val="32"/>
        </w:rPr>
        <w:t>分，属于“优”。其中，项目决策类指标权重为</w:t>
      </w:r>
      <w:r>
        <w:rPr>
          <w:rFonts w:hint="eastAsia" w:ascii="Times New Roman" w:hAnsi="Times New Roman" w:cs="Times New Roman"/>
          <w:b w:val="0"/>
          <w:sz w:val="32"/>
        </w:rPr>
        <w:t>20</w:t>
      </w:r>
      <w:r>
        <w:rPr>
          <w:rFonts w:ascii="Times New Roman" w:hAnsi="Times New Roman" w:cs="Times New Roman"/>
          <w:b w:val="0"/>
          <w:sz w:val="32"/>
        </w:rPr>
        <w:t>分，得分为</w:t>
      </w:r>
      <w:r>
        <w:rPr>
          <w:rFonts w:hint="eastAsia" w:ascii="Times New Roman" w:hAnsi="Times New Roman" w:cs="Times New Roman"/>
          <w:b w:val="0"/>
          <w:sz w:val="32"/>
        </w:rPr>
        <w:t>20</w:t>
      </w:r>
      <w:r>
        <w:rPr>
          <w:rFonts w:ascii="Times New Roman" w:hAnsi="Times New Roman" w:cs="Times New Roman"/>
          <w:b w:val="0"/>
          <w:sz w:val="32"/>
        </w:rPr>
        <w:t xml:space="preserve">分，得分率为 </w:t>
      </w:r>
      <w:r>
        <w:rPr>
          <w:rFonts w:hint="eastAsia" w:ascii="Times New Roman" w:hAnsi="Times New Roman" w:cs="Times New Roman"/>
          <w:b w:val="0"/>
          <w:sz w:val="32"/>
        </w:rPr>
        <w:t>100%</w:t>
      </w:r>
      <w:r>
        <w:rPr>
          <w:rFonts w:ascii="Times New Roman" w:hAnsi="Times New Roman" w:cs="Times New Roman"/>
          <w:b w:val="0"/>
          <w:sz w:val="32"/>
        </w:rPr>
        <w:t>。项目过程类指标权重为</w:t>
      </w:r>
      <w:r>
        <w:rPr>
          <w:rFonts w:hint="eastAsia" w:ascii="Times New Roman" w:hAnsi="Times New Roman" w:cs="Times New Roman"/>
          <w:b w:val="0"/>
          <w:sz w:val="32"/>
        </w:rPr>
        <w:t>20</w:t>
      </w:r>
      <w:r>
        <w:rPr>
          <w:rFonts w:ascii="Times New Roman" w:hAnsi="Times New Roman" w:cs="Times New Roman"/>
          <w:b w:val="0"/>
          <w:sz w:val="32"/>
        </w:rPr>
        <w:t>分，得分为</w:t>
      </w:r>
      <w:r>
        <w:rPr>
          <w:rFonts w:hint="eastAsia" w:ascii="Times New Roman" w:hAnsi="Times New Roman" w:cs="Times New Roman"/>
          <w:b w:val="0"/>
          <w:sz w:val="32"/>
        </w:rPr>
        <w:t>20</w:t>
      </w:r>
      <w:r>
        <w:rPr>
          <w:rFonts w:ascii="Times New Roman" w:hAnsi="Times New Roman" w:cs="Times New Roman"/>
          <w:b w:val="0"/>
          <w:sz w:val="32"/>
        </w:rPr>
        <w:t xml:space="preserve">分，得分率为 </w:t>
      </w:r>
      <w:r>
        <w:rPr>
          <w:rFonts w:hint="eastAsia" w:ascii="Times New Roman" w:hAnsi="Times New Roman" w:cs="Times New Roman"/>
          <w:b w:val="0"/>
          <w:sz w:val="32"/>
        </w:rPr>
        <w:t>100%</w:t>
      </w:r>
      <w:r>
        <w:rPr>
          <w:rFonts w:ascii="Times New Roman" w:hAnsi="Times New Roman" w:cs="Times New Roman"/>
          <w:b w:val="0"/>
          <w:sz w:val="32"/>
        </w:rPr>
        <w:t>。项目产出类指标权重为</w:t>
      </w:r>
      <w:r>
        <w:rPr>
          <w:rFonts w:hint="eastAsia" w:ascii="Times New Roman" w:hAnsi="Times New Roman" w:cs="Times New Roman"/>
          <w:b w:val="0"/>
          <w:sz w:val="32"/>
        </w:rPr>
        <w:t>4</w:t>
      </w:r>
      <w:r>
        <w:rPr>
          <w:rFonts w:ascii="Times New Roman" w:hAnsi="Times New Roman" w:cs="Times New Roman"/>
          <w:b w:val="0"/>
          <w:sz w:val="32"/>
        </w:rPr>
        <w:t>0分，得分为</w:t>
      </w:r>
      <w:r>
        <w:rPr>
          <w:rFonts w:hint="eastAsia" w:ascii="Times New Roman" w:hAnsi="Times New Roman" w:cs="Times New Roman"/>
          <w:b w:val="0"/>
          <w:sz w:val="32"/>
        </w:rPr>
        <w:t>40</w:t>
      </w:r>
      <w:r>
        <w:rPr>
          <w:rFonts w:ascii="Times New Roman" w:hAnsi="Times New Roman" w:cs="Times New Roman"/>
          <w:b w:val="0"/>
          <w:sz w:val="32"/>
        </w:rPr>
        <w:t xml:space="preserve">分，得分率为 </w:t>
      </w:r>
      <w:r>
        <w:rPr>
          <w:rFonts w:hint="eastAsia" w:ascii="Times New Roman" w:hAnsi="Times New Roman" w:cs="Times New Roman"/>
          <w:b w:val="0"/>
          <w:sz w:val="32"/>
        </w:rPr>
        <w:t>100%</w:t>
      </w:r>
      <w:r>
        <w:rPr>
          <w:rFonts w:ascii="Times New Roman" w:hAnsi="Times New Roman" w:cs="Times New Roman"/>
          <w:b w:val="0"/>
          <w:sz w:val="32"/>
        </w:rPr>
        <w:t>。项目效益类指标权重为</w:t>
      </w:r>
      <w:r>
        <w:rPr>
          <w:rFonts w:hint="eastAsia" w:ascii="Times New Roman" w:hAnsi="Times New Roman" w:cs="Times New Roman"/>
          <w:b w:val="0"/>
          <w:sz w:val="32"/>
        </w:rPr>
        <w:t>2</w:t>
      </w:r>
      <w:r>
        <w:rPr>
          <w:rFonts w:ascii="Times New Roman" w:hAnsi="Times New Roman" w:cs="Times New Roman"/>
          <w:b w:val="0"/>
          <w:sz w:val="32"/>
        </w:rPr>
        <w:t>0分，得分为</w:t>
      </w:r>
      <w:r>
        <w:rPr>
          <w:rFonts w:hint="eastAsia" w:ascii="Times New Roman" w:hAnsi="Times New Roman" w:cs="Times New Roman"/>
          <w:b w:val="0"/>
          <w:sz w:val="32"/>
        </w:rPr>
        <w:t>20</w:t>
      </w:r>
      <w:r>
        <w:rPr>
          <w:rFonts w:ascii="Times New Roman" w:hAnsi="Times New Roman" w:cs="Times New Roman"/>
          <w:b w:val="0"/>
          <w:sz w:val="32"/>
        </w:rPr>
        <w:t xml:space="preserve">分，得分率为 </w:t>
      </w:r>
      <w:r>
        <w:rPr>
          <w:rFonts w:hint="eastAsia" w:ascii="Times New Roman" w:hAnsi="Times New Roman" w:cs="Times New Roman"/>
          <w:b w:val="0"/>
          <w:sz w:val="32"/>
        </w:rPr>
        <w:t>100%</w:t>
      </w:r>
      <w:r>
        <w:rPr>
          <w:rFonts w:ascii="Times New Roman" w:hAnsi="Times New Roman" w:cs="Times New Roman"/>
          <w:b w:val="0"/>
          <w:sz w:val="32"/>
        </w:rPr>
        <w:t>。</w:t>
      </w:r>
    </w:p>
    <w:p>
      <w:pPr>
        <w:pStyle w:val="10"/>
        <w:adjustRightInd w:val="0"/>
        <w:spacing w:line="480" w:lineRule="exact"/>
        <w:ind w:firstLine="643" w:firstLineChars="200"/>
        <w:jc w:val="both"/>
        <w:outlineLvl w:val="9"/>
        <w:rPr>
          <w:rFonts w:ascii="Times New Roman" w:hAnsi="Times New Roman" w:cs="Times New Roman"/>
          <w:b w:val="0"/>
          <w:sz w:val="32"/>
        </w:rPr>
      </w:pPr>
      <w:r>
        <w:rPr>
          <w:rFonts w:ascii="Times New Roman" w:hAnsi="Times New Roman"/>
          <w:sz w:val="32"/>
        </w:rPr>
        <w:t>表1综合评分表</w:t>
      </w:r>
    </w:p>
    <w:p>
      <w:pPr>
        <w:adjustRightInd w:val="0"/>
        <w:spacing w:line="520" w:lineRule="exact"/>
        <w:ind w:firstLine="640" w:firstLineChars="200"/>
        <w:rPr>
          <w:bCs/>
          <w:sz w:val="32"/>
          <w:szCs w:val="32"/>
        </w:rPr>
      </w:pPr>
    </w:p>
    <w:p/>
    <w:p/>
    <w:p/>
    <w:tbl>
      <w:tblPr>
        <w:tblStyle w:val="1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决策　</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990"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20分</w:t>
            </w:r>
          </w:p>
        </w:tc>
        <w:tc>
          <w:tcPr>
            <w:tcW w:w="128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　</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立项依据</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充分性</w:t>
            </w:r>
          </w:p>
        </w:tc>
        <w:tc>
          <w:tcPr>
            <w:tcW w:w="72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3</w:t>
            </w:r>
          </w:p>
        </w:tc>
        <w:tc>
          <w:tcPr>
            <w:tcW w:w="104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充分</w:t>
            </w:r>
          </w:p>
        </w:tc>
        <w:tc>
          <w:tcPr>
            <w:tcW w:w="92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充分</w:t>
            </w:r>
          </w:p>
        </w:tc>
        <w:tc>
          <w:tcPr>
            <w:tcW w:w="1215"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立项程序</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规范性</w:t>
            </w:r>
          </w:p>
        </w:tc>
        <w:tc>
          <w:tcPr>
            <w:tcW w:w="72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3</w:t>
            </w:r>
          </w:p>
        </w:tc>
        <w:tc>
          <w:tcPr>
            <w:tcW w:w="104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规范</w:t>
            </w:r>
          </w:p>
        </w:tc>
        <w:tc>
          <w:tcPr>
            <w:tcW w:w="92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规范</w:t>
            </w:r>
          </w:p>
        </w:tc>
        <w:tc>
          <w:tcPr>
            <w:tcW w:w="1215"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　</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3</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绩效指标</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明确性</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3</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明确</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明确</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128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资金投入</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预算编制</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科学性</w:t>
            </w:r>
          </w:p>
        </w:tc>
        <w:tc>
          <w:tcPr>
            <w:tcW w:w="72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4</w:t>
            </w:r>
          </w:p>
        </w:tc>
        <w:tc>
          <w:tcPr>
            <w:tcW w:w="104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科学</w:t>
            </w:r>
          </w:p>
        </w:tc>
        <w:tc>
          <w:tcPr>
            <w:tcW w:w="92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科学</w:t>
            </w:r>
          </w:p>
        </w:tc>
        <w:tc>
          <w:tcPr>
            <w:tcW w:w="1215"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资金分配</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72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4</w:t>
            </w:r>
          </w:p>
        </w:tc>
        <w:tc>
          <w:tcPr>
            <w:tcW w:w="104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w:t>
            </w:r>
          </w:p>
        </w:tc>
        <w:tc>
          <w:tcPr>
            <w:tcW w:w="92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w:t>
            </w:r>
          </w:p>
        </w:tc>
        <w:tc>
          <w:tcPr>
            <w:tcW w:w="1215" w:type="dxa"/>
            <w:shd w:val="clear" w:color="auto" w:fill="FFFFFF"/>
            <w:vAlign w:val="center"/>
          </w:tcPr>
          <w:p>
            <w:pPr>
              <w:widowControl/>
              <w:spacing w:line="360" w:lineRule="auto"/>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过程</w:t>
            </w:r>
          </w:p>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990"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20分</w:t>
            </w:r>
          </w:p>
        </w:tc>
        <w:tc>
          <w:tcPr>
            <w:tcW w:w="128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4</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100%</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r>
              <w:rPr>
                <w:color w:val="000000" w:themeColor="text1"/>
                <w:kern w:val="0"/>
                <w:sz w:val="22"/>
                <w:szCs w:val="22"/>
                <w14:textFill>
                  <w14:solidFill>
                    <w14:schemeClr w14:val="tx1"/>
                  </w14:solidFill>
                </w14:textFill>
              </w:rPr>
              <w:t>%</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1283"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w:t>
            </w:r>
          </w:p>
        </w:tc>
        <w:tc>
          <w:tcPr>
            <w:tcW w:w="72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4</w:t>
            </w:r>
          </w:p>
        </w:tc>
        <w:tc>
          <w:tcPr>
            <w:tcW w:w="104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100%</w:t>
            </w:r>
          </w:p>
        </w:tc>
        <w:tc>
          <w:tcPr>
            <w:tcW w:w="92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r>
              <w:rPr>
                <w:color w:val="000000" w:themeColor="text1"/>
                <w:kern w:val="0"/>
                <w:sz w:val="22"/>
                <w:szCs w:val="22"/>
                <w14:textFill>
                  <w14:solidFill>
                    <w14:schemeClr w14:val="tx1"/>
                  </w14:solidFill>
                </w14:textFill>
              </w:rPr>
              <w:t>%</w:t>
            </w:r>
          </w:p>
        </w:tc>
        <w:tc>
          <w:tcPr>
            <w:tcW w:w="1215" w:type="dxa"/>
            <w:shd w:val="clear" w:color="auto" w:fill="FFFFFF"/>
            <w:vAlign w:val="center"/>
          </w:tcPr>
          <w:p>
            <w:pPr>
              <w:widowControl/>
              <w:spacing w:line="360" w:lineRule="auto"/>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资金使用</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合规性</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4</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合格</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合格</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128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组织实施</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管理制度</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健全性</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4</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健全</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健全</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制度执行</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有效性</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4</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w:t>
            </w:r>
          </w:p>
        </w:tc>
        <w:tc>
          <w:tcPr>
            <w:tcW w:w="990"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40分</w:t>
            </w:r>
          </w:p>
        </w:tc>
        <w:tc>
          <w:tcPr>
            <w:tcW w:w="128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产出数量</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w:t>
            </w:r>
            <w:r>
              <w:rPr>
                <w:rFonts w:hint="eastAsia"/>
                <w:color w:val="000000" w:themeColor="text1"/>
                <w:kern w:val="0"/>
                <w:sz w:val="22"/>
                <w:szCs w:val="22"/>
                <w14:textFill>
                  <w14:solidFill>
                    <w14:schemeClr w14:val="tx1"/>
                  </w14:solidFill>
                </w14:textFill>
              </w:rPr>
              <w:t>0</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100%</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r>
              <w:rPr>
                <w:color w:val="000000" w:themeColor="text1"/>
                <w:kern w:val="0"/>
                <w:sz w:val="22"/>
                <w:szCs w:val="22"/>
                <w14:textFill>
                  <w14:solidFill>
                    <w14:schemeClr w14:val="tx1"/>
                  </w14:solidFill>
                </w14:textFill>
              </w:rPr>
              <w:t>%</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产出质量</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100%</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r>
              <w:rPr>
                <w:color w:val="000000" w:themeColor="text1"/>
                <w:kern w:val="0"/>
                <w:sz w:val="22"/>
                <w:szCs w:val="22"/>
                <w14:textFill>
                  <w14:solidFill>
                    <w14:schemeClr w14:val="tx1"/>
                  </w14:solidFill>
                </w14:textFill>
              </w:rPr>
              <w:t>%</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1283" w:type="dxa"/>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产出时效</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完成及时性</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w:t>
            </w:r>
            <w:r>
              <w:rPr>
                <w:rFonts w:hint="eastAsia"/>
                <w:color w:val="000000" w:themeColor="text1"/>
                <w:kern w:val="0"/>
                <w:sz w:val="22"/>
                <w:szCs w:val="22"/>
                <w14:textFill>
                  <w14:solidFill>
                    <w14:schemeClr w14:val="tx1"/>
                  </w14:solidFill>
                </w14:textFill>
              </w:rPr>
              <w:t>0</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及时</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及时</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产出成本</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成本节约率</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r>
              <w:rPr>
                <w:color w:val="000000" w:themeColor="text1"/>
                <w:kern w:val="0"/>
                <w:sz w:val="22"/>
                <w:szCs w:val="22"/>
                <w14:textFill>
                  <w14:solidFill>
                    <w14:schemeClr w14:val="tx1"/>
                  </w14:solidFill>
                </w14:textFill>
              </w:rPr>
              <w:t>%</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r>
              <w:rPr>
                <w:color w:val="000000" w:themeColor="text1"/>
                <w:kern w:val="0"/>
                <w:sz w:val="22"/>
                <w:szCs w:val="22"/>
                <w14:textFill>
                  <w14:solidFill>
                    <w14:schemeClr w14:val="tx1"/>
                  </w14:solidFill>
                </w14:textFill>
              </w:rPr>
              <w:t>%</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效益　</w:t>
            </w:r>
          </w:p>
        </w:tc>
        <w:tc>
          <w:tcPr>
            <w:tcW w:w="990"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20分</w:t>
            </w:r>
          </w:p>
        </w:tc>
        <w:tc>
          <w:tcPr>
            <w:tcW w:w="128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项目效益　</w:t>
            </w: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实施效益</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（社会效益、经济效益、可持续效益）</w:t>
            </w:r>
          </w:p>
        </w:tc>
        <w:tc>
          <w:tcPr>
            <w:tcW w:w="72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w:t>
            </w:r>
          </w:p>
        </w:tc>
        <w:tc>
          <w:tcPr>
            <w:tcW w:w="104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w:t>
            </w:r>
          </w:p>
        </w:tc>
        <w:tc>
          <w:tcPr>
            <w:tcW w:w="92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w:t>
            </w:r>
          </w:p>
        </w:tc>
        <w:tc>
          <w:tcPr>
            <w:tcW w:w="1215"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990"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28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1707"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满意度</w:t>
            </w:r>
          </w:p>
        </w:tc>
        <w:tc>
          <w:tcPr>
            <w:tcW w:w="727"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w:t>
            </w:r>
          </w:p>
        </w:tc>
        <w:tc>
          <w:tcPr>
            <w:tcW w:w="104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w:t>
            </w:r>
            <w:r>
              <w:rPr>
                <w:rFonts w:hint="eastAsia"/>
                <w:color w:val="000000" w:themeColor="text1"/>
                <w:kern w:val="0"/>
                <w:sz w:val="22"/>
                <w:szCs w:val="22"/>
                <w14:textFill>
                  <w14:solidFill>
                    <w14:schemeClr w14:val="tx1"/>
                  </w14:solidFill>
                </w14:textFill>
              </w:rPr>
              <w:t>95</w:t>
            </w:r>
            <w:r>
              <w:rPr>
                <w:color w:val="000000" w:themeColor="text1"/>
                <w:kern w:val="0"/>
                <w:sz w:val="22"/>
                <w:szCs w:val="22"/>
                <w14:textFill>
                  <w14:solidFill>
                    <w14:schemeClr w14:val="tx1"/>
                  </w14:solidFill>
                </w14:textFill>
              </w:rPr>
              <w:t>%</w:t>
            </w:r>
          </w:p>
        </w:tc>
        <w:tc>
          <w:tcPr>
            <w:tcW w:w="924"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r>
              <w:rPr>
                <w:color w:val="000000" w:themeColor="text1"/>
                <w:kern w:val="0"/>
                <w:sz w:val="22"/>
                <w:szCs w:val="22"/>
                <w14:textFill>
                  <w14:solidFill>
                    <w14:schemeClr w14:val="tx1"/>
                  </w14:solidFill>
                </w14:textFill>
              </w:rPr>
              <w:t>%</w:t>
            </w:r>
          </w:p>
        </w:tc>
        <w:tc>
          <w:tcPr>
            <w:tcW w:w="1215"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100%</w:t>
            </w:r>
          </w:p>
        </w:tc>
        <w:tc>
          <w:tcPr>
            <w:tcW w:w="960" w:type="dxa"/>
            <w:shd w:val="clear" w:color="000000" w:fill="FFFFFF"/>
            <w:vAlign w:val="center"/>
          </w:tcPr>
          <w:p>
            <w:pPr>
              <w:widowControl/>
              <w:spacing w:line="0" w:lineRule="atLeast"/>
              <w:jc w:val="center"/>
              <w:rPr>
                <w:color w:val="000000" w:themeColor="text1"/>
                <w:kern w:val="0"/>
                <w:sz w:val="22"/>
                <w:szCs w:val="22"/>
                <w14:textFill>
                  <w14:solidFill>
                    <w14:schemeClr w14:val="tx1"/>
                  </w14:solidFill>
                </w14:textFill>
              </w:rPr>
            </w:pPr>
            <w:r>
              <w:rPr>
                <w:rFonts w:hint="eastAsia"/>
                <w:color w:val="000000" w:themeColor="text1"/>
                <w:kern w:val="0"/>
                <w:sz w:val="22"/>
                <w:szCs w:val="22"/>
                <w14:textFill>
                  <w14:solidFill>
                    <w14:schemeClr w14:val="tx1"/>
                  </w14:solidFill>
                </w14:textFill>
              </w:rPr>
              <w:t>10</w:t>
            </w:r>
          </w:p>
        </w:tc>
      </w:tr>
    </w:tbl>
    <w:p/>
    <w:p>
      <w:pPr>
        <w:spacing w:line="580" w:lineRule="exact"/>
        <w:ind w:firstLine="600" w:firstLineChars="200"/>
        <w:rPr>
          <w:rFonts w:ascii="黑体" w:hAnsi="黑体" w:eastAsia="黑体"/>
        </w:rPr>
      </w:pPr>
      <w:r>
        <w:rPr>
          <w:rFonts w:hint="eastAsia" w:ascii="黑体" w:hAnsi="黑体" w:eastAsia="黑体"/>
        </w:rPr>
        <w:t>四、绩效评价指标分析</w:t>
      </w:r>
    </w:p>
    <w:p>
      <w:pPr>
        <w:spacing w:line="580" w:lineRule="exact"/>
        <w:ind w:firstLine="643" w:firstLineChars="200"/>
        <w:outlineLvl w:val="0"/>
        <w:rPr>
          <w:rFonts w:ascii="仿宋_GB2312"/>
        </w:rPr>
      </w:pPr>
      <w:r>
        <w:rPr>
          <w:rFonts w:hint="eastAsia" w:ascii="仿宋_GB2312"/>
          <w:b/>
          <w:bCs/>
          <w:sz w:val="32"/>
          <w:szCs w:val="32"/>
        </w:rPr>
        <w:t>（一）项目决策情况</w:t>
      </w:r>
    </w:p>
    <w:p>
      <w:pPr>
        <w:spacing w:line="580" w:lineRule="exact"/>
        <w:ind w:firstLine="641"/>
        <w:rPr>
          <w:rFonts w:ascii="仿宋_GB2312"/>
          <w:sz w:val="32"/>
          <w:szCs w:val="32"/>
        </w:rPr>
      </w:pPr>
      <w:r>
        <w:rPr>
          <w:rFonts w:hint="eastAsia" w:ascii="仿宋_GB2312"/>
          <w:sz w:val="32"/>
          <w:szCs w:val="32"/>
        </w:rPr>
        <w:t>1、</w:t>
      </w:r>
      <w:r>
        <w:rPr>
          <w:rStyle w:val="13"/>
          <w:rFonts w:hint="eastAsia" w:ascii="仿宋" w:hAnsi="仿宋" w:eastAsia="仿宋" w:cs="仿宋"/>
          <w:b w:val="0"/>
          <w:bCs w:val="0"/>
          <w:spacing w:val="-4"/>
          <w:sz w:val="32"/>
          <w:szCs w:val="32"/>
        </w:rPr>
        <w:t>为加强项目资金的使用管理，我中心专门制定了《项目资金的使用规定》，所有项目资金的使用都严格按照《项目资金的使用规定》和我中心的《财务管理制度》，在实施项目过程中，厉行节约，避免浪费，使项目资金能最大限度地发挥其作用。指定专人负责监督项目的实施过程，做到发现问题及时整改。</w:t>
      </w:r>
    </w:p>
    <w:p>
      <w:pPr>
        <w:spacing w:line="580" w:lineRule="exact"/>
        <w:ind w:firstLine="643" w:firstLineChars="200"/>
        <w:outlineLvl w:val="0"/>
        <w:rPr>
          <w:rFonts w:ascii="仿宋_GB2312"/>
          <w:b/>
          <w:bCs/>
          <w:sz w:val="32"/>
          <w:szCs w:val="32"/>
        </w:rPr>
      </w:pPr>
      <w:r>
        <w:rPr>
          <w:rFonts w:hint="eastAsia" w:ascii="仿宋_GB2312"/>
          <w:b/>
          <w:bCs/>
          <w:sz w:val="32"/>
          <w:szCs w:val="32"/>
        </w:rPr>
        <w:t>（二）项目过程情况</w:t>
      </w:r>
    </w:p>
    <w:p>
      <w:pPr>
        <w:spacing w:line="580" w:lineRule="exact"/>
        <w:ind w:firstLine="641"/>
        <w:rPr>
          <w:rFonts w:ascii="仿宋_GB2312"/>
          <w:sz w:val="32"/>
          <w:szCs w:val="32"/>
        </w:rPr>
      </w:pPr>
      <w:r>
        <w:rPr>
          <w:rFonts w:hint="eastAsia" w:ascii="仿宋_GB2312"/>
          <w:sz w:val="32"/>
          <w:szCs w:val="32"/>
        </w:rPr>
        <w:t>本项目依据区局下达的各类产品质量监督抽查工作等相关文件要求以及各类产品质量监督抽查细则和方案，结合工作实际情况，工作开展有计划有措施，及时落实有关工作，项目支出手续完备，有关资料整理归档，保证各类产品质量监督抽查工作正常有序开展，确保实验室基础设施完善，仪器设备正常，检测方法正确，检验数据准确、公正，及时向区局上报产品检测结果。中心财务部负责对项目实施过程中规范使用资金，监督资金使用进度，严格预算执行。</w:t>
      </w:r>
    </w:p>
    <w:p>
      <w:pPr>
        <w:spacing w:line="580" w:lineRule="exact"/>
        <w:ind w:firstLine="643" w:firstLineChars="200"/>
        <w:outlineLvl w:val="0"/>
        <w:rPr>
          <w:rFonts w:ascii="仿宋_GB2312"/>
          <w:b/>
          <w:bCs/>
          <w:sz w:val="32"/>
          <w:szCs w:val="32"/>
        </w:rPr>
      </w:pPr>
      <w:r>
        <w:rPr>
          <w:rFonts w:hint="eastAsia" w:ascii="仿宋_GB2312"/>
          <w:b/>
          <w:bCs/>
          <w:sz w:val="32"/>
          <w:szCs w:val="32"/>
        </w:rPr>
        <w:t>（三）项目产出情况</w:t>
      </w:r>
    </w:p>
    <w:p>
      <w:pPr>
        <w:adjustRightInd w:val="0"/>
        <w:spacing w:line="520" w:lineRule="exact"/>
        <w:ind w:firstLine="640" w:firstLineChars="200"/>
        <w:rPr>
          <w:rFonts w:ascii="仿宋" w:hAnsi="仿宋" w:eastAsia="仿宋" w:cs="仿宋_GB2312"/>
          <w:bCs/>
          <w:kern w:val="0"/>
          <w:sz w:val="32"/>
          <w:szCs w:val="32"/>
        </w:rPr>
      </w:pPr>
      <w:r>
        <w:rPr>
          <w:rFonts w:hint="eastAsia" w:ascii="仿宋_GB2312"/>
          <w:sz w:val="32"/>
          <w:szCs w:val="32"/>
        </w:rPr>
        <w:t>数量指标方面：2022年</w:t>
      </w:r>
      <w:r>
        <w:rPr>
          <w:rFonts w:hint="eastAsia" w:ascii="仿宋" w:hAnsi="仿宋" w:eastAsia="仿宋" w:cs="仿宋_GB2312"/>
          <w:bCs/>
          <w:kern w:val="0"/>
          <w:sz w:val="32"/>
          <w:szCs w:val="32"/>
        </w:rPr>
        <w:t>共抽查企业321家次，监督抽检376批产品（其中监督抽查纺织品及服装301批次，絮用纤维72批次，捆扎带3批次）。受理委托检验：纺织品及服装575批次，絮用纤维61批次，捆扎带542批次，套袋69批，共计1247批。</w:t>
      </w:r>
      <w:r>
        <w:rPr>
          <w:rFonts w:hint="eastAsia" w:ascii="仿宋_GB2312"/>
          <w:sz w:val="32"/>
          <w:szCs w:val="32"/>
        </w:rPr>
        <w:t>2022年计量检定报告出具6736份，检定及校准企业累计1250批次，检定/校准各类仪器6736台件，实现检定费用总收入894414。</w:t>
      </w:r>
      <w:r>
        <w:rPr>
          <w:rFonts w:hint="eastAsia" w:ascii="仿宋" w:hAnsi="仿宋" w:eastAsia="仿宋" w:cs="仿宋_GB2312"/>
          <w:bCs/>
          <w:kern w:val="0"/>
          <w:sz w:val="32"/>
          <w:szCs w:val="32"/>
        </w:rPr>
        <w:t>线上线下共举办棉花加工企业质量检验人员、信息系统管理人员培训班25期，培训人员3857人次。</w:t>
      </w:r>
    </w:p>
    <w:p>
      <w:pPr>
        <w:spacing w:line="580" w:lineRule="exact"/>
        <w:ind w:firstLine="641"/>
        <w:rPr>
          <w:rFonts w:ascii="仿宋_GB2312"/>
          <w:sz w:val="32"/>
          <w:szCs w:val="32"/>
        </w:rPr>
      </w:pPr>
      <w:r>
        <w:rPr>
          <w:rFonts w:hint="eastAsia" w:ascii="仿宋_GB2312"/>
          <w:sz w:val="32"/>
          <w:szCs w:val="32"/>
        </w:rPr>
        <w:t>质量指标方面：抽查企业同比增长率10%，抽查合格率94.3%，处置不合格产品数量占检验不合格产品总数的比率22%。检定及校准仪器符合计量特性占总数≥90％，覆盖企业数量100％。</w:t>
      </w:r>
    </w:p>
    <w:p>
      <w:pPr>
        <w:spacing w:line="580" w:lineRule="exact"/>
        <w:ind w:firstLine="641"/>
        <w:rPr>
          <w:rFonts w:ascii="仿宋_GB2312"/>
          <w:sz w:val="32"/>
          <w:szCs w:val="32"/>
        </w:rPr>
      </w:pPr>
      <w:r>
        <w:rPr>
          <w:rFonts w:hint="eastAsia" w:ascii="仿宋_GB2312"/>
          <w:sz w:val="32"/>
          <w:szCs w:val="32"/>
        </w:rPr>
        <w:t>成本指标方面：产品检验检测平均成本与目标值1万元每次相同。</w:t>
      </w:r>
    </w:p>
    <w:p>
      <w:pPr>
        <w:spacing w:line="580" w:lineRule="exact"/>
        <w:ind w:firstLine="641"/>
        <w:rPr>
          <w:rFonts w:ascii="仿宋_GB2312"/>
          <w:sz w:val="32"/>
          <w:szCs w:val="32"/>
        </w:rPr>
      </w:pPr>
      <w:r>
        <w:rPr>
          <w:rFonts w:hint="eastAsia" w:ascii="仿宋_GB2312"/>
          <w:sz w:val="32"/>
          <w:szCs w:val="32"/>
        </w:rPr>
        <w:t>时效指标方面：产品检验监测及时性达到90%；检定及校准及时性达到100%。</w:t>
      </w:r>
    </w:p>
    <w:p>
      <w:pPr>
        <w:spacing w:line="580" w:lineRule="exact"/>
        <w:ind w:firstLine="643" w:firstLineChars="200"/>
        <w:outlineLvl w:val="0"/>
        <w:rPr>
          <w:rFonts w:ascii="仿宋_GB2312"/>
          <w:b/>
          <w:bCs/>
          <w:sz w:val="32"/>
          <w:szCs w:val="32"/>
        </w:rPr>
      </w:pPr>
      <w:r>
        <w:rPr>
          <w:rFonts w:hint="eastAsia" w:ascii="仿宋_GB2312"/>
          <w:b/>
          <w:bCs/>
          <w:sz w:val="32"/>
          <w:szCs w:val="32"/>
        </w:rPr>
        <w:t>（四）项目效益情况</w:t>
      </w:r>
    </w:p>
    <w:p>
      <w:pPr>
        <w:spacing w:line="560" w:lineRule="exact"/>
        <w:ind w:firstLine="640" w:firstLineChars="200"/>
        <w:rPr>
          <w:rFonts w:ascii="仿宋_GB2312"/>
          <w:sz w:val="32"/>
          <w:szCs w:val="32"/>
        </w:rPr>
      </w:pPr>
      <w:r>
        <w:rPr>
          <w:rFonts w:hint="eastAsia" w:ascii="仿宋_GB2312"/>
          <w:sz w:val="32"/>
          <w:szCs w:val="32"/>
        </w:rPr>
        <w:t>经济效益指标方面：使我区棉花加工企业管理适应国家深化棉花目标价格改革工作需要，确保棉花加工企业基本技术条件符合要求，保障企业质量保证能力水平，对棉花加工企业棉花检验人员及信息系统管理人员进行质量意识、质量管理方法及技术技能培训。同时，为加强纺织服装质量监测，帮助我区纤检机构加强纺织产品检验检测机构能力建设，提高我区纺织品检测机构、服装生产企业质量管理及检验检测水平，解决在检测中的难点问题，提升了专业纤检机构及纺织服装企业质量管理及检测人员专业能力。</w:t>
      </w:r>
    </w:p>
    <w:p>
      <w:pPr>
        <w:spacing w:line="580" w:lineRule="exact"/>
        <w:ind w:firstLine="640" w:firstLineChars="200"/>
        <w:rPr>
          <w:rFonts w:ascii="仿宋_GB2312"/>
          <w:sz w:val="32"/>
          <w:szCs w:val="32"/>
        </w:rPr>
      </w:pPr>
      <w:r>
        <w:rPr>
          <w:rFonts w:hint="eastAsia" w:ascii="仿宋_GB2312"/>
          <w:sz w:val="32"/>
          <w:szCs w:val="32"/>
        </w:rPr>
        <w:t>社会效益方面：通过本项目的实施，对可能危及人体健康和人身财产安全的纺织类产品及用户、消费者和有关部门反映质量问题较多的产品实施突击性地随机抽查，对企业形成了一种威慑力和外部压力，较好地贯彻了政府的宏观质量政策、国家有关质量的法律法规和标准的实施，同时，将国家监督抽查结果公之于众，使广大用户和消费者都来监督产品质量，选购质量好的产品，使质量好的产品增强了市场竞争能力。</w:t>
      </w:r>
    </w:p>
    <w:p>
      <w:pPr>
        <w:spacing w:line="580" w:lineRule="exact"/>
        <w:ind w:firstLine="640" w:firstLineChars="200"/>
        <w:rPr>
          <w:rFonts w:ascii="仿宋_GB2312"/>
          <w:sz w:val="32"/>
          <w:szCs w:val="32"/>
        </w:rPr>
      </w:pPr>
      <w:r>
        <w:rPr>
          <w:rFonts w:hint="eastAsia" w:ascii="仿宋_GB2312"/>
          <w:sz w:val="32"/>
          <w:szCs w:val="32"/>
        </w:rPr>
        <w:t>可持续影响指标方面：促进了公平、有序的市场竞争环境的形成，规范了市场行为，督促企业在市场竞争中重视质量，促进了优胜劣汰的市场竞争机制的建立和完善。</w:t>
      </w:r>
    </w:p>
    <w:p>
      <w:pPr>
        <w:spacing w:line="580" w:lineRule="exact"/>
        <w:ind w:firstLine="640" w:firstLineChars="200"/>
        <w:rPr>
          <w:rFonts w:ascii="仿宋_GB2312"/>
          <w:sz w:val="32"/>
          <w:szCs w:val="32"/>
        </w:rPr>
      </w:pPr>
      <w:r>
        <w:rPr>
          <w:rFonts w:hint="eastAsia" w:ascii="仿宋_GB2312"/>
          <w:sz w:val="32"/>
          <w:szCs w:val="32"/>
        </w:rPr>
        <w:t>满意度指标方面：客户满意度达到目标值&gt;=90%</w:t>
      </w:r>
    </w:p>
    <w:p>
      <w:pPr>
        <w:spacing w:line="58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580" w:lineRule="exact"/>
        <w:ind w:firstLine="643" w:firstLineChars="200"/>
        <w:outlineLvl w:val="0"/>
        <w:rPr>
          <w:rFonts w:ascii="仿宋_GB2312"/>
          <w:b/>
          <w:bCs/>
          <w:sz w:val="32"/>
          <w:szCs w:val="32"/>
        </w:rPr>
      </w:pPr>
      <w:r>
        <w:rPr>
          <w:rFonts w:hint="eastAsia" w:ascii="仿宋_GB2312"/>
          <w:b/>
          <w:bCs/>
          <w:sz w:val="32"/>
          <w:szCs w:val="32"/>
        </w:rPr>
        <w:t>（一）主要经验及做法</w:t>
      </w:r>
    </w:p>
    <w:p>
      <w:pPr>
        <w:spacing w:line="600" w:lineRule="exact"/>
        <w:ind w:firstLine="640" w:firstLineChars="200"/>
        <w:rPr>
          <w:sz w:val="32"/>
          <w:szCs w:val="32"/>
        </w:rPr>
      </w:pPr>
      <w:r>
        <w:rPr>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line="600" w:lineRule="exact"/>
        <w:ind w:firstLine="640" w:firstLineChars="200"/>
        <w:rPr>
          <w:rFonts w:ascii="Times New Roman" w:hAnsi="Times New Roman" w:cs="Times New Roman"/>
          <w:b w:val="0"/>
          <w:bCs w:val="0"/>
          <w:sz w:val="32"/>
        </w:rPr>
      </w:pPr>
      <w:r>
        <w:rPr>
          <w:rFonts w:ascii="Times New Roman" w:hAnsi="Times New Roman" w:cs="Times New Roman"/>
          <w:b w:val="0"/>
          <w:bCs w:val="0"/>
          <w:sz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580" w:lineRule="exact"/>
        <w:ind w:left="600" w:leftChars="200"/>
        <w:outlineLvl w:val="0"/>
        <w:rPr>
          <w:rFonts w:ascii="仿宋_GB2312"/>
          <w:b/>
          <w:bCs/>
          <w:sz w:val="32"/>
          <w:szCs w:val="32"/>
        </w:rPr>
      </w:pPr>
      <w:r>
        <w:rPr>
          <w:rFonts w:hint="eastAsia" w:ascii="仿宋_GB2312"/>
          <w:b/>
          <w:bCs/>
          <w:sz w:val="32"/>
          <w:szCs w:val="32"/>
        </w:rPr>
        <w:t>（二）存在的问题及原因分析</w:t>
      </w:r>
    </w:p>
    <w:p>
      <w:pPr>
        <w:spacing w:line="580" w:lineRule="exact"/>
        <w:ind w:firstLine="640" w:firstLineChars="200"/>
        <w:outlineLvl w:val="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1、存在问题</w:t>
      </w:r>
    </w:p>
    <w:p>
      <w:pPr>
        <w:spacing w:line="580" w:lineRule="exact"/>
        <w:ind w:firstLine="640" w:firstLineChars="200"/>
        <w:outlineLvl w:val="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受各地防疫政策影响，在开展产品质量监督抽查时，存在部门抽样工作相对滞后。</w:t>
      </w:r>
    </w:p>
    <w:p>
      <w:pPr>
        <w:spacing w:line="580" w:lineRule="exact"/>
        <w:ind w:firstLine="640" w:firstLineChars="200"/>
        <w:outlineLvl w:val="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2、原因分析：受各地防疫政策影响，在开展产品质量监督抽查时，无法进入个别地州，导致抽样工作存在相对滞后的现象。</w:t>
      </w:r>
    </w:p>
    <w:p>
      <w:pPr>
        <w:spacing w:line="580" w:lineRule="exact"/>
        <w:ind w:firstLine="600" w:firstLineChars="200"/>
        <w:rPr>
          <w:rFonts w:ascii="黑体" w:hAnsi="黑体" w:eastAsia="黑体"/>
        </w:rPr>
      </w:pPr>
      <w:r>
        <w:rPr>
          <w:rFonts w:hint="eastAsia" w:ascii="黑体" w:hAnsi="黑体" w:eastAsia="黑体"/>
        </w:rPr>
        <w:t>六、有关建议</w:t>
      </w:r>
    </w:p>
    <w:p>
      <w:pPr>
        <w:spacing w:line="580" w:lineRule="exact"/>
        <w:ind w:firstLine="643" w:firstLineChars="200"/>
        <w:outlineLvl w:val="0"/>
        <w:rPr>
          <w:rFonts w:ascii="仿宋" w:hAnsi="仿宋" w:eastAsia="仿宋" w:cs="仿宋"/>
          <w:sz w:val="32"/>
          <w:szCs w:val="32"/>
        </w:rPr>
      </w:pPr>
      <w:r>
        <w:rPr>
          <w:rFonts w:hint="eastAsia" w:ascii="仿宋" w:hAnsi="仿宋" w:eastAsia="仿宋" w:cs="仿宋"/>
          <w:b/>
          <w:bCs/>
          <w:sz w:val="32"/>
          <w:szCs w:val="32"/>
        </w:rPr>
        <w:t>（</w:t>
      </w:r>
      <w:r>
        <w:rPr>
          <w:rFonts w:hint="eastAsia" w:ascii="仿宋" w:hAnsi="仿宋" w:eastAsia="仿宋" w:cs="仿宋"/>
          <w:bCs/>
          <w:sz w:val="32"/>
          <w:szCs w:val="32"/>
        </w:rPr>
        <w:t>一）加大对纺织服装及制品实验室的投资经费力度。</w:t>
      </w:r>
      <w:r>
        <w:rPr>
          <w:rFonts w:hint="eastAsia" w:ascii="仿宋_GB2312"/>
          <w:sz w:val="32"/>
          <w:szCs w:val="32"/>
        </w:rPr>
        <w:t>做好前期实地调研工作以及对市场情况准确的把握，及时完善实验室设备、人员、维修维护、后勤等工作，为开展检验项目前提供硬件和数据支持，顺利完成每年的目标任务。</w:t>
      </w:r>
    </w:p>
    <w:p>
      <w:pPr>
        <w:spacing w:line="580" w:lineRule="exact"/>
        <w:ind w:left="618" w:leftChars="206"/>
        <w:outlineLvl w:val="0"/>
        <w:rPr>
          <w:rFonts w:ascii="仿宋" w:hAnsi="仿宋" w:eastAsia="仿宋" w:cs="仿宋"/>
          <w:bCs/>
          <w:sz w:val="32"/>
          <w:szCs w:val="32"/>
        </w:rPr>
      </w:pPr>
      <w:r>
        <w:rPr>
          <w:rFonts w:hint="eastAsia" w:ascii="仿宋" w:hAnsi="仿宋" w:eastAsia="仿宋" w:cs="仿宋"/>
          <w:bCs/>
          <w:sz w:val="32"/>
          <w:szCs w:val="32"/>
        </w:rPr>
        <w:t>（二）加大对纺织服装及制品实验室、业务发展部临聘人员</w:t>
      </w:r>
    </w:p>
    <w:p>
      <w:pPr>
        <w:spacing w:line="580" w:lineRule="exact"/>
        <w:outlineLvl w:val="0"/>
        <w:rPr>
          <w:rFonts w:ascii="仿宋" w:hAnsi="仿宋" w:eastAsia="仿宋" w:cs="仿宋"/>
          <w:bCs/>
          <w:sz w:val="32"/>
          <w:szCs w:val="32"/>
        </w:rPr>
      </w:pPr>
      <w:r>
        <w:rPr>
          <w:rFonts w:hint="eastAsia" w:ascii="仿宋" w:hAnsi="仿宋" w:eastAsia="仿宋" w:cs="仿宋"/>
          <w:bCs/>
          <w:sz w:val="32"/>
          <w:szCs w:val="32"/>
        </w:rPr>
        <w:t>的岗前培训的经费投入。</w:t>
      </w:r>
      <w:r>
        <w:rPr>
          <w:rFonts w:hint="eastAsia" w:ascii="仿宋_GB2312"/>
          <w:sz w:val="32"/>
          <w:szCs w:val="32"/>
        </w:rPr>
        <w:t>在年初经费支付计划中加大对临聘人员的岗前培训的经费的投入，由中心培训咨询部牵头制定纺织服装及制品实验室、</w:t>
      </w:r>
      <w:r>
        <w:rPr>
          <w:rFonts w:hint="eastAsia" w:ascii="仿宋" w:hAnsi="仿宋" w:eastAsia="仿宋" w:cs="仿宋"/>
          <w:bCs/>
          <w:sz w:val="32"/>
          <w:szCs w:val="32"/>
        </w:rPr>
        <w:t>业</w:t>
      </w:r>
      <w:r>
        <w:rPr>
          <w:rFonts w:hint="eastAsia" w:ascii="仿宋_GB2312"/>
          <w:sz w:val="32"/>
          <w:szCs w:val="32"/>
        </w:rPr>
        <w:t>务发展部临聘人员岗前培训计划，并负责组织实施，尤其是要加大思想教育培训，让其意识到抽检工作的重要性、严肃性和公平性，调动其工作的积极性、使命感和责任感，为考核合格人员发放上岗证并持证上岗。</w:t>
      </w:r>
    </w:p>
    <w:p>
      <w:pPr>
        <w:spacing w:line="580" w:lineRule="exact"/>
        <w:ind w:firstLine="640" w:firstLineChars="200"/>
        <w:outlineLvl w:val="0"/>
        <w:rPr>
          <w:rFonts w:ascii="仿宋_GB2312"/>
          <w:sz w:val="32"/>
          <w:szCs w:val="32"/>
        </w:rPr>
      </w:pPr>
      <w:r>
        <w:rPr>
          <w:rFonts w:hint="eastAsia" w:ascii="仿宋_GB2312"/>
          <w:sz w:val="32"/>
          <w:szCs w:val="32"/>
        </w:rPr>
        <w:t>（三）结合实际情况，加快口罩等产品的扩项认证等工作，提升中心的检验检测能力。为我中心能够更多承接相关产品检验检测和产品质量监督抽查工作奠定良好的基础。</w:t>
      </w:r>
    </w:p>
    <w:p>
      <w:pPr>
        <w:pStyle w:val="9"/>
        <w:shd w:val="clear" w:color="auto" w:fill="FFFFFF"/>
        <w:spacing w:before="151" w:beforeAutospacing="0" w:after="432" w:afterAutospacing="0" w:line="560" w:lineRule="exact"/>
        <w:ind w:firstLine="320" w:firstLineChars="100"/>
        <w:contextualSpacing/>
        <w:rPr>
          <w:rFonts w:ascii="仿宋" w:hAnsi="仿宋" w:eastAsia="仿宋" w:cs="仿宋"/>
          <w:b/>
          <w:bCs/>
          <w:sz w:val="32"/>
          <w:szCs w:val="32"/>
        </w:rPr>
      </w:pPr>
      <w:r>
        <w:rPr>
          <w:rFonts w:hint="eastAsia" w:ascii="仿宋" w:hAnsi="仿宋" w:eastAsia="仿宋" w:cs="仿宋"/>
          <w:sz w:val="32"/>
          <w:szCs w:val="32"/>
        </w:rPr>
        <w:t>（四）进一步提升人员服务意识加强业务水平、学习能力。</w:t>
      </w:r>
    </w:p>
    <w:p>
      <w:pPr>
        <w:pStyle w:val="9"/>
        <w:shd w:val="clear" w:color="auto" w:fill="FFFFFF"/>
        <w:spacing w:line="560" w:lineRule="exact"/>
        <w:ind w:firstLine="160" w:firstLineChars="50"/>
        <w:contextualSpacing/>
        <w:rPr>
          <w:rFonts w:ascii="仿宋" w:hAnsi="仿宋" w:eastAsia="仿宋" w:cs="仿宋"/>
          <w:sz w:val="32"/>
          <w:szCs w:val="32"/>
        </w:rPr>
      </w:pPr>
      <w:r>
        <w:rPr>
          <w:rFonts w:hint="eastAsia" w:ascii="仿宋" w:hAnsi="仿宋" w:eastAsia="仿宋" w:cs="仿宋"/>
          <w:sz w:val="32"/>
          <w:szCs w:val="32"/>
        </w:rPr>
        <w:t>市场挖掘不够充分，对企业、基层单位等服务对象的培训需求的了解还不够深入和全面，需要进一步加强调研，研究、分析、掌握基层单位和企业的培训需求，做到培训工作更加有的放矢。</w:t>
      </w:r>
    </w:p>
    <w:p>
      <w:pPr>
        <w:spacing w:line="580" w:lineRule="exact"/>
        <w:ind w:firstLine="600" w:firstLineChars="200"/>
        <w:rPr>
          <w:rFonts w:ascii="黑体" w:hAnsi="黑体" w:eastAsia="黑体"/>
        </w:rPr>
      </w:pPr>
      <w:r>
        <w:rPr>
          <w:rFonts w:hint="eastAsia" w:ascii="黑体" w:hAnsi="黑体" w:eastAsia="黑体"/>
        </w:rPr>
        <w:t>七、其他需要说明的问题</w:t>
      </w:r>
    </w:p>
    <w:p>
      <w:pPr>
        <w:spacing w:line="580" w:lineRule="exact"/>
      </w:pPr>
      <w:r>
        <w:rPr>
          <w:rFonts w:hint="eastAsia" w:ascii="仿宋_GB2312"/>
        </w:rPr>
        <w:t>无</w:t>
      </w:r>
    </w:p>
    <w:p/>
    <w:p/>
    <w:p/>
    <w:p/>
    <w:p/>
    <w:p/>
    <w:p/>
    <w:p/>
    <w:p>
      <w:pPr>
        <w:sectPr>
          <w:footerReference r:id="rId3" w:type="default"/>
          <w:pgSz w:w="11906" w:h="16838"/>
          <w:pgMar w:top="1928" w:right="1531" w:bottom="1701" w:left="1531" w:header="737" w:footer="851" w:gutter="0"/>
          <w:pgNumType w:start="1"/>
          <w:cols w:space="720" w:num="1"/>
          <w:docGrid w:type="lines" w:linePitch="408" w:charSpace="0"/>
        </w:sectPr>
      </w:pPr>
    </w:p>
    <w:p>
      <w:pPr>
        <w:jc w:val="center"/>
        <w:rPr>
          <w:rFonts w:ascii="宋体" w:hAnsi="宋体" w:eastAsia="宋体"/>
          <w:b/>
          <w:bCs/>
          <w:sz w:val="36"/>
          <w:szCs w:val="32"/>
        </w:rPr>
      </w:pPr>
      <w:r>
        <w:rPr>
          <w:rFonts w:hint="eastAsia" w:ascii="宋体" w:hAnsi="宋体" w:eastAsia="宋体"/>
          <w:b/>
          <w:bCs/>
          <w:sz w:val="36"/>
          <w:szCs w:val="32"/>
        </w:rPr>
        <w:t>项目支出绩效评价指标体系框架（参考）</w:t>
      </w:r>
    </w:p>
    <w:p>
      <w:pPr>
        <w:pStyle w:val="3"/>
        <w:spacing w:before="0" w:after="0" w:line="240" w:lineRule="auto"/>
        <w:jc w:val="center"/>
        <w:rPr>
          <w:bCs w:val="0"/>
          <w:color w:val="000000"/>
        </w:rPr>
      </w:pPr>
    </w:p>
    <w:tbl>
      <w:tblPr>
        <w:tblStyle w:val="11"/>
        <w:tblW w:w="1321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25"/>
        <w:gridCol w:w="1010"/>
        <w:gridCol w:w="1188"/>
        <w:gridCol w:w="2351"/>
        <w:gridCol w:w="5915"/>
        <w:gridCol w:w="1134"/>
        <w:gridCol w:w="8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6" w:hRule="atLeast"/>
          <w:tblHeader/>
          <w:jc w:val="center"/>
        </w:trPr>
        <w:tc>
          <w:tcPr>
            <w:tcW w:w="725" w:type="dxa"/>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010" w:type="dxa"/>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188" w:type="dxa"/>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351" w:type="dxa"/>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5915" w:type="dxa"/>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1134" w:type="dxa"/>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权重</w:t>
            </w:r>
          </w:p>
        </w:tc>
        <w:tc>
          <w:tcPr>
            <w:tcW w:w="891" w:type="dxa"/>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00" w:hRule="atLeast"/>
          <w:jc w:val="center"/>
        </w:trPr>
        <w:tc>
          <w:tcPr>
            <w:tcW w:w="725"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10"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351"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5915" w:type="dxa"/>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①项目立项是否符合国家法律法规、国民经济发展规划和相关政策；</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②项目立项是否符合行业发展规划和政策要求；</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③项目立项是否与部门职责范围相符，属于部门履职所需；</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④项目是否属于公共财政支持范围，是否符合中央、地方事权支出责任划分原则；</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1134"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891" w:type="dxa"/>
            <w:shd w:val="clear" w:color="auto"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26" w:hRule="atLeast"/>
          <w:jc w:val="center"/>
        </w:trPr>
        <w:tc>
          <w:tcPr>
            <w:tcW w:w="725" w:type="dxa"/>
            <w:vMerge w:val="continue"/>
            <w:shd w:val="clear" w:color="auto" w:fill="FFFFFF"/>
            <w:vAlign w:val="center"/>
          </w:tcPr>
          <w:p>
            <w:pPr>
              <w:spacing w:line="0" w:lineRule="atLeast"/>
              <w:jc w:val="center"/>
              <w:rPr>
                <w:rFonts w:ascii="宋体" w:hAnsi="宋体" w:eastAsia="宋体" w:cs="宋体"/>
                <w:color w:val="000000"/>
                <w:kern w:val="0"/>
                <w:sz w:val="22"/>
                <w:szCs w:val="22"/>
              </w:rPr>
            </w:pPr>
          </w:p>
        </w:tc>
        <w:tc>
          <w:tcPr>
            <w:tcW w:w="1010" w:type="dxa"/>
            <w:vMerge w:val="continue"/>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351"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5915" w:type="dxa"/>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①项目是否按照规定的程序申请设立；</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②审批文件、材料是否符合相关要求；</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1134"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891" w:type="dxa"/>
            <w:shd w:val="clear" w:color="auto"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04" w:hRule="atLeast"/>
          <w:jc w:val="center"/>
        </w:trPr>
        <w:tc>
          <w:tcPr>
            <w:tcW w:w="725" w:type="dxa"/>
            <w:vMerge w:val="continue"/>
            <w:shd w:val="clear" w:color="auto" w:fill="FFFFFF"/>
            <w:vAlign w:val="center"/>
          </w:tcPr>
          <w:p>
            <w:pPr>
              <w:spacing w:line="0" w:lineRule="atLeast"/>
              <w:jc w:val="center"/>
              <w:rPr>
                <w:rFonts w:ascii="宋体" w:hAnsi="宋体" w:eastAsia="宋体" w:cs="宋体"/>
                <w:color w:val="000000"/>
                <w:kern w:val="0"/>
                <w:sz w:val="22"/>
                <w:szCs w:val="22"/>
              </w:rPr>
            </w:pPr>
          </w:p>
        </w:tc>
        <w:tc>
          <w:tcPr>
            <w:tcW w:w="1010"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5915" w:type="dxa"/>
            <w:shd w:val="clear" w:color="000000"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（如未设定预算绩效目标，也可考核其他工作任务目标）</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①项目是否有绩效目标；</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②项目绩效目标与实际工作内容是否具有相关性；</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52" w:hRule="atLeast"/>
          <w:jc w:val="center"/>
        </w:trPr>
        <w:tc>
          <w:tcPr>
            <w:tcW w:w="725"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1010"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①是否将项目绩效目标细化分解为具体的绩效指标；</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②是否通过清晰、可衡量的指标值予以体现；</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③是否与项目目标任务数或计划数相对应。</w:t>
            </w:r>
          </w:p>
          <w:p>
            <w:pPr>
              <w:widowControl/>
              <w:spacing w:line="0" w:lineRule="atLeast"/>
              <w:rPr>
                <w:rFonts w:ascii="宋体" w:hAnsi="宋体" w:eastAsia="宋体" w:cs="宋体"/>
                <w:color w:val="000000"/>
                <w:kern w:val="0"/>
                <w:sz w:val="22"/>
                <w:szCs w:val="22"/>
              </w:rPr>
            </w:pP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27" w:hRule="atLeast"/>
          <w:jc w:val="center"/>
        </w:trPr>
        <w:tc>
          <w:tcPr>
            <w:tcW w:w="725" w:type="dxa"/>
            <w:vMerge w:val="continue"/>
            <w:shd w:val="clear" w:color="auto" w:fill="FFFFFF"/>
            <w:vAlign w:val="center"/>
          </w:tcPr>
          <w:p>
            <w:pPr>
              <w:spacing w:line="0" w:lineRule="atLeast"/>
              <w:jc w:val="center"/>
              <w:rPr>
                <w:rFonts w:ascii="宋体" w:hAnsi="宋体" w:eastAsia="宋体" w:cs="宋体"/>
                <w:color w:val="000000"/>
                <w:kern w:val="0"/>
                <w:sz w:val="22"/>
                <w:szCs w:val="22"/>
              </w:rPr>
            </w:pPr>
          </w:p>
        </w:tc>
        <w:tc>
          <w:tcPr>
            <w:tcW w:w="1010"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351"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5915"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①预算编制是否经过科学论证；</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②预算内容与项目内容是否匹配；</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③预算额度测算依据是否充分，是否按照标准编制；</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1134"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1" w:type="dxa"/>
            <w:shd w:val="clear" w:color="auto"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92" w:hRule="atLeast"/>
          <w:jc w:val="center"/>
        </w:trPr>
        <w:tc>
          <w:tcPr>
            <w:tcW w:w="725" w:type="dxa"/>
            <w:vMerge w:val="continue"/>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010" w:type="dxa"/>
            <w:vMerge w:val="continue"/>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351"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5915"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①预算资金分配依据是否充分；</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1134"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1" w:type="dxa"/>
            <w:shd w:val="clear" w:color="auto"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4" w:hRule="atLeast"/>
          <w:jc w:val="center"/>
        </w:trPr>
        <w:tc>
          <w:tcPr>
            <w:tcW w:w="725" w:type="dxa"/>
            <w:vMerge w:val="restart"/>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1010"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9" w:hRule="atLeast"/>
          <w:jc w:val="center"/>
        </w:trPr>
        <w:tc>
          <w:tcPr>
            <w:tcW w:w="725" w:type="dxa"/>
            <w:vMerge w:val="continue"/>
            <w:shd w:val="clear" w:color="auto" w:fill="FFFFFF"/>
            <w:vAlign w:val="center"/>
          </w:tcPr>
          <w:p>
            <w:pPr>
              <w:spacing w:line="0" w:lineRule="atLeast"/>
              <w:jc w:val="center"/>
              <w:rPr>
                <w:rFonts w:ascii="宋体" w:hAnsi="宋体" w:eastAsia="宋体" w:cs="宋体"/>
                <w:color w:val="000000"/>
                <w:kern w:val="0"/>
                <w:sz w:val="22"/>
                <w:szCs w:val="22"/>
              </w:rPr>
            </w:pPr>
          </w:p>
        </w:tc>
        <w:tc>
          <w:tcPr>
            <w:tcW w:w="1010" w:type="dxa"/>
            <w:vMerge w:val="continue"/>
            <w:shd w:val="clear" w:color="auto" w:fill="FFFFFF"/>
            <w:vAlign w:val="center"/>
          </w:tcPr>
          <w:p>
            <w:pPr>
              <w:spacing w:line="0" w:lineRule="atLeast"/>
              <w:jc w:val="center"/>
              <w:rPr>
                <w:rFonts w:ascii="宋体" w:hAnsi="宋体" w:eastAsia="宋体" w:cs="宋体"/>
                <w:color w:val="000000"/>
                <w:kern w:val="0"/>
                <w:sz w:val="22"/>
                <w:szCs w:val="22"/>
              </w:rPr>
            </w:pP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351"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5915"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1134"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1" w:type="dxa"/>
            <w:shd w:val="clear" w:color="auto"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59" w:hRule="atLeast"/>
          <w:jc w:val="center"/>
        </w:trPr>
        <w:tc>
          <w:tcPr>
            <w:tcW w:w="725"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1010"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①是否符合国家财经法规和财务管理制度以及有关专项资金管理办法的规定；</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②资金的拨付是否有完整的审批程序和手续；</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③是否符合项目预算批复或合同规定的用途；</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3" w:hRule="atLeast"/>
          <w:jc w:val="center"/>
        </w:trPr>
        <w:tc>
          <w:tcPr>
            <w:tcW w:w="725" w:type="dxa"/>
            <w:vMerge w:val="continue"/>
            <w:shd w:val="clear" w:color="auto" w:fill="FFFFFF"/>
            <w:vAlign w:val="center"/>
          </w:tcPr>
          <w:p>
            <w:pPr>
              <w:spacing w:line="0" w:lineRule="atLeast"/>
              <w:jc w:val="center"/>
              <w:rPr>
                <w:rFonts w:ascii="宋体" w:hAnsi="宋体" w:eastAsia="宋体" w:cs="宋体"/>
                <w:color w:val="000000"/>
                <w:kern w:val="0"/>
                <w:sz w:val="22"/>
                <w:szCs w:val="22"/>
              </w:rPr>
            </w:pPr>
          </w:p>
        </w:tc>
        <w:tc>
          <w:tcPr>
            <w:tcW w:w="1010"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①是否已制定或具有相应的财务和业务管理制度；</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55" w:hRule="atLeast"/>
          <w:jc w:val="center"/>
        </w:trPr>
        <w:tc>
          <w:tcPr>
            <w:tcW w:w="725" w:type="dxa"/>
            <w:vMerge w:val="continue"/>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010" w:type="dxa"/>
            <w:vMerge w:val="continue"/>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①是否遵守相关法律法规和相关管理规定；</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②项目调整及支出调整手续是否完备；</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③项目合同书、验收报告、技术鉴定等资料是否齐全并及时归档；</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02" w:hRule="atLeast"/>
          <w:jc w:val="center"/>
        </w:trPr>
        <w:tc>
          <w:tcPr>
            <w:tcW w:w="725"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1010"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4" w:hRule="atLeast"/>
          <w:jc w:val="center"/>
        </w:trPr>
        <w:tc>
          <w:tcPr>
            <w:tcW w:w="725"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1010"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94" w:hRule="atLeast"/>
          <w:jc w:val="center"/>
        </w:trPr>
        <w:tc>
          <w:tcPr>
            <w:tcW w:w="725" w:type="dxa"/>
            <w:vMerge w:val="continue"/>
            <w:shd w:val="clear" w:color="auto" w:fill="FFFFFF"/>
            <w:vAlign w:val="center"/>
          </w:tcPr>
          <w:p>
            <w:pPr>
              <w:spacing w:line="0" w:lineRule="atLeast"/>
              <w:jc w:val="center"/>
              <w:rPr>
                <w:rFonts w:ascii="宋体" w:hAnsi="宋体" w:eastAsia="宋体" w:cs="宋体"/>
                <w:color w:val="000000"/>
                <w:kern w:val="0"/>
                <w:sz w:val="22"/>
                <w:szCs w:val="22"/>
              </w:rPr>
            </w:pPr>
          </w:p>
        </w:tc>
        <w:tc>
          <w:tcPr>
            <w:tcW w:w="1010" w:type="dxa"/>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59" w:hRule="atLeast"/>
          <w:jc w:val="center"/>
        </w:trPr>
        <w:tc>
          <w:tcPr>
            <w:tcW w:w="725" w:type="dxa"/>
            <w:vMerge w:val="continue"/>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010"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成本节约率=[（计划成本-实际成本）/计划成本]×100%。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实际成本：项目实施单位如期、保质、保量完成既定工作目标实际所耗费的支出。</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1" w:hRule="atLeast"/>
          <w:jc w:val="center"/>
        </w:trPr>
        <w:tc>
          <w:tcPr>
            <w:tcW w:w="725"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　</w:t>
            </w:r>
          </w:p>
        </w:tc>
        <w:tc>
          <w:tcPr>
            <w:tcW w:w="1010" w:type="dxa"/>
            <w:vMerge w:val="restart"/>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　</w:t>
            </w: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351" w:type="dxa"/>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5915" w:type="dxa"/>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1134"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91" w:type="dxa"/>
            <w:shd w:val="clear" w:color="auto" w:fill="FFFFFF"/>
            <w:vAlign w:val="center"/>
          </w:tcPr>
          <w:p>
            <w:pPr>
              <w:widowControl/>
              <w:spacing w:line="0" w:lineRule="atLeast"/>
              <w:jc w:val="center"/>
              <w:rPr>
                <w:rFonts w:ascii="宋体" w:hAnsi="宋体" w:eastAsia="宋体" w:cs="宋体"/>
                <w:color w:val="000000"/>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8" w:hRule="atLeast"/>
          <w:jc w:val="center"/>
        </w:trPr>
        <w:tc>
          <w:tcPr>
            <w:tcW w:w="725" w:type="dxa"/>
            <w:vMerge w:val="continue"/>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010" w:type="dxa"/>
            <w:vMerge w:val="continue"/>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188" w:type="dxa"/>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351"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5915" w:type="dxa"/>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1134" w:type="dxa"/>
            <w:shd w:val="clear" w:color="000000"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91" w:type="dxa"/>
            <w:shd w:val="clear" w:color="000000" w:fill="FFFFFF"/>
            <w:vAlign w:val="center"/>
          </w:tcPr>
          <w:p>
            <w:pPr>
              <w:widowControl/>
              <w:spacing w:line="0" w:lineRule="atLeast"/>
              <w:jc w:val="center"/>
              <w:rPr>
                <w:rFonts w:ascii="宋体" w:hAnsi="宋体" w:eastAsia="宋体" w:cs="宋体"/>
                <w:color w:val="000000"/>
                <w:kern w:val="0"/>
                <w:sz w:val="22"/>
                <w:szCs w:val="22"/>
              </w:rPr>
            </w:pPr>
          </w:p>
        </w:tc>
      </w:tr>
    </w:tbl>
    <w:p>
      <w:pPr>
        <w:widowControl/>
        <w:jc w:val="left"/>
        <w:sectPr>
          <w:pgSz w:w="16838" w:h="11906" w:orient="landscape"/>
          <w:pgMar w:top="1531" w:right="1701" w:bottom="1531" w:left="1928" w:header="737" w:footer="851" w:gutter="0"/>
          <w:cols w:space="720" w:num="1"/>
          <w:docGrid w:type="lines" w:linePitch="408" w:charSpace="0"/>
        </w:sectPr>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3" name="文本框 3"/>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vbGRr0QAAAAIBAAAPAAAAAAAAAAEAIAAAACIAAABkcnMvZG93bnJldi54bWxQSwECFAAUAAAA&#10;CACHTuJA4oSfyi4CAABSBAAADgAAAAAAAAABACAAAAAgAQAAZHJzL2Uyb0RvYy54bWxQSwUGAAAA&#10;AAYABgBZAQAAwA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38F0C646"/>
    <w:multiLevelType w:val="singleLevel"/>
    <w:tmpl w:val="38F0C646"/>
    <w:lvl w:ilvl="0" w:tentative="0">
      <w:start w:val="1"/>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5MWE2YmU0ZjNhZDk1MGFlYmZkMjU5MGNjNGIzZjUifQ=="/>
  </w:docVars>
  <w:rsids>
    <w:rsidRoot w:val="001C4678"/>
    <w:rsid w:val="00001134"/>
    <w:rsid w:val="00004BF5"/>
    <w:rsid w:val="00010508"/>
    <w:rsid w:val="000115BB"/>
    <w:rsid w:val="00020E87"/>
    <w:rsid w:val="0002270F"/>
    <w:rsid w:val="00044A4F"/>
    <w:rsid w:val="0004560C"/>
    <w:rsid w:val="00061D0D"/>
    <w:rsid w:val="00063DD4"/>
    <w:rsid w:val="0006782F"/>
    <w:rsid w:val="00072305"/>
    <w:rsid w:val="00081A55"/>
    <w:rsid w:val="00084E91"/>
    <w:rsid w:val="00087496"/>
    <w:rsid w:val="00090533"/>
    <w:rsid w:val="0009200C"/>
    <w:rsid w:val="000A2261"/>
    <w:rsid w:val="000A3A54"/>
    <w:rsid w:val="000B4241"/>
    <w:rsid w:val="000B5092"/>
    <w:rsid w:val="000C1AF9"/>
    <w:rsid w:val="000D312F"/>
    <w:rsid w:val="000E182D"/>
    <w:rsid w:val="000E25BD"/>
    <w:rsid w:val="000E2A72"/>
    <w:rsid w:val="000F5958"/>
    <w:rsid w:val="00102B5E"/>
    <w:rsid w:val="0010456E"/>
    <w:rsid w:val="00112035"/>
    <w:rsid w:val="00117D54"/>
    <w:rsid w:val="00120C63"/>
    <w:rsid w:val="001216C4"/>
    <w:rsid w:val="00121E1E"/>
    <w:rsid w:val="0012580B"/>
    <w:rsid w:val="00134320"/>
    <w:rsid w:val="0013623F"/>
    <w:rsid w:val="00140642"/>
    <w:rsid w:val="00176341"/>
    <w:rsid w:val="0018285D"/>
    <w:rsid w:val="00184E8E"/>
    <w:rsid w:val="00197E12"/>
    <w:rsid w:val="001A68B9"/>
    <w:rsid w:val="001B0131"/>
    <w:rsid w:val="001B4937"/>
    <w:rsid w:val="001C0D8C"/>
    <w:rsid w:val="001C4678"/>
    <w:rsid w:val="001C5ADA"/>
    <w:rsid w:val="001E07E8"/>
    <w:rsid w:val="001E0FC0"/>
    <w:rsid w:val="001E2E25"/>
    <w:rsid w:val="00203444"/>
    <w:rsid w:val="0020542F"/>
    <w:rsid w:val="002246E7"/>
    <w:rsid w:val="00230EF3"/>
    <w:rsid w:val="00233F67"/>
    <w:rsid w:val="00237A1D"/>
    <w:rsid w:val="002519CE"/>
    <w:rsid w:val="002656E9"/>
    <w:rsid w:val="00273A20"/>
    <w:rsid w:val="00277F23"/>
    <w:rsid w:val="0028387A"/>
    <w:rsid w:val="002A42AE"/>
    <w:rsid w:val="002B233F"/>
    <w:rsid w:val="002B6B9E"/>
    <w:rsid w:val="002C1805"/>
    <w:rsid w:val="002D3A52"/>
    <w:rsid w:val="002E1524"/>
    <w:rsid w:val="002F6B78"/>
    <w:rsid w:val="00300CAD"/>
    <w:rsid w:val="00305D76"/>
    <w:rsid w:val="0030631E"/>
    <w:rsid w:val="0031014B"/>
    <w:rsid w:val="00310279"/>
    <w:rsid w:val="003309A2"/>
    <w:rsid w:val="0033406B"/>
    <w:rsid w:val="003342B5"/>
    <w:rsid w:val="003400E9"/>
    <w:rsid w:val="00340E12"/>
    <w:rsid w:val="00341ABF"/>
    <w:rsid w:val="003445AD"/>
    <w:rsid w:val="00352C90"/>
    <w:rsid w:val="00354469"/>
    <w:rsid w:val="00355D6C"/>
    <w:rsid w:val="00356794"/>
    <w:rsid w:val="0037582F"/>
    <w:rsid w:val="0038185F"/>
    <w:rsid w:val="00385FFF"/>
    <w:rsid w:val="00395D52"/>
    <w:rsid w:val="003A1202"/>
    <w:rsid w:val="003A436B"/>
    <w:rsid w:val="003B2ED7"/>
    <w:rsid w:val="003C4CFD"/>
    <w:rsid w:val="003C63D0"/>
    <w:rsid w:val="003E03B7"/>
    <w:rsid w:val="003E22D8"/>
    <w:rsid w:val="003E6067"/>
    <w:rsid w:val="003E6B8B"/>
    <w:rsid w:val="003F16D2"/>
    <w:rsid w:val="003F622D"/>
    <w:rsid w:val="003F7683"/>
    <w:rsid w:val="00401141"/>
    <w:rsid w:val="00406048"/>
    <w:rsid w:val="004101C8"/>
    <w:rsid w:val="00417E12"/>
    <w:rsid w:val="00423BB0"/>
    <w:rsid w:val="00433209"/>
    <w:rsid w:val="00441F62"/>
    <w:rsid w:val="004428AE"/>
    <w:rsid w:val="00474437"/>
    <w:rsid w:val="004850E9"/>
    <w:rsid w:val="004A2B2B"/>
    <w:rsid w:val="004A31FE"/>
    <w:rsid w:val="004B06C7"/>
    <w:rsid w:val="004C0B08"/>
    <w:rsid w:val="004D07CD"/>
    <w:rsid w:val="004D79D2"/>
    <w:rsid w:val="004E0000"/>
    <w:rsid w:val="004E1F46"/>
    <w:rsid w:val="004E3236"/>
    <w:rsid w:val="004F3A38"/>
    <w:rsid w:val="005078BC"/>
    <w:rsid w:val="00511DCA"/>
    <w:rsid w:val="0052408C"/>
    <w:rsid w:val="005311DB"/>
    <w:rsid w:val="00533EAB"/>
    <w:rsid w:val="005360AC"/>
    <w:rsid w:val="00540003"/>
    <w:rsid w:val="00550882"/>
    <w:rsid w:val="00562BAC"/>
    <w:rsid w:val="00566D68"/>
    <w:rsid w:val="00571B4A"/>
    <w:rsid w:val="00582898"/>
    <w:rsid w:val="00584D96"/>
    <w:rsid w:val="005A3FDF"/>
    <w:rsid w:val="005B721A"/>
    <w:rsid w:val="005B7E39"/>
    <w:rsid w:val="005C258C"/>
    <w:rsid w:val="005C570E"/>
    <w:rsid w:val="005C75D2"/>
    <w:rsid w:val="005D019D"/>
    <w:rsid w:val="005D28B9"/>
    <w:rsid w:val="005E0C8C"/>
    <w:rsid w:val="005E54CD"/>
    <w:rsid w:val="005E5BCE"/>
    <w:rsid w:val="005E670D"/>
    <w:rsid w:val="005F1C9B"/>
    <w:rsid w:val="005F768C"/>
    <w:rsid w:val="00601745"/>
    <w:rsid w:val="00611D19"/>
    <w:rsid w:val="00612B37"/>
    <w:rsid w:val="00616092"/>
    <w:rsid w:val="006213BF"/>
    <w:rsid w:val="00622454"/>
    <w:rsid w:val="006307E9"/>
    <w:rsid w:val="00632B69"/>
    <w:rsid w:val="00635084"/>
    <w:rsid w:val="0063742F"/>
    <w:rsid w:val="006445F6"/>
    <w:rsid w:val="0065341C"/>
    <w:rsid w:val="006609C6"/>
    <w:rsid w:val="00661672"/>
    <w:rsid w:val="00662A8A"/>
    <w:rsid w:val="0066633A"/>
    <w:rsid w:val="00676EB8"/>
    <w:rsid w:val="00677EA2"/>
    <w:rsid w:val="00681394"/>
    <w:rsid w:val="00686157"/>
    <w:rsid w:val="00690F8F"/>
    <w:rsid w:val="0069675B"/>
    <w:rsid w:val="006A580F"/>
    <w:rsid w:val="006A6E45"/>
    <w:rsid w:val="006B6299"/>
    <w:rsid w:val="006B7418"/>
    <w:rsid w:val="006C5074"/>
    <w:rsid w:val="006D0196"/>
    <w:rsid w:val="006E38D1"/>
    <w:rsid w:val="006E5AC9"/>
    <w:rsid w:val="006F138D"/>
    <w:rsid w:val="00700B43"/>
    <w:rsid w:val="00705A46"/>
    <w:rsid w:val="00705D86"/>
    <w:rsid w:val="00711F62"/>
    <w:rsid w:val="0071410C"/>
    <w:rsid w:val="00717BCF"/>
    <w:rsid w:val="007213B8"/>
    <w:rsid w:val="00725029"/>
    <w:rsid w:val="00733BDD"/>
    <w:rsid w:val="00744DB6"/>
    <w:rsid w:val="00750678"/>
    <w:rsid w:val="00752F58"/>
    <w:rsid w:val="00774254"/>
    <w:rsid w:val="00791484"/>
    <w:rsid w:val="00794862"/>
    <w:rsid w:val="007A37D8"/>
    <w:rsid w:val="007A4EB0"/>
    <w:rsid w:val="007B3165"/>
    <w:rsid w:val="007B64D7"/>
    <w:rsid w:val="007B6A72"/>
    <w:rsid w:val="007B77ED"/>
    <w:rsid w:val="007C221D"/>
    <w:rsid w:val="007C6093"/>
    <w:rsid w:val="007C6839"/>
    <w:rsid w:val="007E11B8"/>
    <w:rsid w:val="007E2E16"/>
    <w:rsid w:val="007E4774"/>
    <w:rsid w:val="007E5C33"/>
    <w:rsid w:val="007F5278"/>
    <w:rsid w:val="008049B5"/>
    <w:rsid w:val="00810CB0"/>
    <w:rsid w:val="008169AB"/>
    <w:rsid w:val="00820123"/>
    <w:rsid w:val="00823F98"/>
    <w:rsid w:val="0082530B"/>
    <w:rsid w:val="00834F99"/>
    <w:rsid w:val="008365B1"/>
    <w:rsid w:val="008367D4"/>
    <w:rsid w:val="00837360"/>
    <w:rsid w:val="00842ED2"/>
    <w:rsid w:val="0084421E"/>
    <w:rsid w:val="00845F4A"/>
    <w:rsid w:val="0086052E"/>
    <w:rsid w:val="00861352"/>
    <w:rsid w:val="008651CB"/>
    <w:rsid w:val="00866E1C"/>
    <w:rsid w:val="008758A7"/>
    <w:rsid w:val="00881C51"/>
    <w:rsid w:val="00886B16"/>
    <w:rsid w:val="00892BA6"/>
    <w:rsid w:val="008968F3"/>
    <w:rsid w:val="008A2311"/>
    <w:rsid w:val="008A3079"/>
    <w:rsid w:val="008A3A52"/>
    <w:rsid w:val="008A4F16"/>
    <w:rsid w:val="008B260E"/>
    <w:rsid w:val="008B5971"/>
    <w:rsid w:val="008B7989"/>
    <w:rsid w:val="008C2C0F"/>
    <w:rsid w:val="008C2D6F"/>
    <w:rsid w:val="008D021C"/>
    <w:rsid w:val="008D38BA"/>
    <w:rsid w:val="008D4AD2"/>
    <w:rsid w:val="009157FD"/>
    <w:rsid w:val="0091769A"/>
    <w:rsid w:val="00921E56"/>
    <w:rsid w:val="00923D43"/>
    <w:rsid w:val="009319EA"/>
    <w:rsid w:val="00934768"/>
    <w:rsid w:val="00934A5C"/>
    <w:rsid w:val="0094060E"/>
    <w:rsid w:val="00942AD5"/>
    <w:rsid w:val="00950C03"/>
    <w:rsid w:val="00951EFE"/>
    <w:rsid w:val="009628DB"/>
    <w:rsid w:val="00966AD3"/>
    <w:rsid w:val="00967794"/>
    <w:rsid w:val="009836D1"/>
    <w:rsid w:val="009901E8"/>
    <w:rsid w:val="00994CD8"/>
    <w:rsid w:val="009950C2"/>
    <w:rsid w:val="009972BE"/>
    <w:rsid w:val="00997B69"/>
    <w:rsid w:val="009A0333"/>
    <w:rsid w:val="009B4EA2"/>
    <w:rsid w:val="009B6B9E"/>
    <w:rsid w:val="009B74D9"/>
    <w:rsid w:val="009C49A1"/>
    <w:rsid w:val="009D72C1"/>
    <w:rsid w:val="009E2149"/>
    <w:rsid w:val="009F213A"/>
    <w:rsid w:val="00A109C2"/>
    <w:rsid w:val="00A10DF5"/>
    <w:rsid w:val="00A126B9"/>
    <w:rsid w:val="00A207DA"/>
    <w:rsid w:val="00A22510"/>
    <w:rsid w:val="00A24668"/>
    <w:rsid w:val="00A35076"/>
    <w:rsid w:val="00A356A8"/>
    <w:rsid w:val="00A4027D"/>
    <w:rsid w:val="00A41422"/>
    <w:rsid w:val="00A41ACF"/>
    <w:rsid w:val="00A41F61"/>
    <w:rsid w:val="00A6282A"/>
    <w:rsid w:val="00A722E3"/>
    <w:rsid w:val="00A74CAD"/>
    <w:rsid w:val="00A76001"/>
    <w:rsid w:val="00A84DC7"/>
    <w:rsid w:val="00AA0270"/>
    <w:rsid w:val="00AA2C49"/>
    <w:rsid w:val="00AA424F"/>
    <w:rsid w:val="00AA434B"/>
    <w:rsid w:val="00AA60E4"/>
    <w:rsid w:val="00AC2F26"/>
    <w:rsid w:val="00AC3EFB"/>
    <w:rsid w:val="00AD3D1D"/>
    <w:rsid w:val="00AD7A56"/>
    <w:rsid w:val="00AE1700"/>
    <w:rsid w:val="00AE73E9"/>
    <w:rsid w:val="00AF28D7"/>
    <w:rsid w:val="00AF46A2"/>
    <w:rsid w:val="00AF7388"/>
    <w:rsid w:val="00B0208D"/>
    <w:rsid w:val="00B1078D"/>
    <w:rsid w:val="00B14D36"/>
    <w:rsid w:val="00B17C2A"/>
    <w:rsid w:val="00B20D3C"/>
    <w:rsid w:val="00B24E8F"/>
    <w:rsid w:val="00B32958"/>
    <w:rsid w:val="00B46C39"/>
    <w:rsid w:val="00B52A27"/>
    <w:rsid w:val="00B552D8"/>
    <w:rsid w:val="00B56DC8"/>
    <w:rsid w:val="00B645BF"/>
    <w:rsid w:val="00B76EE3"/>
    <w:rsid w:val="00B80D93"/>
    <w:rsid w:val="00B83272"/>
    <w:rsid w:val="00B837F6"/>
    <w:rsid w:val="00B90572"/>
    <w:rsid w:val="00B94A32"/>
    <w:rsid w:val="00B94DF1"/>
    <w:rsid w:val="00BA496B"/>
    <w:rsid w:val="00BA5FB0"/>
    <w:rsid w:val="00BB1D3A"/>
    <w:rsid w:val="00BC0C0C"/>
    <w:rsid w:val="00BD40BB"/>
    <w:rsid w:val="00BE12A0"/>
    <w:rsid w:val="00BE6C2F"/>
    <w:rsid w:val="00BE7D28"/>
    <w:rsid w:val="00BF10D6"/>
    <w:rsid w:val="00C0270D"/>
    <w:rsid w:val="00C050DA"/>
    <w:rsid w:val="00C074D1"/>
    <w:rsid w:val="00C07F28"/>
    <w:rsid w:val="00C14C6E"/>
    <w:rsid w:val="00C23672"/>
    <w:rsid w:val="00C41FE3"/>
    <w:rsid w:val="00C45E47"/>
    <w:rsid w:val="00C627B1"/>
    <w:rsid w:val="00C73020"/>
    <w:rsid w:val="00C7660B"/>
    <w:rsid w:val="00C956A0"/>
    <w:rsid w:val="00C96C00"/>
    <w:rsid w:val="00CA0B97"/>
    <w:rsid w:val="00CA4159"/>
    <w:rsid w:val="00CA5FC9"/>
    <w:rsid w:val="00CB18B2"/>
    <w:rsid w:val="00CB621E"/>
    <w:rsid w:val="00CC279B"/>
    <w:rsid w:val="00CC437E"/>
    <w:rsid w:val="00CE54F6"/>
    <w:rsid w:val="00CF2464"/>
    <w:rsid w:val="00D12130"/>
    <w:rsid w:val="00D12442"/>
    <w:rsid w:val="00D129FD"/>
    <w:rsid w:val="00D21ECC"/>
    <w:rsid w:val="00D25DDA"/>
    <w:rsid w:val="00D314FB"/>
    <w:rsid w:val="00D35CCF"/>
    <w:rsid w:val="00D4252D"/>
    <w:rsid w:val="00D4514D"/>
    <w:rsid w:val="00D46E3F"/>
    <w:rsid w:val="00D50A03"/>
    <w:rsid w:val="00D65FCB"/>
    <w:rsid w:val="00D8629A"/>
    <w:rsid w:val="00D92C96"/>
    <w:rsid w:val="00DB416B"/>
    <w:rsid w:val="00DC4114"/>
    <w:rsid w:val="00DD076A"/>
    <w:rsid w:val="00DD1F8D"/>
    <w:rsid w:val="00DD3AAB"/>
    <w:rsid w:val="00DD736F"/>
    <w:rsid w:val="00DF1AD9"/>
    <w:rsid w:val="00DF4709"/>
    <w:rsid w:val="00DF4740"/>
    <w:rsid w:val="00DF4D83"/>
    <w:rsid w:val="00DF5E6C"/>
    <w:rsid w:val="00E1080E"/>
    <w:rsid w:val="00E16F71"/>
    <w:rsid w:val="00E25B0D"/>
    <w:rsid w:val="00E264EE"/>
    <w:rsid w:val="00E345C2"/>
    <w:rsid w:val="00E42578"/>
    <w:rsid w:val="00E442EB"/>
    <w:rsid w:val="00E502CF"/>
    <w:rsid w:val="00E50DD6"/>
    <w:rsid w:val="00E51281"/>
    <w:rsid w:val="00E52035"/>
    <w:rsid w:val="00E5444A"/>
    <w:rsid w:val="00E550D6"/>
    <w:rsid w:val="00E56B34"/>
    <w:rsid w:val="00E6071E"/>
    <w:rsid w:val="00E62F25"/>
    <w:rsid w:val="00E64B8B"/>
    <w:rsid w:val="00E655BD"/>
    <w:rsid w:val="00E655C8"/>
    <w:rsid w:val="00E76352"/>
    <w:rsid w:val="00E86F13"/>
    <w:rsid w:val="00E93288"/>
    <w:rsid w:val="00EA381B"/>
    <w:rsid w:val="00EA71C7"/>
    <w:rsid w:val="00EC2545"/>
    <w:rsid w:val="00EC7DF8"/>
    <w:rsid w:val="00ED2D3B"/>
    <w:rsid w:val="00EE43A5"/>
    <w:rsid w:val="00EE610A"/>
    <w:rsid w:val="00EF0736"/>
    <w:rsid w:val="00EF45C2"/>
    <w:rsid w:val="00F0020F"/>
    <w:rsid w:val="00F16C31"/>
    <w:rsid w:val="00F21157"/>
    <w:rsid w:val="00F2115D"/>
    <w:rsid w:val="00F21814"/>
    <w:rsid w:val="00F547C9"/>
    <w:rsid w:val="00F636C3"/>
    <w:rsid w:val="00F67481"/>
    <w:rsid w:val="00F76B98"/>
    <w:rsid w:val="00F827D4"/>
    <w:rsid w:val="00F82B11"/>
    <w:rsid w:val="00F85C63"/>
    <w:rsid w:val="00F951E6"/>
    <w:rsid w:val="00F972BC"/>
    <w:rsid w:val="00FA1A30"/>
    <w:rsid w:val="00FA2ACC"/>
    <w:rsid w:val="00FA35AA"/>
    <w:rsid w:val="00FA6A07"/>
    <w:rsid w:val="00FB6D6F"/>
    <w:rsid w:val="00FC0FE6"/>
    <w:rsid w:val="00FC4987"/>
    <w:rsid w:val="00FC73BD"/>
    <w:rsid w:val="00FC7841"/>
    <w:rsid w:val="00FC7912"/>
    <w:rsid w:val="00FD31F2"/>
    <w:rsid w:val="00FE14FE"/>
    <w:rsid w:val="00FE179B"/>
    <w:rsid w:val="00FE7D4E"/>
    <w:rsid w:val="00FF7DFE"/>
    <w:rsid w:val="01655624"/>
    <w:rsid w:val="016D77B5"/>
    <w:rsid w:val="02415DCC"/>
    <w:rsid w:val="02744C20"/>
    <w:rsid w:val="02963A78"/>
    <w:rsid w:val="02E1511E"/>
    <w:rsid w:val="031C1D8C"/>
    <w:rsid w:val="031C2AF4"/>
    <w:rsid w:val="032E1EA4"/>
    <w:rsid w:val="03384051"/>
    <w:rsid w:val="038F06FD"/>
    <w:rsid w:val="04775C11"/>
    <w:rsid w:val="04867008"/>
    <w:rsid w:val="048E2E80"/>
    <w:rsid w:val="04923653"/>
    <w:rsid w:val="05265B25"/>
    <w:rsid w:val="05683131"/>
    <w:rsid w:val="058C5EE1"/>
    <w:rsid w:val="061913B0"/>
    <w:rsid w:val="06301F05"/>
    <w:rsid w:val="06564853"/>
    <w:rsid w:val="07BA03EB"/>
    <w:rsid w:val="07E732BA"/>
    <w:rsid w:val="07F37404"/>
    <w:rsid w:val="081F3FE1"/>
    <w:rsid w:val="08460A80"/>
    <w:rsid w:val="08516D30"/>
    <w:rsid w:val="09556C24"/>
    <w:rsid w:val="095A66E4"/>
    <w:rsid w:val="095B6A0C"/>
    <w:rsid w:val="09805890"/>
    <w:rsid w:val="09A159EC"/>
    <w:rsid w:val="09B75AD8"/>
    <w:rsid w:val="0A872AD7"/>
    <w:rsid w:val="0AC269B7"/>
    <w:rsid w:val="0AD225BF"/>
    <w:rsid w:val="0AFA1931"/>
    <w:rsid w:val="0B245194"/>
    <w:rsid w:val="0B575881"/>
    <w:rsid w:val="0B7425CE"/>
    <w:rsid w:val="0B9C4B5B"/>
    <w:rsid w:val="0BDD3B59"/>
    <w:rsid w:val="0BFC15ED"/>
    <w:rsid w:val="0C0558DF"/>
    <w:rsid w:val="0C2031F6"/>
    <w:rsid w:val="0C39196D"/>
    <w:rsid w:val="0C680B9F"/>
    <w:rsid w:val="0C7F4C22"/>
    <w:rsid w:val="0CD90A2A"/>
    <w:rsid w:val="0CE27538"/>
    <w:rsid w:val="0D940EA8"/>
    <w:rsid w:val="0E1E6608"/>
    <w:rsid w:val="0E2153D2"/>
    <w:rsid w:val="0E3A07E1"/>
    <w:rsid w:val="0E48134A"/>
    <w:rsid w:val="0E8846D8"/>
    <w:rsid w:val="0EB61381"/>
    <w:rsid w:val="0EB76327"/>
    <w:rsid w:val="0EB93606"/>
    <w:rsid w:val="0EDC6944"/>
    <w:rsid w:val="0F0A47EE"/>
    <w:rsid w:val="0F236053"/>
    <w:rsid w:val="0F390C80"/>
    <w:rsid w:val="0F631028"/>
    <w:rsid w:val="0F9B1CB1"/>
    <w:rsid w:val="0FC43DF6"/>
    <w:rsid w:val="0FFC04E8"/>
    <w:rsid w:val="10112759"/>
    <w:rsid w:val="10FF322B"/>
    <w:rsid w:val="11886614"/>
    <w:rsid w:val="11BD344F"/>
    <w:rsid w:val="123162E1"/>
    <w:rsid w:val="123D1E8B"/>
    <w:rsid w:val="12670C59"/>
    <w:rsid w:val="12E74C38"/>
    <w:rsid w:val="12F67DE2"/>
    <w:rsid w:val="134C56B8"/>
    <w:rsid w:val="136A10A6"/>
    <w:rsid w:val="13996194"/>
    <w:rsid w:val="13AC213D"/>
    <w:rsid w:val="13DD4768"/>
    <w:rsid w:val="14442B8C"/>
    <w:rsid w:val="14640C89"/>
    <w:rsid w:val="146D5982"/>
    <w:rsid w:val="14A97A8A"/>
    <w:rsid w:val="15154A88"/>
    <w:rsid w:val="152738F7"/>
    <w:rsid w:val="15410DF6"/>
    <w:rsid w:val="155A4275"/>
    <w:rsid w:val="158106AE"/>
    <w:rsid w:val="16514C0C"/>
    <w:rsid w:val="17240E58"/>
    <w:rsid w:val="17B87AD0"/>
    <w:rsid w:val="17BA1E0D"/>
    <w:rsid w:val="17D56E58"/>
    <w:rsid w:val="18414166"/>
    <w:rsid w:val="18614A47"/>
    <w:rsid w:val="18CF342F"/>
    <w:rsid w:val="18D63F2C"/>
    <w:rsid w:val="19F4595B"/>
    <w:rsid w:val="19FC23F1"/>
    <w:rsid w:val="1A0C6065"/>
    <w:rsid w:val="1A3361A6"/>
    <w:rsid w:val="1A463995"/>
    <w:rsid w:val="1AFC7826"/>
    <w:rsid w:val="1B433FF2"/>
    <w:rsid w:val="1B8858A6"/>
    <w:rsid w:val="1BD87B3D"/>
    <w:rsid w:val="1C335DF6"/>
    <w:rsid w:val="1C3C209A"/>
    <w:rsid w:val="1C6F4643"/>
    <w:rsid w:val="1C7462BE"/>
    <w:rsid w:val="1C9A46B8"/>
    <w:rsid w:val="1CC5461E"/>
    <w:rsid w:val="1D881A35"/>
    <w:rsid w:val="1D97014B"/>
    <w:rsid w:val="1E497BCE"/>
    <w:rsid w:val="1E9F210E"/>
    <w:rsid w:val="1EA734A5"/>
    <w:rsid w:val="1EAD1006"/>
    <w:rsid w:val="1ED60C4A"/>
    <w:rsid w:val="1EF96E8B"/>
    <w:rsid w:val="1F280332"/>
    <w:rsid w:val="1F375D80"/>
    <w:rsid w:val="1FBD19BD"/>
    <w:rsid w:val="1FE75837"/>
    <w:rsid w:val="1FFA44BD"/>
    <w:rsid w:val="201C4A53"/>
    <w:rsid w:val="203F7555"/>
    <w:rsid w:val="210257A2"/>
    <w:rsid w:val="210D7082"/>
    <w:rsid w:val="215349BD"/>
    <w:rsid w:val="217919BD"/>
    <w:rsid w:val="21C928D2"/>
    <w:rsid w:val="21D2401F"/>
    <w:rsid w:val="22103940"/>
    <w:rsid w:val="22BB63DB"/>
    <w:rsid w:val="22DB2D55"/>
    <w:rsid w:val="23536E7D"/>
    <w:rsid w:val="2488077B"/>
    <w:rsid w:val="24DB0C66"/>
    <w:rsid w:val="251A488E"/>
    <w:rsid w:val="25A777CC"/>
    <w:rsid w:val="25C309F4"/>
    <w:rsid w:val="267B580C"/>
    <w:rsid w:val="269C0DF5"/>
    <w:rsid w:val="26A427A6"/>
    <w:rsid w:val="26F60521"/>
    <w:rsid w:val="277B21C9"/>
    <w:rsid w:val="27B67EEB"/>
    <w:rsid w:val="27C71A3F"/>
    <w:rsid w:val="27DA16F6"/>
    <w:rsid w:val="27F17625"/>
    <w:rsid w:val="280E43BD"/>
    <w:rsid w:val="288660E4"/>
    <w:rsid w:val="2888521A"/>
    <w:rsid w:val="28D95F2B"/>
    <w:rsid w:val="29130057"/>
    <w:rsid w:val="29236EC7"/>
    <w:rsid w:val="294F683D"/>
    <w:rsid w:val="299E57E7"/>
    <w:rsid w:val="29EB6672"/>
    <w:rsid w:val="2A3A2A98"/>
    <w:rsid w:val="2AB27AC0"/>
    <w:rsid w:val="2AD80F56"/>
    <w:rsid w:val="2AFF2897"/>
    <w:rsid w:val="2B7E3D7B"/>
    <w:rsid w:val="2BD01D05"/>
    <w:rsid w:val="2C6263CA"/>
    <w:rsid w:val="2C833A1F"/>
    <w:rsid w:val="2D340797"/>
    <w:rsid w:val="2D6C662D"/>
    <w:rsid w:val="2D7377A5"/>
    <w:rsid w:val="2D843362"/>
    <w:rsid w:val="2DA4487D"/>
    <w:rsid w:val="2E463543"/>
    <w:rsid w:val="2E5645CF"/>
    <w:rsid w:val="2E9B4600"/>
    <w:rsid w:val="2EB078DF"/>
    <w:rsid w:val="2ECE2164"/>
    <w:rsid w:val="2F046149"/>
    <w:rsid w:val="2F4E51C1"/>
    <w:rsid w:val="2FF87F86"/>
    <w:rsid w:val="300E06D3"/>
    <w:rsid w:val="306F5D29"/>
    <w:rsid w:val="30903C6D"/>
    <w:rsid w:val="311257DF"/>
    <w:rsid w:val="31450CD5"/>
    <w:rsid w:val="315D2EEC"/>
    <w:rsid w:val="31902F11"/>
    <w:rsid w:val="31921947"/>
    <w:rsid w:val="31B922BE"/>
    <w:rsid w:val="31F46923"/>
    <w:rsid w:val="326D41BF"/>
    <w:rsid w:val="32903522"/>
    <w:rsid w:val="32F6723E"/>
    <w:rsid w:val="330557B7"/>
    <w:rsid w:val="330C603C"/>
    <w:rsid w:val="33417050"/>
    <w:rsid w:val="338858DA"/>
    <w:rsid w:val="33F024A2"/>
    <w:rsid w:val="340F6416"/>
    <w:rsid w:val="3501368F"/>
    <w:rsid w:val="355A36F3"/>
    <w:rsid w:val="35680B8E"/>
    <w:rsid w:val="35862505"/>
    <w:rsid w:val="35B83135"/>
    <w:rsid w:val="35FB4F7C"/>
    <w:rsid w:val="3614048E"/>
    <w:rsid w:val="36B865FE"/>
    <w:rsid w:val="37860B2D"/>
    <w:rsid w:val="37C94311"/>
    <w:rsid w:val="37EE4A34"/>
    <w:rsid w:val="37F82000"/>
    <w:rsid w:val="38010BCB"/>
    <w:rsid w:val="38047D42"/>
    <w:rsid w:val="381C0EE4"/>
    <w:rsid w:val="38583E21"/>
    <w:rsid w:val="386D1CFA"/>
    <w:rsid w:val="38B110FD"/>
    <w:rsid w:val="38D53153"/>
    <w:rsid w:val="38F77DCC"/>
    <w:rsid w:val="392E5529"/>
    <w:rsid w:val="39565F0B"/>
    <w:rsid w:val="39EB4ED4"/>
    <w:rsid w:val="3A2005E6"/>
    <w:rsid w:val="3A6E7825"/>
    <w:rsid w:val="3A8659DC"/>
    <w:rsid w:val="3AC258E4"/>
    <w:rsid w:val="3AC37082"/>
    <w:rsid w:val="3B04686E"/>
    <w:rsid w:val="3B067DB7"/>
    <w:rsid w:val="3B2B0906"/>
    <w:rsid w:val="3B3A56AE"/>
    <w:rsid w:val="3B6D532E"/>
    <w:rsid w:val="3B8E30C6"/>
    <w:rsid w:val="3BC15FCA"/>
    <w:rsid w:val="3C2C46FD"/>
    <w:rsid w:val="3C2C7920"/>
    <w:rsid w:val="3C7A6F58"/>
    <w:rsid w:val="3CAF1256"/>
    <w:rsid w:val="3CC449E4"/>
    <w:rsid w:val="3CF20F71"/>
    <w:rsid w:val="3D170DEA"/>
    <w:rsid w:val="3D1809AC"/>
    <w:rsid w:val="3D4817FA"/>
    <w:rsid w:val="3D6673C9"/>
    <w:rsid w:val="3DA41945"/>
    <w:rsid w:val="3DC35F20"/>
    <w:rsid w:val="3DFC4B02"/>
    <w:rsid w:val="3E325741"/>
    <w:rsid w:val="3E530DB1"/>
    <w:rsid w:val="3E6D24AF"/>
    <w:rsid w:val="3E867E85"/>
    <w:rsid w:val="3EA71164"/>
    <w:rsid w:val="3EB217E5"/>
    <w:rsid w:val="3ED5184F"/>
    <w:rsid w:val="3F0B0CDB"/>
    <w:rsid w:val="3FFA7AA5"/>
    <w:rsid w:val="404F30C2"/>
    <w:rsid w:val="406C449A"/>
    <w:rsid w:val="40D3786F"/>
    <w:rsid w:val="40E214F5"/>
    <w:rsid w:val="40EE7017"/>
    <w:rsid w:val="410748EF"/>
    <w:rsid w:val="41B352D3"/>
    <w:rsid w:val="41D04800"/>
    <w:rsid w:val="42295ACF"/>
    <w:rsid w:val="425756DC"/>
    <w:rsid w:val="428414AE"/>
    <w:rsid w:val="42B3639F"/>
    <w:rsid w:val="42D72473"/>
    <w:rsid w:val="42D87F9A"/>
    <w:rsid w:val="431803C9"/>
    <w:rsid w:val="43A66279"/>
    <w:rsid w:val="43D56571"/>
    <w:rsid w:val="43F107EB"/>
    <w:rsid w:val="44200040"/>
    <w:rsid w:val="44251459"/>
    <w:rsid w:val="44320365"/>
    <w:rsid w:val="44322813"/>
    <w:rsid w:val="44D959C8"/>
    <w:rsid w:val="44E24595"/>
    <w:rsid w:val="452B5C83"/>
    <w:rsid w:val="452D6A87"/>
    <w:rsid w:val="45573E14"/>
    <w:rsid w:val="455E26BA"/>
    <w:rsid w:val="45860938"/>
    <w:rsid w:val="45BE7A99"/>
    <w:rsid w:val="45EA1A20"/>
    <w:rsid w:val="46357333"/>
    <w:rsid w:val="465D7B55"/>
    <w:rsid w:val="46AE20EA"/>
    <w:rsid w:val="46ED3279"/>
    <w:rsid w:val="46EF5041"/>
    <w:rsid w:val="47B30266"/>
    <w:rsid w:val="482162EB"/>
    <w:rsid w:val="48626AEA"/>
    <w:rsid w:val="48722D3C"/>
    <w:rsid w:val="48D61851"/>
    <w:rsid w:val="493C3F0D"/>
    <w:rsid w:val="495C7FB6"/>
    <w:rsid w:val="49B723DB"/>
    <w:rsid w:val="49B77CC7"/>
    <w:rsid w:val="49E31300"/>
    <w:rsid w:val="4A18045C"/>
    <w:rsid w:val="4AE76BA6"/>
    <w:rsid w:val="4B247415"/>
    <w:rsid w:val="4BA43161"/>
    <w:rsid w:val="4BC737D0"/>
    <w:rsid w:val="4BE47AAC"/>
    <w:rsid w:val="4C62716E"/>
    <w:rsid w:val="4CE6657A"/>
    <w:rsid w:val="4CE82E29"/>
    <w:rsid w:val="4D19011A"/>
    <w:rsid w:val="4D36710F"/>
    <w:rsid w:val="4E03477C"/>
    <w:rsid w:val="4EB57497"/>
    <w:rsid w:val="4F3F7B87"/>
    <w:rsid w:val="4F885293"/>
    <w:rsid w:val="5000181D"/>
    <w:rsid w:val="50095BD0"/>
    <w:rsid w:val="501B2DC0"/>
    <w:rsid w:val="503E1EBB"/>
    <w:rsid w:val="50546E17"/>
    <w:rsid w:val="50662801"/>
    <w:rsid w:val="50C97E93"/>
    <w:rsid w:val="50CB31A8"/>
    <w:rsid w:val="51055550"/>
    <w:rsid w:val="51FE1DE1"/>
    <w:rsid w:val="52490528"/>
    <w:rsid w:val="52960BDB"/>
    <w:rsid w:val="533A549E"/>
    <w:rsid w:val="534F58B7"/>
    <w:rsid w:val="53523385"/>
    <w:rsid w:val="53610DA9"/>
    <w:rsid w:val="538C0841"/>
    <w:rsid w:val="53D668FA"/>
    <w:rsid w:val="540200F2"/>
    <w:rsid w:val="544B61AC"/>
    <w:rsid w:val="54715120"/>
    <w:rsid w:val="54A64599"/>
    <w:rsid w:val="54E34F1D"/>
    <w:rsid w:val="55924BBA"/>
    <w:rsid w:val="55F743E9"/>
    <w:rsid w:val="56BB7672"/>
    <w:rsid w:val="56F7014C"/>
    <w:rsid w:val="57563F79"/>
    <w:rsid w:val="575C6272"/>
    <w:rsid w:val="578337B5"/>
    <w:rsid w:val="57CE582A"/>
    <w:rsid w:val="58353F71"/>
    <w:rsid w:val="58BB6E77"/>
    <w:rsid w:val="58E75DB7"/>
    <w:rsid w:val="59327FD9"/>
    <w:rsid w:val="59BF3DBC"/>
    <w:rsid w:val="5A0F7604"/>
    <w:rsid w:val="5A5400EB"/>
    <w:rsid w:val="5A61560D"/>
    <w:rsid w:val="5AA70EA8"/>
    <w:rsid w:val="5AE30CA1"/>
    <w:rsid w:val="5B057BD3"/>
    <w:rsid w:val="5B2660D1"/>
    <w:rsid w:val="5B5623DD"/>
    <w:rsid w:val="5B906E1F"/>
    <w:rsid w:val="5BA64C75"/>
    <w:rsid w:val="5CC77663"/>
    <w:rsid w:val="5CE676D6"/>
    <w:rsid w:val="5D066545"/>
    <w:rsid w:val="5D375DC6"/>
    <w:rsid w:val="5DA146E8"/>
    <w:rsid w:val="5DB11F7F"/>
    <w:rsid w:val="5DB27094"/>
    <w:rsid w:val="5DC30AA2"/>
    <w:rsid w:val="5DD60104"/>
    <w:rsid w:val="5DEF2036"/>
    <w:rsid w:val="5F1A5EAE"/>
    <w:rsid w:val="5F557517"/>
    <w:rsid w:val="5F7B3763"/>
    <w:rsid w:val="5F7D2F4F"/>
    <w:rsid w:val="5FA576A0"/>
    <w:rsid w:val="60567A9E"/>
    <w:rsid w:val="60593AF3"/>
    <w:rsid w:val="609E5203"/>
    <w:rsid w:val="60CC42A3"/>
    <w:rsid w:val="60F7084E"/>
    <w:rsid w:val="61232B0E"/>
    <w:rsid w:val="615F5F73"/>
    <w:rsid w:val="6169038A"/>
    <w:rsid w:val="61935551"/>
    <w:rsid w:val="61D63EDD"/>
    <w:rsid w:val="622F1F72"/>
    <w:rsid w:val="627A7AF9"/>
    <w:rsid w:val="62EE646F"/>
    <w:rsid w:val="62FA343B"/>
    <w:rsid w:val="637E10B6"/>
    <w:rsid w:val="639A5125"/>
    <w:rsid w:val="63E01797"/>
    <w:rsid w:val="64540AEE"/>
    <w:rsid w:val="64652ABB"/>
    <w:rsid w:val="64936418"/>
    <w:rsid w:val="654D1496"/>
    <w:rsid w:val="65BC3AB0"/>
    <w:rsid w:val="65F84E1E"/>
    <w:rsid w:val="66F557C5"/>
    <w:rsid w:val="67820149"/>
    <w:rsid w:val="67A52318"/>
    <w:rsid w:val="67DA22D4"/>
    <w:rsid w:val="68412F13"/>
    <w:rsid w:val="68445B9B"/>
    <w:rsid w:val="68B55A80"/>
    <w:rsid w:val="695F0D58"/>
    <w:rsid w:val="69B5112F"/>
    <w:rsid w:val="69BF15E3"/>
    <w:rsid w:val="6A022320"/>
    <w:rsid w:val="6A3449A3"/>
    <w:rsid w:val="6AC86F21"/>
    <w:rsid w:val="6B47710D"/>
    <w:rsid w:val="6B9B7BAE"/>
    <w:rsid w:val="6BD825D2"/>
    <w:rsid w:val="6C1D57B6"/>
    <w:rsid w:val="6C97799B"/>
    <w:rsid w:val="6C9C58E9"/>
    <w:rsid w:val="6CAE5637"/>
    <w:rsid w:val="6CD513B2"/>
    <w:rsid w:val="6CE26F20"/>
    <w:rsid w:val="6CF80D2D"/>
    <w:rsid w:val="6D69121B"/>
    <w:rsid w:val="6D8D5C79"/>
    <w:rsid w:val="6DA00341"/>
    <w:rsid w:val="6DD2455B"/>
    <w:rsid w:val="6E037EAC"/>
    <w:rsid w:val="6E3813A9"/>
    <w:rsid w:val="6E9728BF"/>
    <w:rsid w:val="6EA655F4"/>
    <w:rsid w:val="6ECA274B"/>
    <w:rsid w:val="6EFC1C7D"/>
    <w:rsid w:val="700D7D8A"/>
    <w:rsid w:val="701B0EC2"/>
    <w:rsid w:val="70592146"/>
    <w:rsid w:val="707E5AA5"/>
    <w:rsid w:val="719D33B8"/>
    <w:rsid w:val="71A646BD"/>
    <w:rsid w:val="71B10189"/>
    <w:rsid w:val="71EC0679"/>
    <w:rsid w:val="72201F2F"/>
    <w:rsid w:val="726F54C3"/>
    <w:rsid w:val="72750F24"/>
    <w:rsid w:val="72861130"/>
    <w:rsid w:val="729B350C"/>
    <w:rsid w:val="72DA5D6B"/>
    <w:rsid w:val="7323211D"/>
    <w:rsid w:val="746C6431"/>
    <w:rsid w:val="74725989"/>
    <w:rsid w:val="74836494"/>
    <w:rsid w:val="74AB2594"/>
    <w:rsid w:val="74C455DA"/>
    <w:rsid w:val="74DE7C8F"/>
    <w:rsid w:val="74E53B20"/>
    <w:rsid w:val="758A4D1C"/>
    <w:rsid w:val="759D73FA"/>
    <w:rsid w:val="75B55BED"/>
    <w:rsid w:val="76151AEB"/>
    <w:rsid w:val="762600DB"/>
    <w:rsid w:val="76297A47"/>
    <w:rsid w:val="762D536E"/>
    <w:rsid w:val="767C0391"/>
    <w:rsid w:val="76D81B05"/>
    <w:rsid w:val="778F29AA"/>
    <w:rsid w:val="779C0117"/>
    <w:rsid w:val="77BE151F"/>
    <w:rsid w:val="77E0266C"/>
    <w:rsid w:val="77EA04AC"/>
    <w:rsid w:val="77F76F3F"/>
    <w:rsid w:val="781A65B2"/>
    <w:rsid w:val="783F7102"/>
    <w:rsid w:val="78617927"/>
    <w:rsid w:val="78D1194F"/>
    <w:rsid w:val="78F92BBC"/>
    <w:rsid w:val="79244BC5"/>
    <w:rsid w:val="79400012"/>
    <w:rsid w:val="799864B9"/>
    <w:rsid w:val="7A2A7167"/>
    <w:rsid w:val="7AA5159D"/>
    <w:rsid w:val="7AB03D36"/>
    <w:rsid w:val="7AB14F1E"/>
    <w:rsid w:val="7BB75283"/>
    <w:rsid w:val="7BE71F3D"/>
    <w:rsid w:val="7C034FC9"/>
    <w:rsid w:val="7C0B3557"/>
    <w:rsid w:val="7C414735"/>
    <w:rsid w:val="7C760C83"/>
    <w:rsid w:val="7C8245A5"/>
    <w:rsid w:val="7CBC70EC"/>
    <w:rsid w:val="7D010087"/>
    <w:rsid w:val="7D826A20"/>
    <w:rsid w:val="7D86612E"/>
    <w:rsid w:val="7DA17DB6"/>
    <w:rsid w:val="7DBC7ED1"/>
    <w:rsid w:val="7DE93156"/>
    <w:rsid w:val="7E540DFB"/>
    <w:rsid w:val="7E9D1A9D"/>
    <w:rsid w:val="7F151D24"/>
    <w:rsid w:val="7F24100B"/>
    <w:rsid w:val="7FA82D83"/>
    <w:rsid w:val="7FDE6463"/>
    <w:rsid w:val="7FEA3585"/>
    <w:rsid w:val="7FEE0DFE"/>
    <w:rsid w:val="7FF154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Balloon Text"/>
    <w:basedOn w:val="1"/>
    <w:link w:val="19"/>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0">
    <w:name w:val="Title"/>
    <w:basedOn w:val="1"/>
    <w:next w:val="1"/>
    <w:link w:val="17"/>
    <w:autoRedefine/>
    <w:qFormat/>
    <w:uiPriority w:val="10"/>
    <w:pPr>
      <w:jc w:val="left"/>
      <w:outlineLvl w:val="0"/>
    </w:pPr>
    <w:rPr>
      <w:rFonts w:ascii="MS Sans Serif" w:hAnsi="MS Sans Serif" w:cs="MS Sans Serif"/>
      <w:b/>
      <w:bCs/>
      <w:sz w:val="24"/>
      <w:szCs w:val="32"/>
    </w:rPr>
  </w:style>
  <w:style w:type="character" w:styleId="13">
    <w:name w:val="Strong"/>
    <w:basedOn w:val="12"/>
    <w:autoRedefine/>
    <w:qFormat/>
    <w:uiPriority w:val="0"/>
    <w:rPr>
      <w:b/>
      <w:bCs/>
    </w:rPr>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customStyle="1" w:styleId="15">
    <w:name w:val="页眉 字符"/>
    <w:basedOn w:val="12"/>
    <w:link w:val="6"/>
    <w:qFormat/>
    <w:uiPriority w:val="99"/>
    <w:rPr>
      <w:sz w:val="18"/>
      <w:szCs w:val="18"/>
    </w:rPr>
  </w:style>
  <w:style w:type="character" w:customStyle="1" w:styleId="16">
    <w:name w:val="页脚 字符"/>
    <w:basedOn w:val="12"/>
    <w:link w:val="5"/>
    <w:qFormat/>
    <w:uiPriority w:val="99"/>
    <w:rPr>
      <w:sz w:val="18"/>
      <w:szCs w:val="18"/>
    </w:rPr>
  </w:style>
  <w:style w:type="character" w:customStyle="1" w:styleId="17">
    <w:name w:val="标题 字符"/>
    <w:basedOn w:val="12"/>
    <w:link w:val="10"/>
    <w:qFormat/>
    <w:uiPriority w:val="10"/>
    <w:rPr>
      <w:rFonts w:ascii="MS Sans Serif" w:hAnsi="MS Sans Serif" w:eastAsia="仿宋_GB2312" w:cs="MS Sans Serif"/>
      <w:b/>
      <w:bCs/>
      <w:sz w:val="24"/>
      <w:szCs w:val="32"/>
    </w:rPr>
  </w:style>
  <w:style w:type="paragraph" w:customStyle="1" w:styleId="1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19">
    <w:name w:val="批注框文本 字符"/>
    <w:basedOn w:val="12"/>
    <w:link w:val="4"/>
    <w:semiHidden/>
    <w:qFormat/>
    <w:uiPriority w:val="99"/>
    <w:rPr>
      <w:rFonts w:ascii="Times New Roman" w:hAnsi="Times New Roman" w:eastAsia="仿宋_GB2312" w:cs="Times New Roman"/>
      <w:kern w:val="2"/>
      <w:sz w:val="18"/>
      <w:szCs w:val="18"/>
    </w:rPr>
  </w:style>
  <w:style w:type="character" w:customStyle="1" w:styleId="20">
    <w:name w:val="标题 2 字符"/>
    <w:basedOn w:val="12"/>
    <w:link w:val="3"/>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8610</Words>
  <Characters>8982</Characters>
  <Lines>72</Lines>
  <Paragraphs>20</Paragraphs>
  <TotalTime>26</TotalTime>
  <ScaleCrop>false</ScaleCrop>
  <LinksUpToDate>false</LinksUpToDate>
  <CharactersWithSpaces>9076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2022-01-10T10:24:00Z</dcterms:created>
  <dc:creator>李英</dc:creator>
  <cp:lastModifiedBy>ll</cp:lastModifiedBy>
  <cp:lastPrinted>2022-01-14T03:09:00Z</cp:lastPrinted>
  <dcterms:modified xsi:type="dcterms:W3CDTF">2023-12-15T03:26:53Z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AF040D51CDB5432D9825C1B97CB8614F</vt:lpwstr>
  </property>
</Properties>
</file>