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904D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0" w:firstLineChars="0"/>
        <w:textAlignment w:val="auto"/>
        <w:outlineLvl w:val="0"/>
        <w:rPr>
          <w:rFonts w:hint="default" w:ascii="Times New Roman" w:hAnsi="Times New Roman" w:eastAsia="黑体" w:cs="Times New Roman"/>
          <w:sz w:val="32"/>
          <w:szCs w:val="48"/>
          <w:highlight w:val="none"/>
          <w:lang w:val="en-US" w:eastAsia="zh-CN"/>
        </w:rPr>
      </w:pPr>
      <w:r>
        <w:rPr>
          <w:rFonts w:hint="eastAsia" w:ascii="Times New Roman" w:hAnsi="Times New Roman" w:eastAsia="黑体" w:cs="Times New Roman"/>
          <w:sz w:val="32"/>
          <w:szCs w:val="48"/>
          <w:highlight w:val="none"/>
          <w:lang w:eastAsia="zh-CN"/>
        </w:rPr>
        <w:t>附件</w:t>
      </w:r>
      <w:r>
        <w:rPr>
          <w:rFonts w:hint="eastAsia" w:ascii="Times New Roman" w:hAnsi="Times New Roman" w:eastAsia="黑体" w:cs="Times New Roman"/>
          <w:sz w:val="32"/>
          <w:szCs w:val="48"/>
          <w:highlight w:val="none"/>
          <w:lang w:val="en-US" w:eastAsia="zh-CN"/>
        </w:rPr>
        <w:t>3</w:t>
      </w:r>
    </w:p>
    <w:p w14:paraId="36A3AFCC">
      <w:pPr>
        <w:keepNext w:val="0"/>
        <w:keepLines w:val="0"/>
        <w:pageBreakBefore w:val="0"/>
        <w:widowControl w:val="0"/>
        <w:kinsoku/>
        <w:wordWrap/>
        <w:overflowPunct/>
        <w:topLinePunct w:val="0"/>
        <w:autoSpaceDE/>
        <w:autoSpaceDN/>
        <w:bidi w:val="0"/>
        <w:adjustRightInd w:val="0"/>
        <w:snapToGrid w:val="0"/>
        <w:spacing w:before="157" w:beforeLines="50" w:after="157" w:afterLines="50" w:line="560" w:lineRule="exact"/>
        <w:jc w:val="center"/>
        <w:textAlignment w:val="auto"/>
        <w:outlineLvl w:val="1"/>
        <w:rPr>
          <w:rFonts w:hint="eastAsia"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eastAsia="zh-CN"/>
        </w:rPr>
        <w:t>关于部分抽检项目</w:t>
      </w:r>
      <w:r>
        <w:rPr>
          <w:rFonts w:hint="eastAsia" w:ascii="Times New Roman" w:hAnsi="Times New Roman" w:eastAsia="方正小标宋简体" w:cs="Times New Roman"/>
          <w:sz w:val="44"/>
          <w:szCs w:val="44"/>
          <w:highlight w:val="none"/>
          <w:lang w:eastAsia="zh-CN"/>
        </w:rPr>
        <w:t>小知识</w:t>
      </w:r>
    </w:p>
    <w:p w14:paraId="13F62AF3">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640" w:firstLineChars="200"/>
        <w:textAlignment w:val="auto"/>
        <w:outlineLvl w:val="9"/>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脱氢乙酸及其钠盐（以脱氢乙酸计）</w:t>
      </w:r>
    </w:p>
    <w:p w14:paraId="06376AF1">
      <w:pPr>
        <w:pStyle w:val="2"/>
        <w:keepNext w:val="0"/>
        <w:keepLines w:val="0"/>
        <w:pageBreakBefore w:val="0"/>
        <w:widowControl w:val="0"/>
        <w:kinsoku/>
        <w:wordWrap/>
        <w:overflowPunct/>
        <w:topLinePunct w:val="0"/>
        <w:autoSpaceDE/>
        <w:autoSpaceDN/>
        <w:bidi w:val="0"/>
        <w:adjustRightInd w:val="0"/>
        <w:snapToGrid w:val="0"/>
        <w:spacing w:after="0"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脱氢乙酸及其钠盐作为食品添加剂，广泛用作防腐剂，对霉菌具有较强的抑制作用。《食品安全国家标准 食品添加剂使用标准》（</w:t>
      </w:r>
      <w:r>
        <w:rPr>
          <w:rFonts w:hint="default" w:ascii="Times New Roman" w:hAnsi="Times New Roman" w:eastAsia="仿宋_GB2312" w:cs="Times New Roman"/>
          <w:kern w:val="2"/>
          <w:sz w:val="32"/>
          <w:szCs w:val="32"/>
          <w:lang w:val="en-US" w:eastAsia="zh-CN" w:bidi="ar-SA"/>
        </w:rPr>
        <w:t>GB 2760-20</w:t>
      </w:r>
      <w:r>
        <w:rPr>
          <w:rFonts w:hint="eastAsia"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4</w:t>
      </w:r>
      <w:r>
        <w:rPr>
          <w:rFonts w:hint="eastAsia" w:ascii="仿宋_GB2312" w:hAnsi="仿宋_GB2312" w:eastAsia="仿宋_GB2312" w:cs="仿宋_GB2312"/>
          <w:kern w:val="2"/>
          <w:sz w:val="32"/>
          <w:szCs w:val="32"/>
          <w:lang w:val="en-US" w:eastAsia="zh-CN" w:bidi="ar-SA"/>
        </w:rPr>
        <w:t>）中规定，糕点和粉丝粉条中不得使用脱氢乙酸及其钠盐（以脱氢乙酸计）。脱氢乙酸及其钠盐不合格的原因可能是个别生产企业为防止食品腐败变质，超范围使用了该添加剂，或者使用的复配添加剂中含有该添加剂。</w:t>
      </w:r>
    </w:p>
    <w:p w14:paraId="690E7605">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lang w:val="en-US" w:eastAsia="zh-CN"/>
        </w:rPr>
      </w:pPr>
    </w:p>
    <w:p w14:paraId="5330F055">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640" w:firstLineChars="200"/>
        <w:textAlignment w:val="auto"/>
        <w:outlineLvl w:val="9"/>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菌落总数</w:t>
      </w:r>
    </w:p>
    <w:p w14:paraId="28195A0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菌落总数是指示性微生物指标，主要用来评价食品清洁度，反映食品在生产过程中是否符合卫生要求。食品的菌落总数超标，将会破坏食品的营养成分，加速食品的腐败变质，使食品失去食用价值。《食品安全国家标准 蜂蜜》</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rPr>
        <w:t>GB 14963-2011</w:t>
      </w:r>
      <w:r>
        <w:rPr>
          <w:rFonts w:hint="eastAsia" w:ascii="仿宋_GB2312" w:hAnsi="仿宋_GB2312" w:eastAsia="仿宋_GB2312" w:cs="仿宋_GB2312"/>
          <w:sz w:val="32"/>
          <w:szCs w:val="32"/>
          <w:lang w:eastAsia="zh-CN"/>
        </w:rPr>
        <w:t>）中规定，蜂蜜的菌落总数最大限量值为</w:t>
      </w:r>
      <w:r>
        <w:rPr>
          <w:rFonts w:hint="default" w:ascii="Times New Roman" w:hAnsi="Times New Roman" w:eastAsia="仿宋_GB2312" w:cs="Times New Roman"/>
          <w:sz w:val="32"/>
          <w:szCs w:val="32"/>
          <w:lang w:eastAsia="zh-CN"/>
        </w:rPr>
        <w:t>1000CFU/g</w:t>
      </w:r>
      <w:r>
        <w:rPr>
          <w:rFonts w:hint="eastAsia" w:ascii="仿宋_GB2312" w:hAnsi="仿宋_GB2312" w:eastAsia="仿宋_GB2312" w:cs="仿宋_GB2312"/>
          <w:sz w:val="32"/>
          <w:szCs w:val="32"/>
          <w:lang w:eastAsia="zh-CN"/>
        </w:rPr>
        <w:t>；《食品安全国家标准 饮料》</w:t>
      </w:r>
      <w:r>
        <w:rPr>
          <w:rFonts w:hint="default" w:ascii="Times New Roman" w:hAnsi="Times New Roman" w:eastAsia="仿宋_GB2312" w:cs="Times New Roman"/>
          <w:sz w:val="32"/>
          <w:szCs w:val="32"/>
          <w:lang w:eastAsia="zh-CN"/>
        </w:rPr>
        <w:t>（GB 7101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lang w:eastAsia="zh-CN"/>
        </w:rPr>
        <w:t>）</w:t>
      </w:r>
      <w:r>
        <w:rPr>
          <w:rFonts w:hint="eastAsia" w:ascii="仿宋_GB2312" w:hAnsi="仿宋_GB2312" w:eastAsia="仿宋_GB2312" w:cs="仿宋_GB2312"/>
          <w:sz w:val="32"/>
          <w:szCs w:val="32"/>
          <w:lang w:eastAsia="zh-CN"/>
        </w:rPr>
        <w:t>中规定，其他饮料类样品的</w:t>
      </w:r>
      <w:r>
        <w:rPr>
          <w:rFonts w:hint="eastAsia" w:ascii="Times New Roman" w:hAnsi="Times New Roman" w:eastAsia="仿宋_GB2312" w:cs="Times New Roman"/>
          <w:sz w:val="32"/>
          <w:szCs w:val="32"/>
          <w:lang w:eastAsia="zh-CN"/>
        </w:rPr>
        <w:t>5</w:t>
      </w:r>
      <w:r>
        <w:rPr>
          <w:rFonts w:hint="eastAsia" w:ascii="仿宋_GB2312" w:hAnsi="仿宋_GB2312" w:eastAsia="仿宋_GB2312" w:cs="仿宋_GB2312"/>
          <w:sz w:val="32"/>
          <w:szCs w:val="32"/>
          <w:lang w:eastAsia="zh-CN"/>
        </w:rPr>
        <w:t>次检测结果均不得超过</w:t>
      </w:r>
      <w:r>
        <w:rPr>
          <w:rFonts w:hint="eastAsia" w:ascii="Times New Roman" w:hAnsi="Times New Roman" w:eastAsia="仿宋_GB2312" w:cs="Times New Roman"/>
          <w:sz w:val="32"/>
          <w:szCs w:val="32"/>
          <w:lang w:eastAsia="zh-CN"/>
        </w:rPr>
        <w:t>10000CFU/mL</w:t>
      </w:r>
      <w:r>
        <w:rPr>
          <w:rFonts w:hint="eastAsia" w:ascii="仿宋_GB2312" w:hAnsi="仿宋_GB2312" w:eastAsia="仿宋_GB2312" w:cs="仿宋_GB2312"/>
          <w:sz w:val="32"/>
          <w:szCs w:val="32"/>
          <w:lang w:eastAsia="zh-CN"/>
        </w:rPr>
        <w:t>且至少</w:t>
      </w:r>
      <w:r>
        <w:rPr>
          <w:rFonts w:hint="eastAsia" w:ascii="Times New Roman" w:hAnsi="Times New Roman" w:eastAsia="仿宋_GB2312" w:cs="Times New Roman"/>
          <w:sz w:val="32"/>
          <w:szCs w:val="32"/>
          <w:lang w:eastAsia="zh-CN"/>
        </w:rPr>
        <w:t>3</w:t>
      </w:r>
      <w:r>
        <w:rPr>
          <w:rFonts w:hint="eastAsia" w:ascii="仿宋_GB2312" w:hAnsi="仿宋_GB2312" w:eastAsia="仿宋_GB2312" w:cs="仿宋_GB2312"/>
          <w:sz w:val="32"/>
          <w:szCs w:val="32"/>
          <w:lang w:eastAsia="zh-CN"/>
        </w:rPr>
        <w:t>次检测结果不超过</w:t>
      </w:r>
      <w:r>
        <w:rPr>
          <w:rFonts w:hint="eastAsia" w:ascii="Times New Roman" w:hAnsi="Times New Roman" w:eastAsia="仿宋_GB2312" w:cs="Times New Roman"/>
          <w:sz w:val="32"/>
          <w:szCs w:val="32"/>
          <w:lang w:eastAsia="zh-CN"/>
        </w:rPr>
        <w:t>100CFU/mL；</w:t>
      </w:r>
      <w:r>
        <w:rPr>
          <w:rFonts w:hint="eastAsia" w:ascii="仿宋_GB2312" w:hAnsi="仿宋_GB2312" w:eastAsia="仿宋_GB2312" w:cs="仿宋_GB2312"/>
          <w:sz w:val="32"/>
          <w:szCs w:val="32"/>
        </w:rPr>
        <w:t>《食品安全国家标准 冷冻饮品和制作料》</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rPr>
        <w:t>GB 2759-2015</w:t>
      </w:r>
      <w:r>
        <w:rPr>
          <w:rFonts w:hint="eastAsia" w:ascii="仿宋_GB2312" w:hAnsi="仿宋_GB2312" w:eastAsia="仿宋_GB2312" w:cs="仿宋_GB2312"/>
          <w:sz w:val="32"/>
          <w:szCs w:val="32"/>
          <w:lang w:eastAsia="zh-CN"/>
        </w:rPr>
        <w:t>）中规定，雪糕样品的</w:t>
      </w:r>
      <w:r>
        <w:rPr>
          <w:rFonts w:hint="eastAsia" w:ascii="Times New Roman" w:hAnsi="Times New Roman" w:eastAsia="仿宋_GB2312" w:cs="Times New Roman"/>
          <w:sz w:val="32"/>
          <w:szCs w:val="32"/>
          <w:lang w:eastAsia="zh-CN"/>
        </w:rPr>
        <w:t>5</w:t>
      </w:r>
      <w:r>
        <w:rPr>
          <w:rFonts w:hint="eastAsia" w:ascii="仿宋_GB2312" w:hAnsi="仿宋_GB2312" w:eastAsia="仿宋_GB2312" w:cs="仿宋_GB2312"/>
          <w:sz w:val="32"/>
          <w:szCs w:val="32"/>
          <w:lang w:eastAsia="zh-CN"/>
        </w:rPr>
        <w:t>次检测结果均不得超过</w:t>
      </w:r>
      <w:r>
        <w:rPr>
          <w:rFonts w:hint="eastAsia" w:ascii="Times New Roman" w:hAnsi="Times New Roman" w:eastAsia="仿宋_GB2312" w:cs="Times New Roman"/>
          <w:sz w:val="32"/>
          <w:szCs w:val="32"/>
          <w:lang w:eastAsia="zh-CN"/>
        </w:rPr>
        <w:t>100000CFU/mL</w:t>
      </w:r>
      <w:r>
        <w:rPr>
          <w:rFonts w:hint="eastAsia" w:ascii="仿宋_GB2312" w:hAnsi="仿宋_GB2312" w:eastAsia="仿宋_GB2312" w:cs="仿宋_GB2312"/>
          <w:sz w:val="32"/>
          <w:szCs w:val="32"/>
          <w:lang w:eastAsia="zh-CN"/>
        </w:rPr>
        <w:t>且至少</w:t>
      </w:r>
      <w:r>
        <w:rPr>
          <w:rFonts w:hint="eastAsia" w:ascii="Times New Roman" w:hAnsi="Times New Roman" w:eastAsia="仿宋_GB2312" w:cs="Times New Roman"/>
          <w:sz w:val="32"/>
          <w:szCs w:val="32"/>
          <w:lang w:eastAsia="zh-CN"/>
        </w:rPr>
        <w:t>3</w:t>
      </w:r>
      <w:r>
        <w:rPr>
          <w:rFonts w:hint="eastAsia" w:ascii="仿宋_GB2312" w:hAnsi="仿宋_GB2312" w:eastAsia="仿宋_GB2312" w:cs="仿宋_GB2312"/>
          <w:sz w:val="32"/>
          <w:szCs w:val="32"/>
          <w:lang w:eastAsia="zh-CN"/>
        </w:rPr>
        <w:t>次检测结果不超过</w:t>
      </w:r>
      <w:r>
        <w:rPr>
          <w:rFonts w:hint="eastAsia" w:ascii="Times New Roman" w:hAnsi="Times New Roman" w:eastAsia="仿宋_GB2312" w:cs="Times New Roman"/>
          <w:sz w:val="32"/>
          <w:szCs w:val="32"/>
          <w:lang w:val="en-US" w:eastAsia="zh-CN"/>
        </w:rPr>
        <w:t>25000</w:t>
      </w:r>
      <w:r>
        <w:rPr>
          <w:rFonts w:hint="eastAsia" w:ascii="Times New Roman" w:hAnsi="Times New Roman" w:eastAsia="仿宋_GB2312" w:cs="Times New Roman"/>
          <w:sz w:val="32"/>
          <w:szCs w:val="32"/>
          <w:lang w:eastAsia="zh-CN"/>
        </w:rPr>
        <w:t>CFU/mL；《食品安全国家标准 食醋》（GB 2719-2018）中规定，食醋样品的5</w:t>
      </w:r>
      <w:r>
        <w:rPr>
          <w:rFonts w:hint="eastAsia" w:ascii="仿宋_GB2312" w:hAnsi="仿宋_GB2312" w:eastAsia="仿宋_GB2312" w:cs="仿宋_GB2312"/>
          <w:sz w:val="32"/>
          <w:szCs w:val="32"/>
          <w:lang w:eastAsia="zh-CN"/>
        </w:rPr>
        <w:t>次检测结果均不得超过</w:t>
      </w:r>
      <w:r>
        <w:rPr>
          <w:rFonts w:hint="eastAsia" w:ascii="Times New Roman" w:hAnsi="Times New Roman" w:eastAsia="仿宋_GB2312" w:cs="Times New Roman"/>
          <w:sz w:val="32"/>
          <w:szCs w:val="32"/>
          <w:lang w:eastAsia="zh-CN"/>
        </w:rPr>
        <w:t>1000CFU/mL</w:t>
      </w:r>
      <w:r>
        <w:rPr>
          <w:rFonts w:hint="eastAsia" w:ascii="仿宋_GB2312" w:hAnsi="仿宋_GB2312" w:eastAsia="仿宋_GB2312" w:cs="仿宋_GB2312"/>
          <w:sz w:val="32"/>
          <w:szCs w:val="32"/>
          <w:lang w:eastAsia="zh-CN"/>
        </w:rPr>
        <w:t>且至少</w:t>
      </w:r>
      <w:r>
        <w:rPr>
          <w:rFonts w:hint="eastAsia" w:ascii="Times New Roman" w:hAnsi="Times New Roman" w:eastAsia="仿宋_GB2312" w:cs="Times New Roman"/>
          <w:sz w:val="32"/>
          <w:szCs w:val="32"/>
          <w:lang w:eastAsia="zh-CN"/>
        </w:rPr>
        <w:t>3</w:t>
      </w:r>
      <w:r>
        <w:rPr>
          <w:rFonts w:hint="eastAsia" w:ascii="仿宋_GB2312" w:hAnsi="仿宋_GB2312" w:eastAsia="仿宋_GB2312" w:cs="仿宋_GB2312"/>
          <w:sz w:val="32"/>
          <w:szCs w:val="32"/>
          <w:lang w:eastAsia="zh-CN"/>
        </w:rPr>
        <w:t>次检测结果不超过</w:t>
      </w:r>
      <w:r>
        <w:rPr>
          <w:rFonts w:hint="eastAsia" w:ascii="Times New Roman" w:hAnsi="Times New Roman" w:eastAsia="仿宋_GB2312" w:cs="Times New Roman"/>
          <w:sz w:val="32"/>
          <w:szCs w:val="32"/>
          <w:lang w:val="en-US" w:eastAsia="zh-CN"/>
        </w:rPr>
        <w:t>10000</w:t>
      </w:r>
      <w:r>
        <w:rPr>
          <w:rFonts w:hint="eastAsia" w:ascii="Times New Roman" w:hAnsi="Times New Roman" w:eastAsia="仿宋_GB2312" w:cs="Times New Roman"/>
          <w:sz w:val="32"/>
          <w:szCs w:val="32"/>
          <w:lang w:eastAsia="zh-CN"/>
        </w:rPr>
        <w:t>CFU/mL；《食品安全国家标准 糖果》（GB 17399-2016）中规定，食醋样品的5</w:t>
      </w:r>
      <w:r>
        <w:rPr>
          <w:rFonts w:hint="eastAsia" w:ascii="仿宋_GB2312" w:hAnsi="仿宋_GB2312" w:eastAsia="仿宋_GB2312" w:cs="仿宋_GB2312"/>
          <w:sz w:val="32"/>
          <w:szCs w:val="32"/>
          <w:lang w:eastAsia="zh-CN"/>
        </w:rPr>
        <w:t>次检测结果均不得超过</w:t>
      </w:r>
      <w:r>
        <w:rPr>
          <w:rFonts w:hint="eastAsia" w:ascii="Times New Roman" w:hAnsi="Times New Roman" w:eastAsia="仿宋_GB2312" w:cs="Times New Roman"/>
          <w:sz w:val="32"/>
          <w:szCs w:val="32"/>
          <w:lang w:eastAsia="zh-CN"/>
        </w:rPr>
        <w:t>10</w:t>
      </w:r>
      <w:r>
        <w:rPr>
          <w:rFonts w:hint="eastAsia" w:ascii="Times New Roman" w:hAnsi="Times New Roman" w:eastAsia="仿宋_GB2312" w:cs="Times New Roman"/>
          <w:sz w:val="32"/>
          <w:szCs w:val="32"/>
          <w:vertAlign w:val="superscript"/>
          <w:lang w:val="en-US" w:eastAsia="zh-CN"/>
        </w:rPr>
        <w:t>4</w:t>
      </w:r>
      <w:r>
        <w:rPr>
          <w:rFonts w:hint="eastAsia" w:ascii="Times New Roman" w:hAnsi="Times New Roman" w:eastAsia="仿宋_GB2312" w:cs="Times New Roman"/>
          <w:sz w:val="32"/>
          <w:szCs w:val="32"/>
          <w:lang w:eastAsia="zh-CN"/>
        </w:rPr>
        <w:t>CFU/g</w:t>
      </w:r>
      <w:r>
        <w:rPr>
          <w:rFonts w:hint="eastAsia" w:ascii="仿宋_GB2312" w:hAnsi="仿宋_GB2312" w:eastAsia="仿宋_GB2312" w:cs="仿宋_GB2312"/>
          <w:sz w:val="32"/>
          <w:szCs w:val="32"/>
          <w:lang w:eastAsia="zh-CN"/>
        </w:rPr>
        <w:t>且至少</w:t>
      </w:r>
      <w:r>
        <w:rPr>
          <w:rFonts w:hint="eastAsia" w:ascii="Times New Roman" w:hAnsi="Times New Roman" w:eastAsia="仿宋_GB2312" w:cs="Times New Roman"/>
          <w:sz w:val="32"/>
          <w:szCs w:val="32"/>
          <w:lang w:eastAsia="zh-CN"/>
        </w:rPr>
        <w:t>3</w:t>
      </w:r>
      <w:r>
        <w:rPr>
          <w:rFonts w:hint="eastAsia" w:ascii="仿宋_GB2312" w:hAnsi="仿宋_GB2312" w:eastAsia="仿宋_GB2312" w:cs="仿宋_GB2312"/>
          <w:sz w:val="32"/>
          <w:szCs w:val="32"/>
          <w:lang w:eastAsia="zh-CN"/>
        </w:rPr>
        <w:t>次检测结果不超过</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vertAlign w:val="superscript"/>
          <w:lang w:val="en-US" w:eastAsia="zh-CN"/>
        </w:rPr>
        <w:t>5</w:t>
      </w:r>
      <w:r>
        <w:rPr>
          <w:rFonts w:hint="eastAsia" w:ascii="Times New Roman" w:hAnsi="Times New Roman" w:eastAsia="仿宋_GB2312" w:cs="Times New Roman"/>
          <w:sz w:val="32"/>
          <w:szCs w:val="32"/>
          <w:lang w:val="en-US" w:eastAsia="zh-CN"/>
        </w:rPr>
        <w:t>CFU/g。</w:t>
      </w:r>
      <w:r>
        <w:rPr>
          <w:rFonts w:hint="eastAsia" w:ascii="仿宋_GB2312" w:hAnsi="仿宋_GB2312" w:eastAsia="仿宋_GB2312" w:cs="仿宋_GB2312"/>
          <w:sz w:val="32"/>
          <w:szCs w:val="32"/>
        </w:rPr>
        <w:t>菌落总数超标可能是生产经营企业可能未按要求严格控制生产加工过程的卫生条件，或者包装容器清洗消毒不到位；还有可能与产品包装密封不严，储运条件控制不当等有关。</w:t>
      </w:r>
    </w:p>
    <w:p w14:paraId="72D37630">
      <w:pPr>
        <w:pStyle w:val="2"/>
        <w:keepNext w:val="0"/>
        <w:keepLines w:val="0"/>
        <w:pageBreakBefore w:val="0"/>
        <w:widowControl w:val="0"/>
        <w:kinsoku/>
        <w:wordWrap/>
        <w:overflowPunct/>
        <w:topLinePunct w:val="0"/>
        <w:autoSpaceDE/>
        <w:autoSpaceDN/>
        <w:bidi w:val="0"/>
        <w:adjustRightInd w:val="0"/>
        <w:snapToGrid w:val="0"/>
        <w:spacing w:after="0" w:line="560" w:lineRule="exact"/>
        <w:textAlignment w:val="auto"/>
        <w:rPr>
          <w:rFonts w:hint="eastAsia"/>
          <w:lang w:val="en-US" w:eastAsia="zh-CN"/>
        </w:rPr>
      </w:pPr>
    </w:p>
    <w:p w14:paraId="0D749F81">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640" w:firstLineChars="200"/>
        <w:textAlignment w:val="auto"/>
        <w:outlineLvl w:val="9"/>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草甘膦（草甘膦与其代谢产物氨甲基膦酸之和）</w:t>
      </w:r>
    </w:p>
    <w:p w14:paraId="62E060F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草甘膦是非选择性内吸性除草剂，通过叶面吸收并快速在植物体内传导，使杂草枯竭死亡。《食品安全国家标准</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食品中农药最大残留限量》（GB 2763</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lang w:val="en-US" w:eastAsia="zh-CN"/>
        </w:rPr>
        <w:t>21</w:t>
      </w:r>
      <w:r>
        <w:rPr>
          <w:rFonts w:ascii="Times New Roman" w:hAnsi="Times New Roman" w:eastAsia="仿宋_GB2312" w:cs="Times New Roman"/>
          <w:sz w:val="32"/>
          <w:szCs w:val="32"/>
        </w:rPr>
        <w:t>）中规定，草甘膦在茶叶中的最大残留限量值为1mg/kg。茶叶中草甘膦残留量超标的原因，可能是茶农在种植过程中违规使用，或在临近采收的茶树上不当使用造成的。</w:t>
      </w:r>
    </w:p>
    <w:p w14:paraId="0F4801B4">
      <w:pPr>
        <w:pStyle w:val="2"/>
        <w:rPr>
          <w:rFonts w:hint="eastAsia"/>
          <w:lang w:val="en-US" w:eastAsia="zh-CN"/>
        </w:rPr>
      </w:pPr>
    </w:p>
    <w:p w14:paraId="3BF300ED">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640" w:firstLineChars="200"/>
        <w:textAlignment w:val="auto"/>
        <w:outlineLvl w:val="9"/>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二氧化硫残留量</w:t>
      </w:r>
    </w:p>
    <w:p w14:paraId="6952BEDA">
      <w:pPr>
        <w:pStyle w:val="2"/>
        <w:keepNext w:val="0"/>
        <w:keepLines w:val="0"/>
        <w:pageBreakBefore w:val="0"/>
        <w:widowControl w:val="0"/>
        <w:kinsoku/>
        <w:wordWrap/>
        <w:overflowPunct/>
        <w:topLinePunct w:val="0"/>
        <w:autoSpaceDE/>
        <w:autoSpaceDN/>
        <w:bidi w:val="0"/>
        <w:adjustRightInd w:val="0"/>
        <w:snapToGrid w:val="0"/>
        <w:spacing w:after="0"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二氧化硫是食品加工中常用的漂白剂和防腐剂，具有漂白、防腐和抗氧化作用。《食品安全国家标准食品添加剂使用标准》（</w:t>
      </w:r>
      <w:r>
        <w:rPr>
          <w:rFonts w:hint="default" w:ascii="Times New Roman" w:hAnsi="Times New Roman" w:eastAsia="仿宋_GB2312" w:cs="Times New Roman"/>
          <w:kern w:val="2"/>
          <w:sz w:val="32"/>
          <w:szCs w:val="32"/>
          <w:lang w:val="en-US" w:eastAsia="zh-CN" w:bidi="ar-SA"/>
        </w:rPr>
        <w:t>GB 2760</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20</w:t>
      </w:r>
      <w:r>
        <w:rPr>
          <w:rFonts w:hint="eastAsia"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4</w:t>
      </w:r>
      <w:r>
        <w:rPr>
          <w:rFonts w:hint="eastAsia" w:ascii="仿宋_GB2312" w:hAnsi="仿宋_GB2312" w:eastAsia="仿宋_GB2312" w:cs="仿宋_GB2312"/>
          <w:kern w:val="2"/>
          <w:sz w:val="32"/>
          <w:szCs w:val="32"/>
          <w:lang w:val="en-US" w:eastAsia="zh-CN" w:bidi="ar-SA"/>
        </w:rPr>
        <w:t>）中规定，调味品中不得使用二氧化硫；红糖、腌渍的蔬菜和经表面处理的鲜水果的二氧化硫最大使用量分别为</w:t>
      </w:r>
      <w:r>
        <w:rPr>
          <w:rFonts w:hint="eastAsia" w:ascii="Times New Roman" w:hAnsi="Times New Roman" w:eastAsia="仿宋_GB2312" w:cs="Times New Roman"/>
          <w:kern w:val="2"/>
          <w:sz w:val="32"/>
          <w:szCs w:val="32"/>
          <w:lang w:val="en-US" w:eastAsia="zh-CN" w:bidi="ar-SA"/>
        </w:rPr>
        <w:t>0.03g/kg、0.1g/kg和0.05g/kg</w:t>
      </w:r>
      <w:r>
        <w:rPr>
          <w:rFonts w:hint="eastAsia" w:ascii="仿宋_GB2312" w:hAnsi="仿宋_GB2312" w:eastAsia="仿宋_GB2312" w:cs="仿宋_GB2312"/>
          <w:kern w:val="2"/>
          <w:sz w:val="32"/>
          <w:szCs w:val="32"/>
          <w:lang w:val="en-US" w:eastAsia="zh-CN" w:bidi="ar-SA"/>
        </w:rPr>
        <w:t>。二氧化硫残留量超标的原因，可能是生产企业为改善产品色泽而超范围超限量使用二氧化硫。</w:t>
      </w:r>
    </w:p>
    <w:p w14:paraId="3AA30068">
      <w:pPr>
        <w:pStyle w:val="2"/>
        <w:keepNext w:val="0"/>
        <w:keepLines w:val="0"/>
        <w:pageBreakBefore w:val="0"/>
        <w:widowControl w:val="0"/>
        <w:kinsoku/>
        <w:wordWrap/>
        <w:overflowPunct/>
        <w:topLinePunct w:val="0"/>
        <w:autoSpaceDE/>
        <w:autoSpaceDN/>
        <w:bidi w:val="0"/>
        <w:adjustRightInd w:val="0"/>
        <w:snapToGrid w:val="0"/>
        <w:spacing w:after="0" w:line="560" w:lineRule="exact"/>
        <w:textAlignment w:val="auto"/>
        <w:rPr>
          <w:rFonts w:hint="eastAsia" w:ascii="仿宋_GB2312" w:hAnsi="仿宋_GB2312" w:eastAsia="仿宋_GB2312" w:cs="仿宋_GB2312"/>
          <w:kern w:val="2"/>
          <w:sz w:val="32"/>
          <w:szCs w:val="32"/>
          <w:lang w:val="en-US" w:eastAsia="zh-CN" w:bidi="ar-SA"/>
        </w:rPr>
      </w:pPr>
    </w:p>
    <w:p w14:paraId="0C1B2D59">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640" w:firstLineChars="200"/>
        <w:textAlignment w:val="auto"/>
        <w:outlineLvl w:val="9"/>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亚硝酸盐(以</w:t>
      </w:r>
      <w:r>
        <w:rPr>
          <w:rFonts w:hint="eastAsia" w:ascii="Times New Roman" w:hAnsi="Times New Roman" w:eastAsia="黑体" w:cs="黑体"/>
          <w:spacing w:val="0"/>
          <w:sz w:val="32"/>
          <w:szCs w:val="32"/>
          <w:lang w:val="en-US" w:eastAsia="zh-CN"/>
        </w:rPr>
        <w:t>NO</w:t>
      </w:r>
      <w:bookmarkStart w:id="0" w:name="_GoBack"/>
      <w:r>
        <w:rPr>
          <w:rFonts w:hint="eastAsia" w:ascii="Times New Roman" w:hAnsi="Times New Roman" w:eastAsia="黑体" w:cs="Times New Roman"/>
          <w:spacing w:val="0"/>
          <w:sz w:val="32"/>
          <w:szCs w:val="32"/>
          <w:vertAlign w:val="subscript"/>
          <w:lang w:val="en-US" w:eastAsia="zh-CN"/>
        </w:rPr>
        <w:t>2</w:t>
      </w:r>
      <w:bookmarkEnd w:id="0"/>
      <w:r>
        <w:rPr>
          <w:rFonts w:hint="eastAsia" w:ascii="黑体" w:hAnsi="黑体" w:eastAsia="黑体" w:cs="黑体"/>
          <w:spacing w:val="0"/>
          <w:sz w:val="32"/>
          <w:szCs w:val="32"/>
          <w:vertAlign w:val="superscript"/>
          <w:lang w:val="en-US" w:eastAsia="zh-CN"/>
        </w:rPr>
        <w:t>-</w:t>
      </w:r>
      <w:r>
        <w:rPr>
          <w:rFonts w:hint="eastAsia" w:ascii="黑体" w:hAnsi="黑体" w:eastAsia="黑体" w:cs="黑体"/>
          <w:spacing w:val="0"/>
          <w:sz w:val="32"/>
          <w:szCs w:val="32"/>
          <w:lang w:val="en-US" w:eastAsia="zh-CN"/>
        </w:rPr>
        <w:t>计)</w:t>
      </w:r>
    </w:p>
    <w:p w14:paraId="74F9291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亚硝酸盐广泛存在于环境中，是自然界中普遍存在的含氮化合物，水中的亚硝酸盐可由硝酸盐转化而来，能一定程度上反映水体被污染的情况。《食品安全国家标准 食品中污染物限量》（</w:t>
      </w:r>
      <w:r>
        <w:rPr>
          <w:rFonts w:hint="eastAsia" w:ascii="Times New Roman" w:hAnsi="Times New Roman" w:eastAsia="仿宋_GB2312" w:cs="Times New Roman"/>
          <w:kern w:val="2"/>
          <w:sz w:val="32"/>
          <w:szCs w:val="32"/>
          <w:lang w:val="en-US" w:eastAsia="zh-CN" w:bidi="ar-SA"/>
        </w:rPr>
        <w:t>GB 2762-2022</w:t>
      </w:r>
      <w:r>
        <w:rPr>
          <w:rFonts w:hint="eastAsia" w:ascii="仿宋_GB2312" w:hAnsi="仿宋_GB2312" w:eastAsia="仿宋_GB2312" w:cs="仿宋_GB2312"/>
          <w:kern w:val="2"/>
          <w:sz w:val="32"/>
          <w:szCs w:val="32"/>
          <w:lang w:val="en-US" w:eastAsia="zh-CN" w:bidi="ar-SA"/>
        </w:rPr>
        <w:t>）中规定，包装饮用水（矿泉水除外）中亚硝酸盐（以</w:t>
      </w:r>
      <w:r>
        <w:rPr>
          <w:rFonts w:hint="eastAsia" w:ascii="Times New Roman" w:hAnsi="Times New Roman" w:eastAsia="仿宋_GB2312" w:cs="Times New Roman"/>
          <w:kern w:val="2"/>
          <w:sz w:val="32"/>
          <w:szCs w:val="32"/>
          <w:lang w:val="en-US" w:eastAsia="zh-CN" w:bidi="ar-SA"/>
        </w:rPr>
        <w:t>NO</w:t>
      </w:r>
      <w:r>
        <w:rPr>
          <w:rFonts w:hint="eastAsia" w:ascii="Times New Roman" w:hAnsi="Times New Roman" w:eastAsia="仿宋_GB2312" w:cs="Times New Roman"/>
          <w:kern w:val="2"/>
          <w:sz w:val="32"/>
          <w:szCs w:val="32"/>
          <w:vertAlign w:val="subscript"/>
          <w:lang w:val="en-US" w:eastAsia="zh-CN" w:bidi="ar-SA"/>
        </w:rPr>
        <w:t>2</w:t>
      </w:r>
      <w:r>
        <w:rPr>
          <w:rFonts w:hint="eastAsia" w:ascii="仿宋_GB2312" w:hAnsi="仿宋_GB2312" w:eastAsia="仿宋_GB2312" w:cs="仿宋_GB2312"/>
          <w:kern w:val="2"/>
          <w:sz w:val="32"/>
          <w:szCs w:val="32"/>
          <w:vertAlign w:val="superscript"/>
          <w:lang w:val="en-US" w:eastAsia="zh-CN" w:bidi="ar-SA"/>
        </w:rPr>
        <w:t>-</w:t>
      </w:r>
      <w:r>
        <w:rPr>
          <w:rFonts w:hint="eastAsia" w:ascii="仿宋_GB2312" w:hAnsi="仿宋_GB2312" w:eastAsia="仿宋_GB2312" w:cs="仿宋_GB2312"/>
          <w:kern w:val="2"/>
          <w:sz w:val="32"/>
          <w:szCs w:val="32"/>
          <w:lang w:val="en-US" w:eastAsia="zh-CN" w:bidi="ar-SA"/>
        </w:rPr>
        <w:t>计）的最大限量值为</w:t>
      </w:r>
      <w:r>
        <w:rPr>
          <w:rFonts w:hint="eastAsia" w:ascii="Times New Roman" w:hAnsi="Times New Roman" w:eastAsia="仿宋_GB2312" w:cs="Times New Roman"/>
          <w:kern w:val="2"/>
          <w:sz w:val="32"/>
          <w:szCs w:val="32"/>
          <w:lang w:val="en-US" w:eastAsia="zh-CN" w:bidi="ar-SA"/>
        </w:rPr>
        <w:t>0.005mg</w:t>
      </w:r>
      <w:r>
        <w:rPr>
          <w:rFonts w:hint="eastAsia" w:ascii="仿宋_GB2312" w:hAnsi="仿宋_GB2312" w:eastAsia="仿宋_GB2312" w:cs="仿宋_GB2312"/>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L</w:t>
      </w:r>
      <w:r>
        <w:rPr>
          <w:rFonts w:hint="eastAsia" w:ascii="仿宋_GB2312" w:hAnsi="仿宋_GB2312" w:eastAsia="仿宋_GB2312" w:cs="仿宋_GB2312"/>
          <w:kern w:val="2"/>
          <w:sz w:val="32"/>
          <w:szCs w:val="32"/>
          <w:lang w:val="en-US" w:eastAsia="zh-CN" w:bidi="ar-SA"/>
        </w:rPr>
        <w:t>。亚硝酸盐超标的原因，可能是水体被细菌污染，也可能是消毒控制不当。</w:t>
      </w:r>
    </w:p>
    <w:p w14:paraId="4F8EE52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200"/>
        <w:textAlignment w:val="auto"/>
        <w:outlineLvl w:val="9"/>
        <w:rPr>
          <w:rFonts w:hint="eastAsia" w:ascii="黑体" w:hAnsi="黑体" w:eastAsia="黑体" w:cs="黑体"/>
          <w:spacing w:val="0"/>
          <w:sz w:val="32"/>
          <w:szCs w:val="32"/>
          <w:lang w:val="en-US" w:eastAsia="zh-CN"/>
        </w:rPr>
      </w:pPr>
    </w:p>
    <w:sectPr>
      <w:footerReference r:id="rId3" w:type="default"/>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Book Antiqua">
    <w:panose1 w:val="02040602050305030304"/>
    <w:charset w:val="00"/>
    <w:family w:val="auto"/>
    <w:pitch w:val="default"/>
    <w:sig w:usb0="00000287" w:usb1="00000000" w:usb2="00000000" w:usb3="00000000" w:csb0="2000009F" w:csb1="DFD70000"/>
  </w:font>
  <w:font w:name="Arial Unicode MS">
    <w:panose1 w:val="020B0604020202020204"/>
    <w:charset w:val="86"/>
    <w:family w:val="auto"/>
    <w:pitch w:val="default"/>
    <w:sig w:usb0="FFFFFFFF" w:usb1="E9FFFFFF" w:usb2="0000003F" w:usb3="00000000" w:csb0="603F01FF" w:csb1="FFFF0000"/>
  </w:font>
  <w:font w:name="Microsoft YaHe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14:paraId="7118498E">
        <w:pPr>
          <w:pStyle w:val="5"/>
          <w:jc w:val="center"/>
        </w:pPr>
        <w:r>
          <w:fldChar w:fldCharType="begin"/>
        </w:r>
        <w:r>
          <w:instrText xml:space="preserve">PAGE   \* MERGEFORMAT</w:instrText>
        </w:r>
        <w:r>
          <w:fldChar w:fldCharType="separate"/>
        </w:r>
        <w:r>
          <w:rPr>
            <w:lang w:val="zh-CN"/>
          </w:rPr>
          <w:t>1</w:t>
        </w:r>
        <w:r>
          <w:fldChar w:fldCharType="end"/>
        </w:r>
      </w:p>
    </w:sdtContent>
  </w:sdt>
  <w:p w14:paraId="7337445E">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7FF0E1"/>
    <w:multiLevelType w:val="singleLevel"/>
    <w:tmpl w:val="7F7FF0E1"/>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WUyZTVlOGZmNDAyOWRmOGQyZTQxMmU0MDdkYjc1MTA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56DA2"/>
    <w:rsid w:val="00F64B8F"/>
    <w:rsid w:val="00F8113A"/>
    <w:rsid w:val="00F932D3"/>
    <w:rsid w:val="00FB5CDD"/>
    <w:rsid w:val="00FC246E"/>
    <w:rsid w:val="00FD601C"/>
    <w:rsid w:val="00FE1AF9"/>
    <w:rsid w:val="00FE65C8"/>
    <w:rsid w:val="02E53ED2"/>
    <w:rsid w:val="03731FD8"/>
    <w:rsid w:val="03BD43D7"/>
    <w:rsid w:val="04FD0185"/>
    <w:rsid w:val="06012255"/>
    <w:rsid w:val="0643453F"/>
    <w:rsid w:val="083119A6"/>
    <w:rsid w:val="08C70051"/>
    <w:rsid w:val="0A2246B7"/>
    <w:rsid w:val="0B23740C"/>
    <w:rsid w:val="0BF55D05"/>
    <w:rsid w:val="0E3E57FB"/>
    <w:rsid w:val="0E6E3364"/>
    <w:rsid w:val="0EA50231"/>
    <w:rsid w:val="0F830F05"/>
    <w:rsid w:val="0F9EF1F3"/>
    <w:rsid w:val="0FD83CA6"/>
    <w:rsid w:val="0FEE1D9C"/>
    <w:rsid w:val="110C4FEA"/>
    <w:rsid w:val="110F570C"/>
    <w:rsid w:val="112B137C"/>
    <w:rsid w:val="125E1B94"/>
    <w:rsid w:val="13A02D2C"/>
    <w:rsid w:val="157E5278"/>
    <w:rsid w:val="15BF1382"/>
    <w:rsid w:val="169D136B"/>
    <w:rsid w:val="17DE0CBD"/>
    <w:rsid w:val="17FED243"/>
    <w:rsid w:val="18CE4512"/>
    <w:rsid w:val="190A207C"/>
    <w:rsid w:val="190E6EE0"/>
    <w:rsid w:val="199130D1"/>
    <w:rsid w:val="199303A5"/>
    <w:rsid w:val="19AA4605"/>
    <w:rsid w:val="1A8E79BC"/>
    <w:rsid w:val="1A943B45"/>
    <w:rsid w:val="1AF411D7"/>
    <w:rsid w:val="1B6D47CE"/>
    <w:rsid w:val="1BFF1386"/>
    <w:rsid w:val="1C0D4647"/>
    <w:rsid w:val="1E526692"/>
    <w:rsid w:val="1F245FB8"/>
    <w:rsid w:val="1F5254D4"/>
    <w:rsid w:val="20734AD8"/>
    <w:rsid w:val="217B58C1"/>
    <w:rsid w:val="21FD7A99"/>
    <w:rsid w:val="22EE5E6A"/>
    <w:rsid w:val="22FB77CB"/>
    <w:rsid w:val="230DE398"/>
    <w:rsid w:val="23E40E7A"/>
    <w:rsid w:val="246868F4"/>
    <w:rsid w:val="24B40E16"/>
    <w:rsid w:val="24C105FB"/>
    <w:rsid w:val="25706FEB"/>
    <w:rsid w:val="27E90029"/>
    <w:rsid w:val="28926171"/>
    <w:rsid w:val="28F7C6EF"/>
    <w:rsid w:val="28FE5380"/>
    <w:rsid w:val="293C4333"/>
    <w:rsid w:val="2A266F86"/>
    <w:rsid w:val="2B453547"/>
    <w:rsid w:val="2D024FEE"/>
    <w:rsid w:val="2F3A64DA"/>
    <w:rsid w:val="2F5FF82E"/>
    <w:rsid w:val="2F8980BA"/>
    <w:rsid w:val="2FFF3C79"/>
    <w:rsid w:val="2FFFEB58"/>
    <w:rsid w:val="313B60D6"/>
    <w:rsid w:val="32BF9929"/>
    <w:rsid w:val="343B3C9B"/>
    <w:rsid w:val="34A10D49"/>
    <w:rsid w:val="353051B6"/>
    <w:rsid w:val="35CD32DE"/>
    <w:rsid w:val="35D3C0FF"/>
    <w:rsid w:val="37B5B0DF"/>
    <w:rsid w:val="39E4139A"/>
    <w:rsid w:val="3A066159"/>
    <w:rsid w:val="3B7ED31C"/>
    <w:rsid w:val="3BBF5734"/>
    <w:rsid w:val="3BE114CD"/>
    <w:rsid w:val="3BFF4D0F"/>
    <w:rsid w:val="3CBB6A1F"/>
    <w:rsid w:val="3D066ED4"/>
    <w:rsid w:val="3D5B7861"/>
    <w:rsid w:val="3D8A31F3"/>
    <w:rsid w:val="3DA70F84"/>
    <w:rsid w:val="3E573C31"/>
    <w:rsid w:val="3E692505"/>
    <w:rsid w:val="3EF70C9F"/>
    <w:rsid w:val="3F7FC504"/>
    <w:rsid w:val="3F9D409F"/>
    <w:rsid w:val="3FBF13ED"/>
    <w:rsid w:val="3FD02490"/>
    <w:rsid w:val="3FFD62C4"/>
    <w:rsid w:val="40DF5746"/>
    <w:rsid w:val="41011D84"/>
    <w:rsid w:val="426B3C81"/>
    <w:rsid w:val="449A0830"/>
    <w:rsid w:val="44CF69EE"/>
    <w:rsid w:val="45107FD3"/>
    <w:rsid w:val="46601D24"/>
    <w:rsid w:val="47075DCC"/>
    <w:rsid w:val="47811D3F"/>
    <w:rsid w:val="48655E99"/>
    <w:rsid w:val="488E348C"/>
    <w:rsid w:val="4AA63504"/>
    <w:rsid w:val="4C8B783D"/>
    <w:rsid w:val="4D920623"/>
    <w:rsid w:val="4DCDB26D"/>
    <w:rsid w:val="4E836A31"/>
    <w:rsid w:val="4FAD0645"/>
    <w:rsid w:val="4FC70334"/>
    <w:rsid w:val="4FD60C7C"/>
    <w:rsid w:val="4FDF1C67"/>
    <w:rsid w:val="4FED00F1"/>
    <w:rsid w:val="52D4703A"/>
    <w:rsid w:val="534230F9"/>
    <w:rsid w:val="54D163A0"/>
    <w:rsid w:val="555B5CD3"/>
    <w:rsid w:val="575B13D1"/>
    <w:rsid w:val="577B200D"/>
    <w:rsid w:val="57A53A3A"/>
    <w:rsid w:val="57BDDC82"/>
    <w:rsid w:val="57CB2923"/>
    <w:rsid w:val="57F1A517"/>
    <w:rsid w:val="5AFFEA09"/>
    <w:rsid w:val="5BFA5FBC"/>
    <w:rsid w:val="5C9E489B"/>
    <w:rsid w:val="5CC74388"/>
    <w:rsid w:val="5E0540D0"/>
    <w:rsid w:val="5E4907CD"/>
    <w:rsid w:val="5F7B3A23"/>
    <w:rsid w:val="5FE6D425"/>
    <w:rsid w:val="5FFF4665"/>
    <w:rsid w:val="5FFF4D2B"/>
    <w:rsid w:val="61DD6D44"/>
    <w:rsid w:val="63DF171E"/>
    <w:rsid w:val="63FF475F"/>
    <w:rsid w:val="65CF6D9C"/>
    <w:rsid w:val="65FFB26C"/>
    <w:rsid w:val="66023456"/>
    <w:rsid w:val="66325BC9"/>
    <w:rsid w:val="66B2626D"/>
    <w:rsid w:val="67282ECF"/>
    <w:rsid w:val="673FC0B4"/>
    <w:rsid w:val="67AB41B6"/>
    <w:rsid w:val="67FF2A03"/>
    <w:rsid w:val="67FFBC85"/>
    <w:rsid w:val="67FFD6B0"/>
    <w:rsid w:val="689C4C03"/>
    <w:rsid w:val="68F627D3"/>
    <w:rsid w:val="68FA2757"/>
    <w:rsid w:val="696DD54B"/>
    <w:rsid w:val="69F83E9D"/>
    <w:rsid w:val="69FD8E35"/>
    <w:rsid w:val="6A945E1B"/>
    <w:rsid w:val="6BA279B0"/>
    <w:rsid w:val="6BB87E7B"/>
    <w:rsid w:val="6BBBAF32"/>
    <w:rsid w:val="6D0E14DC"/>
    <w:rsid w:val="6EDF6131"/>
    <w:rsid w:val="6F6FCE94"/>
    <w:rsid w:val="6FA67D65"/>
    <w:rsid w:val="71AF4D28"/>
    <w:rsid w:val="730C532F"/>
    <w:rsid w:val="73B2774B"/>
    <w:rsid w:val="73BC2552"/>
    <w:rsid w:val="73F564A7"/>
    <w:rsid w:val="740B3C12"/>
    <w:rsid w:val="74E00729"/>
    <w:rsid w:val="75057978"/>
    <w:rsid w:val="75202347"/>
    <w:rsid w:val="7593147D"/>
    <w:rsid w:val="76246CC8"/>
    <w:rsid w:val="76BF1C19"/>
    <w:rsid w:val="76D75FC2"/>
    <w:rsid w:val="77887501"/>
    <w:rsid w:val="77DF9F9B"/>
    <w:rsid w:val="77E37BF6"/>
    <w:rsid w:val="77EFBFA0"/>
    <w:rsid w:val="78971D8D"/>
    <w:rsid w:val="78DBD678"/>
    <w:rsid w:val="78EA5C2B"/>
    <w:rsid w:val="79464C25"/>
    <w:rsid w:val="79516C02"/>
    <w:rsid w:val="79CB70EC"/>
    <w:rsid w:val="79EF92A3"/>
    <w:rsid w:val="7AEF50DD"/>
    <w:rsid w:val="7AFEEBE6"/>
    <w:rsid w:val="7AFF1FDA"/>
    <w:rsid w:val="7B9FEBE1"/>
    <w:rsid w:val="7BC16283"/>
    <w:rsid w:val="7BE61DA8"/>
    <w:rsid w:val="7BF77124"/>
    <w:rsid w:val="7C6619F8"/>
    <w:rsid w:val="7DAB5A58"/>
    <w:rsid w:val="7DC149D8"/>
    <w:rsid w:val="7DFF2D85"/>
    <w:rsid w:val="7E274B0C"/>
    <w:rsid w:val="7E9D50DC"/>
    <w:rsid w:val="7ECE4128"/>
    <w:rsid w:val="7EF5D8F9"/>
    <w:rsid w:val="7F3F9D27"/>
    <w:rsid w:val="7F77305C"/>
    <w:rsid w:val="7F77CFFA"/>
    <w:rsid w:val="7F7F6AAB"/>
    <w:rsid w:val="7F7FCEDB"/>
    <w:rsid w:val="7F972554"/>
    <w:rsid w:val="7FAAA59C"/>
    <w:rsid w:val="7FAF1A78"/>
    <w:rsid w:val="7FBB2204"/>
    <w:rsid w:val="7FBF3FE6"/>
    <w:rsid w:val="7FBF989F"/>
    <w:rsid w:val="7FC7A2FE"/>
    <w:rsid w:val="7FD92FCE"/>
    <w:rsid w:val="7FDE022A"/>
    <w:rsid w:val="7FDE0516"/>
    <w:rsid w:val="7FDEE165"/>
    <w:rsid w:val="7FF6324C"/>
    <w:rsid w:val="7FFB63B1"/>
    <w:rsid w:val="7FFBC323"/>
    <w:rsid w:val="85CF448D"/>
    <w:rsid w:val="89F22F62"/>
    <w:rsid w:val="8BE76863"/>
    <w:rsid w:val="95BD20E8"/>
    <w:rsid w:val="977CE3B0"/>
    <w:rsid w:val="A25F6545"/>
    <w:rsid w:val="A7C5467D"/>
    <w:rsid w:val="A7F588A4"/>
    <w:rsid w:val="A7FFCA4F"/>
    <w:rsid w:val="ABCFB818"/>
    <w:rsid w:val="ABFBF616"/>
    <w:rsid w:val="B33FEA55"/>
    <w:rsid w:val="B4D086C0"/>
    <w:rsid w:val="B6B96D14"/>
    <w:rsid w:val="B7DC3934"/>
    <w:rsid w:val="B7DEC1D9"/>
    <w:rsid w:val="B94ECF8A"/>
    <w:rsid w:val="B9AD008D"/>
    <w:rsid w:val="BA7B23C6"/>
    <w:rsid w:val="BBEE61D5"/>
    <w:rsid w:val="BDDF9733"/>
    <w:rsid w:val="BEDF9EA1"/>
    <w:rsid w:val="BF6903CB"/>
    <w:rsid w:val="BF73B3EC"/>
    <w:rsid w:val="BF77EBD6"/>
    <w:rsid w:val="BFBFF716"/>
    <w:rsid w:val="BFFFE9F5"/>
    <w:rsid w:val="BFFFEA05"/>
    <w:rsid w:val="C7BF155C"/>
    <w:rsid w:val="CFFF2247"/>
    <w:rsid w:val="D57E3121"/>
    <w:rsid w:val="D59F7A23"/>
    <w:rsid w:val="D5FE1140"/>
    <w:rsid w:val="D5FE71D0"/>
    <w:rsid w:val="D6FFFCC9"/>
    <w:rsid w:val="D7DFBA4A"/>
    <w:rsid w:val="DAFE6E58"/>
    <w:rsid w:val="DB6F01D6"/>
    <w:rsid w:val="DDF5BFEA"/>
    <w:rsid w:val="DDFF4777"/>
    <w:rsid w:val="DEDF704A"/>
    <w:rsid w:val="DF7B5856"/>
    <w:rsid w:val="DFDE77E3"/>
    <w:rsid w:val="DFFE471E"/>
    <w:rsid w:val="E5FB529B"/>
    <w:rsid w:val="E77B5ACF"/>
    <w:rsid w:val="E7BF51E1"/>
    <w:rsid w:val="E7FF09A6"/>
    <w:rsid w:val="E8FDFFC9"/>
    <w:rsid w:val="EBE72E78"/>
    <w:rsid w:val="EBF65BB7"/>
    <w:rsid w:val="EBFB0C7E"/>
    <w:rsid w:val="ECADF0FB"/>
    <w:rsid w:val="ED76D6E8"/>
    <w:rsid w:val="EDFD6938"/>
    <w:rsid w:val="EEFD9629"/>
    <w:rsid w:val="EEFF22F4"/>
    <w:rsid w:val="EFFF94FF"/>
    <w:rsid w:val="F15F95D9"/>
    <w:rsid w:val="F1FB3CF4"/>
    <w:rsid w:val="F3ED2EE8"/>
    <w:rsid w:val="F4E7F227"/>
    <w:rsid w:val="F52EA8C1"/>
    <w:rsid w:val="F586E40D"/>
    <w:rsid w:val="F5CFF2A7"/>
    <w:rsid w:val="F5DFD693"/>
    <w:rsid w:val="F5E72FFF"/>
    <w:rsid w:val="F5FFBA8A"/>
    <w:rsid w:val="F676AF9D"/>
    <w:rsid w:val="F76D36FF"/>
    <w:rsid w:val="F77DACB5"/>
    <w:rsid w:val="F77EDC06"/>
    <w:rsid w:val="F77F0E83"/>
    <w:rsid w:val="F9741810"/>
    <w:rsid w:val="F9D644EC"/>
    <w:rsid w:val="FB772F61"/>
    <w:rsid w:val="FB7F583B"/>
    <w:rsid w:val="FB7F6772"/>
    <w:rsid w:val="FBAF4E1A"/>
    <w:rsid w:val="FBF99447"/>
    <w:rsid w:val="FBFB024C"/>
    <w:rsid w:val="FD7FF06D"/>
    <w:rsid w:val="FDF93F7F"/>
    <w:rsid w:val="FE0D9249"/>
    <w:rsid w:val="FEBD9270"/>
    <w:rsid w:val="FEDD18BB"/>
    <w:rsid w:val="FF5787E3"/>
    <w:rsid w:val="FF5FC2EF"/>
    <w:rsid w:val="FF6AE40B"/>
    <w:rsid w:val="FF7E52F0"/>
    <w:rsid w:val="FF7F41D3"/>
    <w:rsid w:val="FF9B8B7D"/>
    <w:rsid w:val="FFB70055"/>
    <w:rsid w:val="FFCC5B6F"/>
    <w:rsid w:val="FFD68914"/>
    <w:rsid w:val="FFDAAAD9"/>
    <w:rsid w:val="FFDC6E9A"/>
    <w:rsid w:val="FFF1684B"/>
    <w:rsid w:val="FFF36292"/>
    <w:rsid w:val="FFF67C2D"/>
    <w:rsid w:val="FFFA9A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alloon Text"/>
    <w:basedOn w:val="1"/>
    <w:link w:val="22"/>
    <w:unhideWhenUsed/>
    <w:qFormat/>
    <w:uiPriority w:val="99"/>
    <w:rPr>
      <w:sz w:val="18"/>
      <w:szCs w:val="18"/>
    </w:rPr>
  </w:style>
  <w:style w:type="paragraph" w:styleId="5">
    <w:name w:val="footer"/>
    <w:basedOn w:val="1"/>
    <w:link w:val="20"/>
    <w:unhideWhenUsed/>
    <w:qFormat/>
    <w:uiPriority w:val="99"/>
    <w:pPr>
      <w:tabs>
        <w:tab w:val="center" w:pos="4153"/>
        <w:tab w:val="right" w:pos="8306"/>
      </w:tabs>
      <w:snapToGrid w:val="0"/>
      <w:jc w:val="left"/>
    </w:pPr>
    <w:rPr>
      <w:sz w:val="18"/>
      <w:szCs w:val="18"/>
    </w:rPr>
  </w:style>
  <w:style w:type="paragraph" w:styleId="6">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0063C8"/>
      <w:u w:val="none"/>
    </w:rPr>
  </w:style>
  <w:style w:type="character" w:styleId="12">
    <w:name w:val="Emphasis"/>
    <w:basedOn w:val="9"/>
    <w:qFormat/>
    <w:uiPriority w:val="20"/>
  </w:style>
  <w:style w:type="character" w:styleId="13">
    <w:name w:val="HTML Definition"/>
    <w:basedOn w:val="9"/>
    <w:semiHidden/>
    <w:unhideWhenUsed/>
    <w:qFormat/>
    <w:uiPriority w:val="99"/>
  </w:style>
  <w:style w:type="character" w:styleId="14">
    <w:name w:val="HTML Acronym"/>
    <w:basedOn w:val="9"/>
    <w:semiHidden/>
    <w:unhideWhenUsed/>
    <w:qFormat/>
    <w:uiPriority w:val="99"/>
  </w:style>
  <w:style w:type="character" w:styleId="15">
    <w:name w:val="HTML Variable"/>
    <w:basedOn w:val="9"/>
    <w:semiHidden/>
    <w:unhideWhenUsed/>
    <w:qFormat/>
    <w:uiPriority w:val="99"/>
  </w:style>
  <w:style w:type="character" w:styleId="16">
    <w:name w:val="Hyperlink"/>
    <w:basedOn w:val="9"/>
    <w:unhideWhenUsed/>
    <w:qFormat/>
    <w:uiPriority w:val="99"/>
    <w:rPr>
      <w:color w:val="0063C8"/>
      <w:u w:val="none"/>
    </w:rPr>
  </w:style>
  <w:style w:type="character" w:styleId="17">
    <w:name w:val="HTML Code"/>
    <w:basedOn w:val="9"/>
    <w:semiHidden/>
    <w:unhideWhenUsed/>
    <w:qFormat/>
    <w:uiPriority w:val="99"/>
    <w:rPr>
      <w:rFonts w:ascii="Courier New" w:hAnsi="Courier New"/>
      <w:sz w:val="20"/>
    </w:rPr>
  </w:style>
  <w:style w:type="character" w:styleId="18">
    <w:name w:val="HTML Cite"/>
    <w:basedOn w:val="9"/>
    <w:semiHidden/>
    <w:unhideWhenUsed/>
    <w:qFormat/>
    <w:uiPriority w:val="99"/>
  </w:style>
  <w:style w:type="character" w:customStyle="1" w:styleId="19">
    <w:name w:val="页眉 字符"/>
    <w:basedOn w:val="9"/>
    <w:link w:val="6"/>
    <w:qFormat/>
    <w:uiPriority w:val="99"/>
    <w:rPr>
      <w:sz w:val="18"/>
      <w:szCs w:val="18"/>
    </w:rPr>
  </w:style>
  <w:style w:type="character" w:customStyle="1" w:styleId="20">
    <w:name w:val="页脚 字符"/>
    <w:basedOn w:val="9"/>
    <w:link w:val="5"/>
    <w:qFormat/>
    <w:uiPriority w:val="99"/>
    <w:rPr>
      <w:sz w:val="18"/>
      <w:szCs w:val="18"/>
    </w:rPr>
  </w:style>
  <w:style w:type="paragraph" w:styleId="21">
    <w:name w:val="List Paragraph"/>
    <w:basedOn w:val="1"/>
    <w:qFormat/>
    <w:uiPriority w:val="34"/>
    <w:pPr>
      <w:ind w:firstLine="420" w:firstLineChars="200"/>
    </w:pPr>
  </w:style>
  <w:style w:type="character" w:customStyle="1" w:styleId="22">
    <w:name w:val="批注框文本 字符"/>
    <w:basedOn w:val="9"/>
    <w:link w:val="4"/>
    <w:semiHidden/>
    <w:qFormat/>
    <w:uiPriority w:val="99"/>
    <w:rPr>
      <w:sz w:val="18"/>
      <w:szCs w:val="18"/>
    </w:rPr>
  </w:style>
  <w:style w:type="character" w:customStyle="1" w:styleId="23">
    <w:name w:val="mr-prof"/>
    <w:basedOn w:val="9"/>
    <w:qFormat/>
    <w:uiPriority w:val="0"/>
  </w:style>
  <w:style w:type="character" w:customStyle="1" w:styleId="24">
    <w:name w:val="btn-task-gray2"/>
    <w:basedOn w:val="9"/>
    <w:qFormat/>
    <w:uiPriority w:val="0"/>
    <w:rPr>
      <w:color w:val="FFFFFF"/>
      <w:u w:val="none"/>
      <w:shd w:val="clear" w:color="auto" w:fill="CCCCCC"/>
    </w:rPr>
  </w:style>
  <w:style w:type="character" w:customStyle="1" w:styleId="25">
    <w:name w:val="hover37"/>
    <w:basedOn w:val="9"/>
    <w:qFormat/>
    <w:uiPriority w:val="0"/>
    <w:rPr>
      <w:color w:val="3EAF0E"/>
    </w:rPr>
  </w:style>
  <w:style w:type="character" w:customStyle="1" w:styleId="26">
    <w:name w:val="s16"/>
    <w:basedOn w:val="9"/>
    <w:qFormat/>
    <w:uiPriority w:val="0"/>
    <w:rPr>
      <w:color w:val="DDDDDD"/>
      <w:sz w:val="14"/>
      <w:szCs w:val="1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http://sdwm.org</Company>
  <Pages>3</Pages>
  <Words>698</Words>
  <Characters>765</Characters>
  <Lines>22</Lines>
  <Paragraphs>6</Paragraphs>
  <TotalTime>55</TotalTime>
  <ScaleCrop>false</ScaleCrop>
  <LinksUpToDate>false</LinksUpToDate>
  <CharactersWithSpaces>774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2019-05-20T20:31:00Z</dcterms:created>
  <dc:creator>SDWM</dc:creator>
  <cp:lastModifiedBy>魏立慧</cp:lastModifiedBy>
  <cp:lastPrinted>2016-10-13T18:58:00Z</cp:lastPrinted>
  <dcterms:modified xsi:type="dcterms:W3CDTF">2026-09-01T18:10:54Z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F46EFFB5EC0D4DB5A641BE2063BCF22F</vt:lpwstr>
  </property>
</Properties>
</file>