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904D3">
      <w:pPr>
        <w:keepNext w:val="0"/>
        <w:keepLines w:val="0"/>
        <w:pageBreakBefore w:val="0"/>
        <w:widowControl w:val="0"/>
        <w:numPr>
          <w:ilvl w:val="0"/>
          <w:numId w:val="0"/>
        </w:numPr>
        <w:kinsoku/>
        <w:wordWrap/>
        <w:overflowPunct/>
        <w:topLinePunct w:val="0"/>
        <w:autoSpaceDE/>
        <w:autoSpaceDN/>
        <w:bidi w:val="0"/>
        <w:spacing w:line="594" w:lineRule="exact"/>
        <w:ind w:leftChars="0" w:firstLine="0" w:firstLineChars="0"/>
        <w:textAlignment w:val="auto"/>
        <w:outlineLvl w:val="0"/>
        <w:rPr>
          <w:rFonts w:hint="default" w:ascii="Times New Roman" w:hAnsi="Times New Roman" w:eastAsia="黑体" w:cs="Times New Roman"/>
          <w:sz w:val="32"/>
          <w:szCs w:val="48"/>
          <w:highlight w:val="none"/>
          <w:lang w:val="en-US" w:eastAsia="zh-CN"/>
        </w:rPr>
      </w:pPr>
      <w:r>
        <w:rPr>
          <w:rFonts w:hint="eastAsia" w:ascii="Times New Roman" w:hAnsi="Times New Roman" w:eastAsia="黑体" w:cs="Times New Roman"/>
          <w:sz w:val="32"/>
          <w:szCs w:val="48"/>
          <w:highlight w:val="none"/>
          <w:lang w:eastAsia="zh-CN"/>
        </w:rPr>
        <w:t>附件</w:t>
      </w:r>
      <w:r>
        <w:rPr>
          <w:rFonts w:hint="eastAsia" w:ascii="Times New Roman" w:hAnsi="Times New Roman" w:eastAsia="黑体" w:cs="Times New Roman"/>
          <w:sz w:val="32"/>
          <w:szCs w:val="48"/>
          <w:highlight w:val="none"/>
          <w:lang w:val="en-US" w:eastAsia="zh-CN"/>
        </w:rPr>
        <w:t>3</w:t>
      </w:r>
    </w:p>
    <w:p w14:paraId="36A3AFCC">
      <w:pPr>
        <w:keepNext w:val="0"/>
        <w:keepLines w:val="0"/>
        <w:pageBreakBefore w:val="0"/>
        <w:widowControl w:val="0"/>
        <w:kinsoku/>
        <w:wordWrap/>
        <w:overflowPunct/>
        <w:topLinePunct w:val="0"/>
        <w:autoSpaceDE/>
        <w:autoSpaceDN/>
        <w:bidi w:val="0"/>
        <w:adjustRightInd/>
        <w:snapToGrid/>
        <w:spacing w:before="157" w:beforeLines="50" w:after="291" w:afterLines="50" w:line="560" w:lineRule="exact"/>
        <w:jc w:val="center"/>
        <w:textAlignment w:val="auto"/>
        <w:outlineLvl w:val="1"/>
        <w:rPr>
          <w:rFonts w:hint="eastAsia"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关于部分抽检项目</w:t>
      </w:r>
      <w:r>
        <w:rPr>
          <w:rFonts w:hint="eastAsia" w:ascii="Times New Roman" w:hAnsi="Times New Roman" w:eastAsia="方正小标宋简体" w:cs="Times New Roman"/>
          <w:sz w:val="44"/>
          <w:szCs w:val="44"/>
          <w:highlight w:val="none"/>
          <w:lang w:eastAsia="zh-CN"/>
        </w:rPr>
        <w:t>小知识</w:t>
      </w:r>
    </w:p>
    <w:p w14:paraId="09846ADB">
      <w:pPr>
        <w:keepNext w:val="0"/>
        <w:keepLines w:val="0"/>
        <w:pageBreakBefore w:val="0"/>
        <w:widowControl w:val="0"/>
        <w:numPr>
          <w:ilvl w:val="0"/>
          <w:numId w:val="1"/>
        </w:numPr>
        <w:kinsoku/>
        <w:wordWrap/>
        <w:overflowPunct/>
        <w:topLinePunct w:val="0"/>
        <w:autoSpaceDE/>
        <w:autoSpaceDN/>
        <w:bidi w:val="0"/>
        <w:adjustRightInd/>
        <w:snapToGrid w:val="0"/>
        <w:spacing w:line="594" w:lineRule="exact"/>
        <w:ind w:left="0" w:leftChars="0" w:firstLine="640" w:firstLineChars="200"/>
        <w:textAlignment w:val="auto"/>
        <w:outlineLvl w:val="9"/>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蛋白质</w:t>
      </w:r>
    </w:p>
    <w:p w14:paraId="7553CE43">
      <w:pPr>
        <w:pStyle w:val="2"/>
        <w:keepNext w:val="0"/>
        <w:keepLines w:val="0"/>
        <w:pageBreakBefore w:val="0"/>
        <w:widowControl w:val="0"/>
        <w:kinsoku/>
        <w:wordWrap/>
        <w:overflowPunct/>
        <w:topLinePunct w:val="0"/>
        <w:autoSpaceDE/>
        <w:autoSpaceDN/>
        <w:bidi w:val="0"/>
        <w:snapToGrid w:val="0"/>
        <w:spacing w:after="0" w:line="594" w:lineRule="exact"/>
        <w:ind w:left="0" w:firstLine="640" w:firstLineChars="200"/>
        <w:textAlignment w:val="auto"/>
        <w:rPr>
          <w:rFonts w:hint="eastAsia"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sz w:val="32"/>
          <w:szCs w:val="32"/>
          <w:lang w:val="en-US" w:eastAsia="zh-CN"/>
        </w:rPr>
        <w:t>蛋白质是构成机体组织、器官的重要成分，是构成机体多种重要生理活性物质的成分，还能供给能量。蛋白质的食物来源可分为植物性和动物性两大类，一般而言，动物蛋白质的营养价值优于植物蛋白质。按《火腿肠质量通则》（GB/T 20712—2022）中规定，普通级火腿肠的蛋白质含量不得低于10.0g/100g。蛋白质不达标原因可能是原辅料质量控制不严；生产加工过程中搅拌不均匀。</w:t>
      </w:r>
    </w:p>
    <w:p w14:paraId="552B2D10">
      <w:pPr>
        <w:keepNext w:val="0"/>
        <w:keepLines w:val="0"/>
        <w:pageBreakBefore w:val="0"/>
        <w:widowControl w:val="0"/>
        <w:kinsoku/>
        <w:wordWrap/>
        <w:overflowPunct/>
        <w:topLinePunct w:val="0"/>
        <w:autoSpaceDE/>
        <w:autoSpaceDN/>
        <w:bidi w:val="0"/>
        <w:snapToGrid w:val="0"/>
        <w:spacing w:line="594" w:lineRule="exact"/>
        <w:ind w:left="0" w:firstLine="420" w:firstLineChars="200"/>
        <w:textAlignment w:val="auto"/>
        <w:rPr>
          <w:rFonts w:hint="eastAsia"/>
          <w:lang w:val="en-US" w:eastAsia="zh-CN"/>
        </w:rPr>
      </w:pPr>
    </w:p>
    <w:p w14:paraId="7C892818">
      <w:pPr>
        <w:keepNext w:val="0"/>
        <w:keepLines w:val="0"/>
        <w:pageBreakBefore w:val="0"/>
        <w:widowControl w:val="0"/>
        <w:numPr>
          <w:ilvl w:val="0"/>
          <w:numId w:val="1"/>
        </w:numPr>
        <w:kinsoku/>
        <w:wordWrap/>
        <w:overflowPunct/>
        <w:topLinePunct w:val="0"/>
        <w:autoSpaceDE/>
        <w:autoSpaceDN/>
        <w:bidi w:val="0"/>
        <w:adjustRightInd/>
        <w:snapToGrid w:val="0"/>
        <w:spacing w:line="594" w:lineRule="exact"/>
        <w:ind w:left="0" w:leftChars="0" w:firstLine="640" w:firstLineChars="200"/>
        <w:textAlignment w:val="auto"/>
        <w:outlineLvl w:val="9"/>
        <w:rPr>
          <w:rFonts w:hint="eastAsia" w:ascii="黑体" w:hAnsi="黑体" w:eastAsia="黑体" w:cs="黑体"/>
          <w:spacing w:val="0"/>
          <w:sz w:val="32"/>
          <w:szCs w:val="32"/>
          <w:lang w:val="en-GB" w:eastAsia="zh-CN"/>
        </w:rPr>
      </w:pPr>
      <w:r>
        <w:rPr>
          <w:rFonts w:hint="eastAsia" w:ascii="黑体" w:hAnsi="黑体" w:eastAsia="黑体" w:cs="黑体"/>
          <w:spacing w:val="0"/>
          <w:sz w:val="32"/>
          <w:szCs w:val="32"/>
          <w:lang w:val="en-GB" w:eastAsia="zh-CN"/>
        </w:rPr>
        <w:t>山梨酸及其钾盐（以山梨酸计）</w:t>
      </w:r>
    </w:p>
    <w:p w14:paraId="016E6817">
      <w:pPr>
        <w:keepNext w:val="0"/>
        <w:keepLines w:val="0"/>
        <w:pageBreakBefore w:val="0"/>
        <w:widowControl w:val="0"/>
        <w:kinsoku/>
        <w:wordWrap/>
        <w:overflowPunct/>
        <w:topLinePunct w:val="0"/>
        <w:autoSpaceDE/>
        <w:autoSpaceDN/>
        <w:bidi w:val="0"/>
        <w:snapToGrid w:val="0"/>
        <w:spacing w:line="594" w:lineRule="exact"/>
        <w:ind w:left="0" w:firstLine="640" w:firstLineChars="200"/>
        <w:textAlignment w:val="auto"/>
        <w:outlineLvl w:val="9"/>
        <w:rPr>
          <w:rFonts w:hint="eastAsia" w:ascii="Times New Roman" w:hAnsi="Times New Roman" w:eastAsia="仿宋_GB2312" w:cs="Times New Roman"/>
          <w:bCs/>
          <w:kern w:val="2"/>
          <w:sz w:val="32"/>
          <w:szCs w:val="32"/>
          <w:lang w:val="en-US" w:eastAsia="zh-CN" w:bidi="ar"/>
        </w:rPr>
      </w:pPr>
      <w:r>
        <w:rPr>
          <w:rFonts w:ascii="Times New Roman" w:hAnsi="Times New Roman" w:eastAsia="仿宋_GB2312" w:cs="Times New Roman"/>
          <w:sz w:val="32"/>
          <w:szCs w:val="32"/>
        </w:rPr>
        <w:t>山梨酸及其钾盐为酸性防腐剂，具有较好的抑菌效果，对霉菌、酵母菌和好气性细菌的生长发育均有抑制作用</w:t>
      </w:r>
      <w:r>
        <w:rPr>
          <w:rFonts w:hint="eastAsia" w:ascii="Times New Roman" w:hAnsi="Times New Roman" w:eastAsia="仿宋_GB2312" w:cs="Times New Roman"/>
          <w:bCs/>
          <w:kern w:val="2"/>
          <w:sz w:val="32"/>
          <w:szCs w:val="32"/>
          <w:lang w:val="en-US" w:eastAsia="zh-CN" w:bidi="ar"/>
        </w:rPr>
        <w:t>。《食品安全国家标准</w:t>
      </w:r>
      <w:r>
        <w:rPr>
          <w:rFonts w:hint="eastAsia" w:eastAsia="仿宋_GB2312" w:cs="Times New Roman"/>
          <w:bCs/>
          <w:kern w:val="2"/>
          <w:sz w:val="32"/>
          <w:szCs w:val="32"/>
          <w:lang w:val="en-US" w:eastAsia="zh-CN" w:bidi="ar"/>
        </w:rPr>
        <w:t xml:space="preserve"> </w:t>
      </w:r>
      <w:r>
        <w:rPr>
          <w:rFonts w:hint="eastAsia" w:ascii="Times New Roman" w:hAnsi="Times New Roman" w:eastAsia="仿宋_GB2312" w:cs="Times New Roman"/>
          <w:bCs/>
          <w:kern w:val="2"/>
          <w:sz w:val="32"/>
          <w:szCs w:val="32"/>
          <w:lang w:val="en-US" w:eastAsia="zh-CN" w:bidi="ar"/>
        </w:rPr>
        <w:t>食品添加剂使用标准》（GB2760—2024）中规定，山梨酸及其钾盐（以山梨酸计）在</w:t>
      </w:r>
      <w:r>
        <w:rPr>
          <w:rFonts w:hint="eastAsia" w:eastAsia="仿宋_GB2312" w:cs="Times New Roman"/>
          <w:bCs/>
          <w:kern w:val="2"/>
          <w:sz w:val="32"/>
          <w:szCs w:val="32"/>
          <w:lang w:val="en-US" w:eastAsia="zh-CN" w:bidi="ar"/>
        </w:rPr>
        <w:t>配制酒</w:t>
      </w:r>
      <w:r>
        <w:rPr>
          <w:rFonts w:hint="eastAsia" w:ascii="Times New Roman" w:hAnsi="Times New Roman" w:eastAsia="仿宋_GB2312" w:cs="Times New Roman"/>
          <w:bCs/>
          <w:kern w:val="2"/>
          <w:sz w:val="32"/>
          <w:szCs w:val="32"/>
          <w:lang w:val="en-US" w:eastAsia="zh-CN" w:bidi="ar"/>
        </w:rPr>
        <w:t>中最大限量值为0.4g/kg</w:t>
      </w:r>
      <w:r>
        <w:rPr>
          <w:rFonts w:hint="eastAsia" w:eastAsia="仿宋_GB2312" w:cs="Times New Roman"/>
          <w:bCs/>
          <w:kern w:val="2"/>
          <w:sz w:val="32"/>
          <w:szCs w:val="32"/>
          <w:lang w:val="en-US" w:eastAsia="zh-CN" w:bidi="ar"/>
        </w:rPr>
        <w:t>，在方便食品中不得使用</w:t>
      </w:r>
      <w:r>
        <w:rPr>
          <w:rFonts w:hint="eastAsia" w:ascii="Times New Roman" w:hAnsi="Times New Roman" w:eastAsia="仿宋_GB2312" w:cs="Times New Roman"/>
          <w:bCs/>
          <w:kern w:val="2"/>
          <w:sz w:val="32"/>
          <w:szCs w:val="32"/>
          <w:lang w:val="en-US" w:eastAsia="zh-CN" w:bidi="ar"/>
        </w:rPr>
        <w:t>。</w:t>
      </w:r>
      <w:r>
        <w:rPr>
          <w:rFonts w:ascii="Times New Roman" w:hAnsi="Times New Roman" w:eastAsia="仿宋_GB2312" w:cs="Times New Roman"/>
          <w:sz w:val="32"/>
          <w:szCs w:val="32"/>
        </w:rPr>
        <w:t>山梨酸及其钾盐</w:t>
      </w:r>
      <w:r>
        <w:rPr>
          <w:rFonts w:hint="eastAsia" w:ascii="Times New Roman" w:hAnsi="Times New Roman" w:eastAsia="仿宋_GB2312" w:cs="Times New Roman"/>
          <w:bCs/>
          <w:kern w:val="2"/>
          <w:sz w:val="32"/>
          <w:szCs w:val="32"/>
          <w:lang w:val="en-US" w:eastAsia="zh-CN" w:bidi="ar"/>
        </w:rPr>
        <w:t>不符合标准的原因可能是生产经营企业为延长产品保质期，或者弥补产品生产过程卫生条件不佳而超限量、超范围使用，或者未准确计量。</w:t>
      </w:r>
    </w:p>
    <w:p w14:paraId="72CC96F1">
      <w:pPr>
        <w:keepNext w:val="0"/>
        <w:keepLines w:val="0"/>
        <w:pageBreakBefore w:val="0"/>
        <w:widowControl w:val="0"/>
        <w:kinsoku/>
        <w:wordWrap/>
        <w:overflowPunct/>
        <w:topLinePunct w:val="0"/>
        <w:autoSpaceDE/>
        <w:autoSpaceDN/>
        <w:bidi w:val="0"/>
        <w:snapToGrid w:val="0"/>
        <w:spacing w:line="594" w:lineRule="exact"/>
        <w:ind w:left="0" w:firstLine="640" w:firstLineChars="200"/>
        <w:textAlignment w:val="auto"/>
        <w:outlineLvl w:val="9"/>
        <w:rPr>
          <w:rFonts w:hint="eastAsia" w:ascii="Times New Roman" w:hAnsi="Times New Roman" w:eastAsia="仿宋_GB2312" w:cs="Times New Roman"/>
          <w:b w:val="0"/>
          <w:bCs w:val="0"/>
          <w:kern w:val="2"/>
          <w:sz w:val="32"/>
          <w:szCs w:val="32"/>
          <w:highlight w:val="none"/>
          <w:lang w:val="en-US" w:eastAsia="zh-CN" w:bidi="ar-SA"/>
        </w:rPr>
      </w:pPr>
    </w:p>
    <w:p w14:paraId="0E44AF52">
      <w:pPr>
        <w:keepNext w:val="0"/>
        <w:keepLines w:val="0"/>
        <w:pageBreakBefore w:val="0"/>
        <w:widowControl w:val="0"/>
        <w:numPr>
          <w:ilvl w:val="0"/>
          <w:numId w:val="1"/>
        </w:numPr>
        <w:kinsoku/>
        <w:wordWrap/>
        <w:overflowPunct/>
        <w:topLinePunct w:val="0"/>
        <w:autoSpaceDE/>
        <w:autoSpaceDN/>
        <w:bidi w:val="0"/>
        <w:adjustRightInd/>
        <w:snapToGrid w:val="0"/>
        <w:spacing w:line="594" w:lineRule="exact"/>
        <w:ind w:left="0" w:leftChars="0" w:firstLine="640" w:firstLineChars="200"/>
        <w:textAlignment w:val="auto"/>
        <w:outlineLvl w:val="9"/>
        <w:rPr>
          <w:rFonts w:hint="default" w:ascii="黑体" w:hAnsi="黑体" w:eastAsia="黑体" w:cs="黑体"/>
          <w:spacing w:val="0"/>
          <w:sz w:val="32"/>
          <w:szCs w:val="32"/>
          <w:lang w:val="en-GB" w:eastAsia="zh-CN"/>
        </w:rPr>
      </w:pPr>
      <w:r>
        <w:rPr>
          <w:rFonts w:hint="default" w:ascii="黑体" w:hAnsi="黑体" w:eastAsia="黑体" w:cs="黑体"/>
          <w:spacing w:val="0"/>
          <w:sz w:val="32"/>
          <w:szCs w:val="32"/>
          <w:lang w:val="en-GB" w:eastAsia="zh-CN"/>
        </w:rPr>
        <w:t>氯氟氰菊酯和高效氯氟氰菊酯</w:t>
      </w:r>
    </w:p>
    <w:p w14:paraId="591FAEB4">
      <w:pPr>
        <w:keepNext w:val="0"/>
        <w:keepLines w:val="0"/>
        <w:pageBreakBefore w:val="0"/>
        <w:widowControl w:val="0"/>
        <w:kinsoku/>
        <w:wordWrap/>
        <w:overflowPunct/>
        <w:topLinePunct w:val="0"/>
        <w:autoSpaceDE/>
        <w:autoSpaceDN/>
        <w:bidi w:val="0"/>
        <w:snapToGrid w:val="0"/>
        <w:spacing w:line="594" w:lineRule="exact"/>
        <w:ind w:left="0" w:firstLine="640" w:firstLineChars="200"/>
        <w:textAlignment w:val="auto"/>
        <w:outlineLvl w:val="9"/>
        <w:rPr>
          <w:rFonts w:hint="default"/>
          <w:lang w:val="en-US" w:eastAsia="zh-CN"/>
        </w:rPr>
      </w:pPr>
      <w:r>
        <w:rPr>
          <w:rFonts w:hint="eastAsia" w:ascii="Times New Roman" w:hAnsi="Times New Roman" w:eastAsia="仿宋_GB2312" w:cs="Times New Roman"/>
          <w:bCs/>
          <w:kern w:val="2"/>
          <w:sz w:val="32"/>
          <w:szCs w:val="32"/>
          <w:lang w:val="en-US" w:eastAsia="zh-CN" w:bidi="ar"/>
        </w:rPr>
        <w:t>氯氟氰菊酯和高效氯氟氰菊酯是一种广谱、高效拟除虫菊酯类杀虫剂，以触杀和胃毒作用为主，无内吸作用，被广泛用于农林业和卫生害虫的防治。</w:t>
      </w:r>
      <w:r>
        <w:rPr>
          <w:rFonts w:hint="eastAsia" w:eastAsia="仿宋_GB2312" w:cs="Times New Roman"/>
          <w:bCs/>
          <w:kern w:val="2"/>
          <w:sz w:val="32"/>
          <w:szCs w:val="32"/>
          <w:lang w:val="en-US" w:eastAsia="zh-CN" w:bidi="ar"/>
        </w:rPr>
        <w:t>《食品安全国家标准 食品中农药最大残留限量》</w:t>
      </w:r>
      <w:r>
        <w:rPr>
          <w:rFonts w:hint="default" w:ascii="Times New Roman" w:hAnsi="Times New Roman" w:eastAsia="仿宋_GB2312" w:cs="Times New Roman"/>
          <w:bCs/>
          <w:kern w:val="2"/>
          <w:sz w:val="32"/>
          <w:szCs w:val="32"/>
          <w:lang w:val="en-US" w:eastAsia="zh-CN" w:bidi="ar"/>
        </w:rPr>
        <w:t>（GB 2763</w:t>
      </w:r>
      <w:r>
        <w:rPr>
          <w:rFonts w:hint="eastAsia" w:ascii="Times New Roman" w:hAnsi="Times New Roman" w:eastAsia="仿宋_GB2312" w:cs="Times New Roman"/>
          <w:bCs/>
          <w:kern w:val="2"/>
          <w:sz w:val="32"/>
          <w:szCs w:val="32"/>
          <w:lang w:val="en-US" w:eastAsia="zh-CN" w:bidi="ar"/>
        </w:rPr>
        <w:t>—</w:t>
      </w:r>
      <w:r>
        <w:rPr>
          <w:rFonts w:hint="default" w:ascii="Times New Roman" w:hAnsi="Times New Roman" w:eastAsia="仿宋_GB2312" w:cs="Times New Roman"/>
          <w:bCs/>
          <w:kern w:val="2"/>
          <w:sz w:val="32"/>
          <w:szCs w:val="32"/>
          <w:lang w:val="en-US" w:eastAsia="zh-CN" w:bidi="ar"/>
        </w:rPr>
        <w:t>2021</w:t>
      </w:r>
      <w:r>
        <w:rPr>
          <w:rFonts w:hint="eastAsia" w:eastAsia="仿宋_GB2312" w:cs="Times New Roman"/>
          <w:bCs/>
          <w:kern w:val="2"/>
          <w:sz w:val="32"/>
          <w:szCs w:val="32"/>
          <w:lang w:val="en-US" w:eastAsia="zh-CN" w:bidi="ar"/>
        </w:rPr>
        <w:t>）</w:t>
      </w:r>
      <w:r>
        <w:rPr>
          <w:rFonts w:hint="default" w:ascii="Times New Roman" w:hAnsi="Times New Roman" w:eastAsia="仿宋_GB2312" w:cs="Times New Roman"/>
          <w:bCs/>
          <w:kern w:val="2"/>
          <w:sz w:val="32"/>
          <w:szCs w:val="32"/>
          <w:lang w:val="en-US" w:eastAsia="zh-CN" w:bidi="ar"/>
        </w:rPr>
        <w:t>中规定，</w:t>
      </w:r>
      <w:r>
        <w:rPr>
          <w:rFonts w:hint="eastAsia" w:ascii="Times New Roman" w:hAnsi="Times New Roman" w:eastAsia="仿宋_GB2312" w:cs="Times New Roman"/>
          <w:bCs/>
          <w:kern w:val="2"/>
          <w:sz w:val="32"/>
          <w:szCs w:val="32"/>
          <w:lang w:val="en-US" w:eastAsia="zh-CN" w:bidi="ar"/>
        </w:rPr>
        <w:t>氯氟氰菊酯在红薯中的最大残留限量值为0.01mg/kg。氯氰菊酯和高效氯氰菊酯超标的原因，可能是种植户对使用农药的安全间隔期不了解，从而违规使用农药。</w:t>
      </w:r>
    </w:p>
    <w:p w14:paraId="40B734F5">
      <w:pPr>
        <w:keepNext w:val="0"/>
        <w:keepLines w:val="0"/>
        <w:pageBreakBefore w:val="0"/>
        <w:widowControl w:val="0"/>
        <w:numPr>
          <w:ilvl w:val="0"/>
          <w:numId w:val="0"/>
        </w:numPr>
        <w:kinsoku/>
        <w:wordWrap/>
        <w:overflowPunct/>
        <w:topLinePunct w:val="0"/>
        <w:autoSpaceDE/>
        <w:autoSpaceDN/>
        <w:bidi w:val="0"/>
        <w:adjustRightInd/>
        <w:snapToGrid w:val="0"/>
        <w:spacing w:line="594" w:lineRule="exact"/>
        <w:ind w:left="0" w:firstLine="640" w:firstLineChars="200"/>
        <w:textAlignment w:val="auto"/>
        <w:outlineLvl w:val="9"/>
        <w:rPr>
          <w:rFonts w:hint="eastAsia" w:ascii="Times New Roman" w:hAnsi="Times New Roman" w:eastAsia="方正仿宋_GBK" w:cs="Times New Roman"/>
          <w:kern w:val="2"/>
          <w:sz w:val="32"/>
          <w:szCs w:val="22"/>
          <w:highlight w:val="none"/>
          <w:u w:val="none"/>
          <w:lang w:val="en-US" w:eastAsia="zh-CN" w:bidi="ar-SA"/>
        </w:rPr>
      </w:pPr>
    </w:p>
    <w:p w14:paraId="2C3293B2">
      <w:pPr>
        <w:keepNext w:val="0"/>
        <w:keepLines w:val="0"/>
        <w:pageBreakBefore w:val="0"/>
        <w:widowControl w:val="0"/>
        <w:numPr>
          <w:ilvl w:val="0"/>
          <w:numId w:val="1"/>
        </w:numPr>
        <w:kinsoku/>
        <w:wordWrap/>
        <w:overflowPunct/>
        <w:topLinePunct w:val="0"/>
        <w:autoSpaceDE/>
        <w:autoSpaceDN/>
        <w:bidi w:val="0"/>
        <w:adjustRightInd/>
        <w:snapToGrid w:val="0"/>
        <w:spacing w:line="594" w:lineRule="exact"/>
        <w:ind w:left="0" w:leftChars="0" w:firstLine="640" w:firstLineChars="200"/>
        <w:textAlignment w:val="auto"/>
        <w:outlineLvl w:val="9"/>
        <w:rPr>
          <w:rFonts w:hint="eastAsia" w:ascii="黑体" w:hAnsi="黑体" w:eastAsia="黑体" w:cs="黑体"/>
          <w:spacing w:val="0"/>
          <w:sz w:val="32"/>
          <w:szCs w:val="32"/>
          <w:lang w:val="en-GB" w:eastAsia="zh-CN"/>
        </w:rPr>
      </w:pPr>
      <w:r>
        <w:rPr>
          <w:rFonts w:hint="eastAsia" w:ascii="黑体" w:hAnsi="黑体" w:eastAsia="黑体" w:cs="黑体"/>
          <w:spacing w:val="0"/>
          <w:sz w:val="32"/>
          <w:szCs w:val="32"/>
          <w:lang w:val="en-GB" w:eastAsia="zh-CN"/>
        </w:rPr>
        <w:t>苯并[a]芘</w:t>
      </w:r>
    </w:p>
    <w:p w14:paraId="3C5BC602">
      <w:pPr>
        <w:pStyle w:val="2"/>
        <w:keepNext w:val="0"/>
        <w:keepLines w:val="0"/>
        <w:pageBreakBefore w:val="0"/>
        <w:widowControl w:val="0"/>
        <w:kinsoku/>
        <w:wordWrap/>
        <w:overflowPunct/>
        <w:topLinePunct w:val="0"/>
        <w:autoSpaceDE/>
        <w:autoSpaceDN/>
        <w:bidi w:val="0"/>
        <w:snapToGrid w:val="0"/>
        <w:spacing w:after="0" w:line="594" w:lineRule="exact"/>
        <w:ind w:left="0" w:firstLine="640" w:firstLineChars="200"/>
        <w:textAlignment w:val="auto"/>
        <w:rPr>
          <w:rFonts w:hint="eastAsia" w:ascii="Times New Roman" w:hAnsi="Times New Roman" w:eastAsia="仿宋_GB2312" w:cs="Times New Roman"/>
          <w:bCs/>
          <w:kern w:val="2"/>
          <w:sz w:val="32"/>
          <w:szCs w:val="32"/>
          <w:lang w:val="en-GB" w:eastAsia="zh-CN" w:bidi="ar"/>
        </w:rPr>
      </w:pPr>
      <w:r>
        <w:rPr>
          <w:rFonts w:hint="eastAsia" w:ascii="Times New Roman" w:hAnsi="Times New Roman" w:eastAsia="仿宋_GB2312" w:cs="Times New Roman"/>
          <w:sz w:val="32"/>
          <w:szCs w:val="32"/>
        </w:rPr>
        <w:t>苯并［a］芘是持久性有机污染物多环芳烃化合物的一种</w:t>
      </w:r>
      <w:r>
        <w:rPr>
          <w:rFonts w:hint="eastAsia" w:ascii="Times New Roman" w:hAnsi="Times New Roman" w:eastAsia="仿宋_GB2312" w:cs="Times New Roman"/>
          <w:bCs/>
          <w:kern w:val="2"/>
          <w:sz w:val="32"/>
          <w:szCs w:val="32"/>
          <w:lang w:val="en-GB" w:eastAsia="zh-CN" w:bidi="ar"/>
        </w:rPr>
        <w:t>。</w:t>
      </w:r>
      <w:r>
        <w:rPr>
          <w:rFonts w:hint="eastAsia" w:ascii="Times New Roman" w:hAnsi="Times New Roman" w:eastAsia="仿宋_GB2312" w:cs="Times New Roman"/>
          <w:sz w:val="32"/>
          <w:szCs w:val="32"/>
        </w:rPr>
        <w:t>《食品安全国家标准 食品中污染物限量》（GB 2762—2022）中规定，油脂及其制品中苯并［a］芘的最大限量值为10μg/kg。食用植物油中苯并［a］芘超标的原因，可能是生产过程中对原料反复烘烤或蒸炒时，高温导致苯并［a］芘含量上升；也可能是加工过程中接触润滑油、使用不符合要求的浸提溶剂等造成污染；还可能是油料作物在种植、收储、晾晒过程中受到土壤、水和大气中的苯并［a］芘污染。</w:t>
      </w:r>
    </w:p>
    <w:p w14:paraId="16D49F61">
      <w:pPr>
        <w:keepNext w:val="0"/>
        <w:keepLines w:val="0"/>
        <w:pageBreakBefore w:val="0"/>
        <w:widowControl w:val="0"/>
        <w:kinsoku/>
        <w:wordWrap/>
        <w:overflowPunct/>
        <w:topLinePunct w:val="0"/>
        <w:autoSpaceDE/>
        <w:autoSpaceDN/>
        <w:bidi w:val="0"/>
        <w:snapToGrid w:val="0"/>
        <w:spacing w:line="594" w:lineRule="exact"/>
        <w:ind w:left="0" w:firstLine="420" w:firstLineChars="200"/>
        <w:textAlignment w:val="auto"/>
        <w:rPr>
          <w:rFonts w:hint="eastAsia"/>
          <w:lang w:val="en-GB" w:eastAsia="zh-CN"/>
        </w:rPr>
      </w:pPr>
    </w:p>
    <w:p w14:paraId="4ABD8E2D">
      <w:pPr>
        <w:keepNext w:val="0"/>
        <w:keepLines w:val="0"/>
        <w:pageBreakBefore w:val="0"/>
        <w:widowControl w:val="0"/>
        <w:numPr>
          <w:ilvl w:val="0"/>
          <w:numId w:val="1"/>
        </w:numPr>
        <w:kinsoku/>
        <w:wordWrap/>
        <w:overflowPunct/>
        <w:topLinePunct w:val="0"/>
        <w:autoSpaceDE/>
        <w:autoSpaceDN/>
        <w:bidi w:val="0"/>
        <w:adjustRightInd/>
        <w:snapToGrid w:val="0"/>
        <w:spacing w:line="594" w:lineRule="exact"/>
        <w:ind w:left="0" w:leftChars="0" w:firstLine="640" w:firstLineChars="200"/>
        <w:textAlignment w:val="auto"/>
        <w:outlineLvl w:val="9"/>
        <w:rPr>
          <w:rFonts w:hint="eastAsia" w:ascii="黑体" w:hAnsi="黑体" w:eastAsia="黑体" w:cs="黑体"/>
          <w:spacing w:val="0"/>
          <w:sz w:val="32"/>
          <w:szCs w:val="32"/>
          <w:lang w:val="en-GB" w:eastAsia="zh-CN"/>
        </w:rPr>
      </w:pPr>
      <w:r>
        <w:rPr>
          <w:rFonts w:hint="eastAsia" w:ascii="黑体" w:hAnsi="黑体" w:eastAsia="黑体" w:cs="黑体"/>
          <w:spacing w:val="0"/>
          <w:sz w:val="32"/>
          <w:szCs w:val="32"/>
          <w:lang w:val="en-GB" w:eastAsia="zh-CN"/>
        </w:rPr>
        <w:t>不挥发酸（以乳酸计）</w:t>
      </w:r>
    </w:p>
    <w:p w14:paraId="7040D545">
      <w:pPr>
        <w:numPr>
          <w:ilvl w:val="0"/>
          <w:numId w:val="0"/>
        </w:numPr>
        <w:spacing w:line="560" w:lineRule="exact"/>
        <w:ind w:leftChars="0" w:firstLine="640" w:firstLineChars="200"/>
        <w:outlineLvl w:val="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不挥发酸（以乳酸计）是食醋中总酸的一种，以乳酸为主</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可以使食醋的酸味绵长，柔软可口。不挥发酸含量不足，在一定程度上会影响食醋的口感和风味。《酿造食醋》（GB/T 18187</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2000）中规定，食醋中的不挥发酸（以乳酸计）应不少于0.50g/100mL。造成</w:t>
      </w:r>
      <w:r>
        <w:rPr>
          <w:rFonts w:hint="eastAsia" w:ascii="Times New Roman" w:hAnsi="Times New Roman" w:eastAsia="仿宋_GB2312" w:cs="Times New Roman"/>
          <w:kern w:val="2"/>
          <w:sz w:val="32"/>
          <w:szCs w:val="32"/>
          <w:lang w:val="en-US" w:eastAsia="zh-CN" w:bidi="ar-SA"/>
        </w:rPr>
        <w:t>不挥</w:t>
      </w:r>
      <w:r>
        <w:rPr>
          <w:rFonts w:hint="default" w:ascii="Times New Roman" w:hAnsi="Times New Roman" w:eastAsia="仿宋_GB2312" w:cs="Times New Roman"/>
          <w:kern w:val="2"/>
          <w:sz w:val="32"/>
          <w:szCs w:val="32"/>
          <w:lang w:val="en-US" w:eastAsia="zh-CN" w:bidi="ar-SA"/>
        </w:rPr>
        <w:t>发酸不合格的原因，可能是生产加工过程中发酵工艺控制不当。</w:t>
      </w:r>
    </w:p>
    <w:p w14:paraId="1F44B87D">
      <w:pPr>
        <w:rPr>
          <w:rFonts w:hint="default" w:ascii="Times New Roman" w:hAnsi="Times New Roman" w:eastAsia="仿宋_GB2312" w:cs="Times New Roman"/>
          <w:b w:val="0"/>
          <w:bCs w:val="0"/>
          <w:kern w:val="2"/>
          <w:sz w:val="32"/>
          <w:szCs w:val="32"/>
          <w:highlight w:val="none"/>
          <w:lang w:val="en-US" w:eastAsia="zh-CN" w:bidi="ar-SA"/>
        </w:rPr>
      </w:pPr>
    </w:p>
    <w:p w14:paraId="7E14DFFA">
      <w:pPr>
        <w:keepNext w:val="0"/>
        <w:keepLines w:val="0"/>
        <w:pageBreakBefore w:val="0"/>
        <w:widowControl w:val="0"/>
        <w:numPr>
          <w:ilvl w:val="0"/>
          <w:numId w:val="1"/>
        </w:numPr>
        <w:kinsoku/>
        <w:wordWrap/>
        <w:overflowPunct/>
        <w:topLinePunct w:val="0"/>
        <w:autoSpaceDE/>
        <w:autoSpaceDN/>
        <w:bidi w:val="0"/>
        <w:adjustRightInd/>
        <w:snapToGrid w:val="0"/>
        <w:spacing w:line="594" w:lineRule="exact"/>
        <w:ind w:left="0" w:leftChars="0" w:firstLine="640" w:firstLineChars="200"/>
        <w:textAlignment w:val="auto"/>
        <w:outlineLvl w:val="9"/>
        <w:rPr>
          <w:rFonts w:hint="default" w:ascii="黑体" w:hAnsi="黑体" w:eastAsia="黑体" w:cs="黑体"/>
          <w:spacing w:val="0"/>
          <w:sz w:val="32"/>
          <w:szCs w:val="32"/>
          <w:lang w:val="en-US" w:eastAsia="zh-CN"/>
        </w:rPr>
      </w:pPr>
      <w:r>
        <w:rPr>
          <w:rFonts w:hint="default" w:ascii="黑体" w:hAnsi="黑体" w:eastAsia="黑体" w:cs="黑体"/>
          <w:spacing w:val="0"/>
          <w:sz w:val="32"/>
          <w:szCs w:val="32"/>
          <w:lang w:val="en-US" w:eastAsia="zh-CN"/>
        </w:rPr>
        <w:t>二氧化硫残留量</w:t>
      </w:r>
    </w:p>
    <w:p w14:paraId="73D4E32B">
      <w:pPr>
        <w:pStyle w:val="2"/>
        <w:rPr>
          <w:rFonts w:hint="default"/>
          <w:lang w:val="en-US" w:eastAsia="zh-CN"/>
        </w:rPr>
      </w:pPr>
      <w:r>
        <w:rPr>
          <w:rFonts w:hint="default"/>
          <w:lang w:val="en-US" w:eastAsia="zh-CN"/>
        </w:rPr>
        <w:t>二氧化硫是食品加工中常用的漂白剂和防腐剂，具有漂白、防腐和抗氧化作用。《食品安全国家标准食品添加剂使用标准》</w:t>
      </w:r>
      <w:r>
        <w:rPr>
          <w:rFonts w:hint="default" w:ascii="Times New Roman" w:hAnsi="Times New Roman" w:eastAsia="仿宋_GB2312" w:cs="Times New Roman"/>
          <w:kern w:val="2"/>
          <w:sz w:val="32"/>
          <w:szCs w:val="32"/>
          <w:lang w:val="en-US" w:eastAsia="zh-CN" w:bidi="ar-SA"/>
        </w:rPr>
        <w:t>（GB2760</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20</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4）</w:t>
      </w:r>
      <w:r>
        <w:rPr>
          <w:rFonts w:hint="default"/>
          <w:lang w:val="en-US" w:eastAsia="zh-CN"/>
        </w:rPr>
        <w:t>中规定，干制蔬菜</w:t>
      </w:r>
      <w:r>
        <w:rPr>
          <w:rFonts w:hint="eastAsia"/>
          <w:lang w:val="en-US" w:eastAsia="zh-CN"/>
        </w:rPr>
        <w:t>中二氧化硫残留量最大值为</w:t>
      </w:r>
      <w:r>
        <w:rPr>
          <w:rFonts w:hint="eastAsia" w:ascii="Times New Roman" w:hAnsi="Times New Roman" w:eastAsia="仿宋_GB2312" w:cs="Times New Roman"/>
          <w:kern w:val="2"/>
          <w:sz w:val="32"/>
          <w:szCs w:val="32"/>
          <w:lang w:val="en-US" w:eastAsia="zh-CN" w:bidi="ar-SA"/>
        </w:rPr>
        <w:t>0.2g/kg；</w:t>
      </w:r>
      <w:r>
        <w:rPr>
          <w:rFonts w:hint="eastAsia"/>
          <w:lang w:val="en-US" w:eastAsia="zh-CN"/>
        </w:rPr>
        <w:t>调味品</w:t>
      </w:r>
      <w:r>
        <w:rPr>
          <w:rFonts w:hint="default"/>
          <w:lang w:val="en-US" w:eastAsia="zh-CN"/>
        </w:rPr>
        <w:t>中不得使用二氧化硫。二氧化硫不符合标准的原因可能</w:t>
      </w:r>
      <w:r>
        <w:rPr>
          <w:rFonts w:hint="eastAsia"/>
          <w:lang w:val="en-US" w:eastAsia="zh-CN"/>
        </w:rPr>
        <w:t>是</w:t>
      </w:r>
      <w:r>
        <w:rPr>
          <w:rFonts w:hint="default"/>
          <w:lang w:val="en-US" w:eastAsia="zh-CN"/>
        </w:rPr>
        <w:t>个别生产经营企业使用劣质原料以降低成本，其后为了提高产品色泽超量使用二氧化硫；也有可能是使用时不计量或计量不准确；还有可能是由于使用硫磺熏蒸漂白这种传统工艺或直接使用亚硫酸盐浸泡保鲜所造成。</w:t>
      </w:r>
    </w:p>
    <w:p w14:paraId="76DE7D6A">
      <w:pPr>
        <w:rPr>
          <w:rFonts w:hint="default"/>
          <w:lang w:val="en-US" w:eastAsia="zh-CN"/>
        </w:rPr>
      </w:pPr>
    </w:p>
    <w:p w14:paraId="47C4B574">
      <w:pPr>
        <w:keepNext w:val="0"/>
        <w:keepLines w:val="0"/>
        <w:pageBreakBefore w:val="0"/>
        <w:widowControl w:val="0"/>
        <w:numPr>
          <w:ilvl w:val="0"/>
          <w:numId w:val="1"/>
        </w:numPr>
        <w:kinsoku/>
        <w:wordWrap/>
        <w:overflowPunct/>
        <w:topLinePunct w:val="0"/>
        <w:autoSpaceDE/>
        <w:autoSpaceDN/>
        <w:bidi w:val="0"/>
        <w:adjustRightInd/>
        <w:snapToGrid w:val="0"/>
        <w:spacing w:line="594" w:lineRule="exact"/>
        <w:ind w:left="0" w:leftChars="0" w:firstLine="640" w:firstLineChars="200"/>
        <w:textAlignment w:val="auto"/>
        <w:outlineLvl w:val="9"/>
        <w:rPr>
          <w:rFonts w:hint="default" w:ascii="黑体" w:hAnsi="黑体" w:eastAsia="黑体" w:cs="黑体"/>
          <w:spacing w:val="0"/>
          <w:sz w:val="32"/>
          <w:szCs w:val="32"/>
          <w:lang w:val="en-US" w:eastAsia="zh-CN"/>
        </w:rPr>
      </w:pPr>
      <w:r>
        <w:rPr>
          <w:rFonts w:hint="default" w:ascii="黑体" w:hAnsi="黑体" w:eastAsia="黑体" w:cs="黑体"/>
          <w:spacing w:val="0"/>
          <w:sz w:val="32"/>
          <w:szCs w:val="32"/>
          <w:lang w:val="en-US" w:eastAsia="zh-CN"/>
        </w:rPr>
        <w:t>阴离子合成洗涤剂(以十二烷基苯磺酸钠计)</w:t>
      </w:r>
    </w:p>
    <w:p w14:paraId="0ACE5A92">
      <w:pPr>
        <w:keepNext w:val="0"/>
        <w:keepLines w:val="0"/>
        <w:pageBreakBefore w:val="0"/>
        <w:widowControl w:val="0"/>
        <w:kinsoku/>
        <w:wordWrap/>
        <w:overflowPunct/>
        <w:topLinePunct w:val="0"/>
        <w:autoSpaceDE/>
        <w:autoSpaceDN/>
        <w:bidi w:val="0"/>
        <w:snapToGrid w:val="0"/>
        <w:spacing w:line="594" w:lineRule="exact"/>
        <w:ind w:firstLine="640" w:firstLineChars="200"/>
        <w:textAlignment w:val="auto"/>
        <w:rPr>
          <w:rFonts w:hint="eastAsia"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阴离子合成洗涤剂（以十二烷基苯磺酸钠计），即日常生活中经常用到的洗衣粉、洗洁精、洗衣液等洗涤剂的主要成分，其主要成分十二烷基磺酸钠，是一种低毒物质，因其使用方便、易溶解、稳定性好，成本低等优点，在消毒企业中广泛使用。《食品安全国家标准 消毒餐（饮）具》（GB14934—2016）中规定，采用化学消毒法的餐（饮）具阴离子合成洗涤剂应不得检出。餐（饮）具阴离子合成洗涤剂不合格的原因可能是</w:t>
      </w:r>
      <w:bookmarkStart w:id="0" w:name="_GoBack"/>
      <w:bookmarkEnd w:id="0"/>
      <w:r>
        <w:rPr>
          <w:rFonts w:hint="eastAsia" w:ascii="Times New Roman" w:hAnsi="Times New Roman" w:eastAsia="仿宋_GB2312" w:cs="Times New Roman"/>
          <w:b w:val="0"/>
          <w:bCs w:val="0"/>
          <w:kern w:val="2"/>
          <w:sz w:val="32"/>
          <w:szCs w:val="32"/>
          <w:highlight w:val="none"/>
          <w:lang w:val="en-US" w:eastAsia="zh-CN" w:bidi="ar-SA"/>
        </w:rPr>
        <w:t>餐（饮）具消毒单位使用的洗涤剂不合格或使用量过大，未经足够量清水清洗。</w:t>
      </w: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Book Antiqua">
    <w:panose1 w:val="02040602050305030304"/>
    <w:charset w:val="00"/>
    <w:family w:val="auto"/>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7118498E">
        <w:pPr>
          <w:pStyle w:val="5"/>
          <w:jc w:val="center"/>
        </w:pPr>
        <w:r>
          <w:fldChar w:fldCharType="begin"/>
        </w:r>
        <w:r>
          <w:instrText xml:space="preserve">PAGE   \* MERGEFORMAT</w:instrText>
        </w:r>
        <w:r>
          <w:fldChar w:fldCharType="separate"/>
        </w:r>
        <w:r>
          <w:rPr>
            <w:lang w:val="zh-CN"/>
          </w:rPr>
          <w:t>1</w:t>
        </w:r>
        <w:r>
          <w:fldChar w:fldCharType="end"/>
        </w:r>
      </w:p>
    </w:sdtContent>
  </w:sdt>
  <w:p w14:paraId="7337445E">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FF0E1"/>
    <w:multiLevelType w:val="singleLevel"/>
    <w:tmpl w:val="7F7FF0E1"/>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UyZTVlOGZmNDAyOWRmOGQyZTQxMmU0MDdkYjc1MTA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3119A6"/>
    <w:rsid w:val="08C70051"/>
    <w:rsid w:val="0A2246B7"/>
    <w:rsid w:val="0B23740C"/>
    <w:rsid w:val="0BF55D05"/>
    <w:rsid w:val="0E3E57FB"/>
    <w:rsid w:val="0E6E3364"/>
    <w:rsid w:val="0EA50231"/>
    <w:rsid w:val="0F830F05"/>
    <w:rsid w:val="0F9EF1F3"/>
    <w:rsid w:val="0FD83CA6"/>
    <w:rsid w:val="0FEE1D9C"/>
    <w:rsid w:val="110C4FEA"/>
    <w:rsid w:val="110F570C"/>
    <w:rsid w:val="112B137C"/>
    <w:rsid w:val="125E1B94"/>
    <w:rsid w:val="13A02D2C"/>
    <w:rsid w:val="157E5278"/>
    <w:rsid w:val="15BF1382"/>
    <w:rsid w:val="169D136B"/>
    <w:rsid w:val="17DE0CBD"/>
    <w:rsid w:val="17FED243"/>
    <w:rsid w:val="18CE4512"/>
    <w:rsid w:val="190A207C"/>
    <w:rsid w:val="190E6EE0"/>
    <w:rsid w:val="199130D1"/>
    <w:rsid w:val="199303A5"/>
    <w:rsid w:val="19AA4605"/>
    <w:rsid w:val="1A8E79BC"/>
    <w:rsid w:val="1A943B45"/>
    <w:rsid w:val="1AF411D7"/>
    <w:rsid w:val="1B6D47CE"/>
    <w:rsid w:val="1BFF1386"/>
    <w:rsid w:val="1C0D4647"/>
    <w:rsid w:val="1E526692"/>
    <w:rsid w:val="1F245FB8"/>
    <w:rsid w:val="1F5254D4"/>
    <w:rsid w:val="20734AD8"/>
    <w:rsid w:val="217B58C1"/>
    <w:rsid w:val="21FD7A99"/>
    <w:rsid w:val="22EE5E6A"/>
    <w:rsid w:val="22FB77CB"/>
    <w:rsid w:val="230DE398"/>
    <w:rsid w:val="23E40E7A"/>
    <w:rsid w:val="246868F4"/>
    <w:rsid w:val="24B40E16"/>
    <w:rsid w:val="24C105FB"/>
    <w:rsid w:val="25706FEB"/>
    <w:rsid w:val="27E90029"/>
    <w:rsid w:val="28926171"/>
    <w:rsid w:val="28F7C6EF"/>
    <w:rsid w:val="28FE5380"/>
    <w:rsid w:val="293C4333"/>
    <w:rsid w:val="2A266F86"/>
    <w:rsid w:val="2B453547"/>
    <w:rsid w:val="2D024FEE"/>
    <w:rsid w:val="2F3A64DA"/>
    <w:rsid w:val="2F5FF82E"/>
    <w:rsid w:val="2F8980BA"/>
    <w:rsid w:val="2FFF3C79"/>
    <w:rsid w:val="2FFFEB58"/>
    <w:rsid w:val="313B60D6"/>
    <w:rsid w:val="32BF9929"/>
    <w:rsid w:val="343B3C9B"/>
    <w:rsid w:val="34A10D49"/>
    <w:rsid w:val="353051B6"/>
    <w:rsid w:val="35CD32DE"/>
    <w:rsid w:val="35D3C0FF"/>
    <w:rsid w:val="37B5B0DF"/>
    <w:rsid w:val="39E4139A"/>
    <w:rsid w:val="3A066159"/>
    <w:rsid w:val="3B7ED31C"/>
    <w:rsid w:val="3BBF5734"/>
    <w:rsid w:val="3BE114CD"/>
    <w:rsid w:val="3BFF4D0F"/>
    <w:rsid w:val="3CBB6A1F"/>
    <w:rsid w:val="3D066ED4"/>
    <w:rsid w:val="3D5B7861"/>
    <w:rsid w:val="3D8A31F3"/>
    <w:rsid w:val="3DA70F84"/>
    <w:rsid w:val="3E573C31"/>
    <w:rsid w:val="3E692505"/>
    <w:rsid w:val="3EF70C9F"/>
    <w:rsid w:val="3F7FC504"/>
    <w:rsid w:val="3F9D409F"/>
    <w:rsid w:val="3FBF13ED"/>
    <w:rsid w:val="3FD02490"/>
    <w:rsid w:val="3FFD62C4"/>
    <w:rsid w:val="40DF5746"/>
    <w:rsid w:val="41011D84"/>
    <w:rsid w:val="426B3C81"/>
    <w:rsid w:val="449A0830"/>
    <w:rsid w:val="44CF69EE"/>
    <w:rsid w:val="45107FD3"/>
    <w:rsid w:val="46601D24"/>
    <w:rsid w:val="47075DCC"/>
    <w:rsid w:val="47811D3F"/>
    <w:rsid w:val="48655E99"/>
    <w:rsid w:val="488E348C"/>
    <w:rsid w:val="4AA63504"/>
    <w:rsid w:val="4C8B783D"/>
    <w:rsid w:val="4D920623"/>
    <w:rsid w:val="4DCDB26D"/>
    <w:rsid w:val="4E836A31"/>
    <w:rsid w:val="4FAD0645"/>
    <w:rsid w:val="4FC70334"/>
    <w:rsid w:val="4FD60C7C"/>
    <w:rsid w:val="4FED00F1"/>
    <w:rsid w:val="52D4703A"/>
    <w:rsid w:val="534230F9"/>
    <w:rsid w:val="54D163A0"/>
    <w:rsid w:val="555B5CD3"/>
    <w:rsid w:val="575B13D1"/>
    <w:rsid w:val="577B200D"/>
    <w:rsid w:val="57A53A3A"/>
    <w:rsid w:val="57BDDC82"/>
    <w:rsid w:val="57CB2923"/>
    <w:rsid w:val="57F1A517"/>
    <w:rsid w:val="5AFFEA09"/>
    <w:rsid w:val="5BFA5FBC"/>
    <w:rsid w:val="5C9E489B"/>
    <w:rsid w:val="5CC74388"/>
    <w:rsid w:val="5E0540D0"/>
    <w:rsid w:val="5E4907CD"/>
    <w:rsid w:val="5F7B3A23"/>
    <w:rsid w:val="5FE6D425"/>
    <w:rsid w:val="5FFF4665"/>
    <w:rsid w:val="5FFF4D2B"/>
    <w:rsid w:val="61DD6D44"/>
    <w:rsid w:val="63DF171E"/>
    <w:rsid w:val="63FF475F"/>
    <w:rsid w:val="65CF6D9C"/>
    <w:rsid w:val="65FFB26C"/>
    <w:rsid w:val="66023456"/>
    <w:rsid w:val="66325BC9"/>
    <w:rsid w:val="66B2626D"/>
    <w:rsid w:val="67282ECF"/>
    <w:rsid w:val="673FC0B4"/>
    <w:rsid w:val="67AB41B6"/>
    <w:rsid w:val="67FF2A03"/>
    <w:rsid w:val="67FFBC85"/>
    <w:rsid w:val="689C4C03"/>
    <w:rsid w:val="68F627D3"/>
    <w:rsid w:val="68FA2757"/>
    <w:rsid w:val="696DD54B"/>
    <w:rsid w:val="69F83E9D"/>
    <w:rsid w:val="69FD8E35"/>
    <w:rsid w:val="6A945E1B"/>
    <w:rsid w:val="6BA279B0"/>
    <w:rsid w:val="6BB87E7B"/>
    <w:rsid w:val="6BBBAF32"/>
    <w:rsid w:val="6D0E14DC"/>
    <w:rsid w:val="6EDF6131"/>
    <w:rsid w:val="6F6FCE94"/>
    <w:rsid w:val="6FA67D65"/>
    <w:rsid w:val="71AF4D28"/>
    <w:rsid w:val="730C532F"/>
    <w:rsid w:val="73B2774B"/>
    <w:rsid w:val="73BC2552"/>
    <w:rsid w:val="73F564A7"/>
    <w:rsid w:val="740B3C12"/>
    <w:rsid w:val="74E00729"/>
    <w:rsid w:val="75057978"/>
    <w:rsid w:val="75202347"/>
    <w:rsid w:val="7593147D"/>
    <w:rsid w:val="76246CC8"/>
    <w:rsid w:val="76BF1C19"/>
    <w:rsid w:val="76D75FC2"/>
    <w:rsid w:val="77887501"/>
    <w:rsid w:val="77DF9F9B"/>
    <w:rsid w:val="77E37BF6"/>
    <w:rsid w:val="77EFBFA0"/>
    <w:rsid w:val="78971D8D"/>
    <w:rsid w:val="78DBD678"/>
    <w:rsid w:val="78EA5C2B"/>
    <w:rsid w:val="79464C25"/>
    <w:rsid w:val="79516C02"/>
    <w:rsid w:val="79CB70EC"/>
    <w:rsid w:val="79EF92A3"/>
    <w:rsid w:val="7AEF50DD"/>
    <w:rsid w:val="7AFEEBE6"/>
    <w:rsid w:val="7AFF1FDA"/>
    <w:rsid w:val="7B9FEBE1"/>
    <w:rsid w:val="7BC16283"/>
    <w:rsid w:val="7BE61DA8"/>
    <w:rsid w:val="7BF77124"/>
    <w:rsid w:val="7C6619F8"/>
    <w:rsid w:val="7DAB5A58"/>
    <w:rsid w:val="7DC149D8"/>
    <w:rsid w:val="7DFF2D85"/>
    <w:rsid w:val="7E274B0C"/>
    <w:rsid w:val="7E9D50DC"/>
    <w:rsid w:val="7ECE4128"/>
    <w:rsid w:val="7EF5D8F9"/>
    <w:rsid w:val="7F3F9D27"/>
    <w:rsid w:val="7F77305C"/>
    <w:rsid w:val="7F77CFFA"/>
    <w:rsid w:val="7F7F6AAB"/>
    <w:rsid w:val="7F7FCEDB"/>
    <w:rsid w:val="7F972554"/>
    <w:rsid w:val="7FAAA59C"/>
    <w:rsid w:val="7FAF1A78"/>
    <w:rsid w:val="7FBB2204"/>
    <w:rsid w:val="7FBF3FE6"/>
    <w:rsid w:val="7FC7A2FE"/>
    <w:rsid w:val="7FD92FCE"/>
    <w:rsid w:val="7FDE022A"/>
    <w:rsid w:val="7FDE0516"/>
    <w:rsid w:val="7FDEE165"/>
    <w:rsid w:val="7FF6324C"/>
    <w:rsid w:val="7FFB63B1"/>
    <w:rsid w:val="7FFBC323"/>
    <w:rsid w:val="85CF448D"/>
    <w:rsid w:val="89F22F62"/>
    <w:rsid w:val="8BE76863"/>
    <w:rsid w:val="95BD20E8"/>
    <w:rsid w:val="A25F6545"/>
    <w:rsid w:val="A7C5467D"/>
    <w:rsid w:val="A7F588A4"/>
    <w:rsid w:val="ABCFB818"/>
    <w:rsid w:val="ABFBF616"/>
    <w:rsid w:val="B33FEA55"/>
    <w:rsid w:val="B4D086C0"/>
    <w:rsid w:val="B6B96D14"/>
    <w:rsid w:val="B7DC3934"/>
    <w:rsid w:val="B7DEC1D9"/>
    <w:rsid w:val="B94ECF8A"/>
    <w:rsid w:val="B9AD008D"/>
    <w:rsid w:val="BA7B23C6"/>
    <w:rsid w:val="BBEE61D5"/>
    <w:rsid w:val="BDDF9733"/>
    <w:rsid w:val="BEDF9EA1"/>
    <w:rsid w:val="BF6903CB"/>
    <w:rsid w:val="BF73B3EC"/>
    <w:rsid w:val="BF77EBD6"/>
    <w:rsid w:val="BFBFF716"/>
    <w:rsid w:val="BFFFE9F5"/>
    <w:rsid w:val="BFFFEA05"/>
    <w:rsid w:val="C7BF155C"/>
    <w:rsid w:val="CFFF2247"/>
    <w:rsid w:val="D57E3121"/>
    <w:rsid w:val="D59F7A23"/>
    <w:rsid w:val="D5FE1140"/>
    <w:rsid w:val="D5FE71D0"/>
    <w:rsid w:val="D6FFFCC9"/>
    <w:rsid w:val="DAFE6E58"/>
    <w:rsid w:val="DDF5BFEA"/>
    <w:rsid w:val="DDFF4777"/>
    <w:rsid w:val="DEDF704A"/>
    <w:rsid w:val="DF7B5856"/>
    <w:rsid w:val="DFDE77E3"/>
    <w:rsid w:val="DFFE471E"/>
    <w:rsid w:val="E5FB529B"/>
    <w:rsid w:val="E77B5ACF"/>
    <w:rsid w:val="E7FF09A6"/>
    <w:rsid w:val="E8FDFFC9"/>
    <w:rsid w:val="EBE72E78"/>
    <w:rsid w:val="EBF65BB7"/>
    <w:rsid w:val="EBFB0C7E"/>
    <w:rsid w:val="ED76D6E8"/>
    <w:rsid w:val="EDFD6938"/>
    <w:rsid w:val="EEFD9629"/>
    <w:rsid w:val="EEFF22F4"/>
    <w:rsid w:val="EFFF94FF"/>
    <w:rsid w:val="F15F95D9"/>
    <w:rsid w:val="F1FB3CF4"/>
    <w:rsid w:val="F3ED2EE8"/>
    <w:rsid w:val="F4E7F227"/>
    <w:rsid w:val="F52EA8C1"/>
    <w:rsid w:val="F586E40D"/>
    <w:rsid w:val="F5CFF2A7"/>
    <w:rsid w:val="F5DFD693"/>
    <w:rsid w:val="F5E72FFF"/>
    <w:rsid w:val="F5FFBA8A"/>
    <w:rsid w:val="F676AF9D"/>
    <w:rsid w:val="F76D36FF"/>
    <w:rsid w:val="F77DACB5"/>
    <w:rsid w:val="F77EDC06"/>
    <w:rsid w:val="F77F0E83"/>
    <w:rsid w:val="F9741810"/>
    <w:rsid w:val="F9D644EC"/>
    <w:rsid w:val="FB772F61"/>
    <w:rsid w:val="FB7F583B"/>
    <w:rsid w:val="FB7F6772"/>
    <w:rsid w:val="FBAF4E1A"/>
    <w:rsid w:val="FBFB024C"/>
    <w:rsid w:val="FD7FF06D"/>
    <w:rsid w:val="FDF93F7F"/>
    <w:rsid w:val="FE0D9249"/>
    <w:rsid w:val="FEBD9270"/>
    <w:rsid w:val="FEDD18BB"/>
    <w:rsid w:val="FF5787E3"/>
    <w:rsid w:val="FF5FC2EF"/>
    <w:rsid w:val="FF6AE40B"/>
    <w:rsid w:val="FF7E52F0"/>
    <w:rsid w:val="FF7F41D3"/>
    <w:rsid w:val="FF9B8B7D"/>
    <w:rsid w:val="FFCC5B6F"/>
    <w:rsid w:val="FFD68914"/>
    <w:rsid w:val="FFDAAAD9"/>
    <w:rsid w:val="FFDC6E9A"/>
    <w:rsid w:val="FFF1684B"/>
    <w:rsid w:val="FFF36292"/>
    <w:rsid w:val="FFF67C2D"/>
    <w:rsid w:val="FFFA9A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2"/>
    <w:unhideWhenUsed/>
    <w:qFormat/>
    <w:uiPriority w:val="99"/>
    <w:rPr>
      <w:sz w:val="18"/>
      <w:szCs w:val="18"/>
    </w:rPr>
  </w:style>
  <w:style w:type="paragraph" w:styleId="5">
    <w:name w:val="footer"/>
    <w:basedOn w:val="1"/>
    <w:link w:val="20"/>
    <w:unhideWhenUsed/>
    <w:qFormat/>
    <w:uiPriority w:val="99"/>
    <w:pPr>
      <w:tabs>
        <w:tab w:val="center" w:pos="4153"/>
        <w:tab w:val="right" w:pos="8306"/>
      </w:tabs>
      <w:snapToGrid w:val="0"/>
      <w:jc w:val="left"/>
    </w:pPr>
    <w:rPr>
      <w:sz w:val="18"/>
      <w:szCs w:val="18"/>
    </w:rPr>
  </w:style>
  <w:style w:type="paragraph" w:styleId="6">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0063C8"/>
      <w:u w:val="none"/>
    </w:rPr>
  </w:style>
  <w:style w:type="character" w:styleId="12">
    <w:name w:val="Emphasis"/>
    <w:basedOn w:val="9"/>
    <w:qFormat/>
    <w:uiPriority w:val="20"/>
  </w:style>
  <w:style w:type="character" w:styleId="13">
    <w:name w:val="HTML Definition"/>
    <w:basedOn w:val="9"/>
    <w:semiHidden/>
    <w:unhideWhenUsed/>
    <w:qFormat/>
    <w:uiPriority w:val="99"/>
  </w:style>
  <w:style w:type="character" w:styleId="14">
    <w:name w:val="HTML Acronym"/>
    <w:basedOn w:val="9"/>
    <w:semiHidden/>
    <w:unhideWhenUsed/>
    <w:qFormat/>
    <w:uiPriority w:val="99"/>
  </w:style>
  <w:style w:type="character" w:styleId="15">
    <w:name w:val="HTML Variable"/>
    <w:basedOn w:val="9"/>
    <w:semiHidden/>
    <w:unhideWhenUsed/>
    <w:qFormat/>
    <w:uiPriority w:val="99"/>
  </w:style>
  <w:style w:type="character" w:styleId="16">
    <w:name w:val="Hyperlink"/>
    <w:basedOn w:val="9"/>
    <w:unhideWhenUsed/>
    <w:qFormat/>
    <w:uiPriority w:val="99"/>
    <w:rPr>
      <w:color w:val="0063C8"/>
      <w:u w:val="none"/>
    </w:rPr>
  </w:style>
  <w:style w:type="character" w:styleId="17">
    <w:name w:val="HTML Code"/>
    <w:basedOn w:val="9"/>
    <w:semiHidden/>
    <w:unhideWhenUsed/>
    <w:qFormat/>
    <w:uiPriority w:val="99"/>
    <w:rPr>
      <w:rFonts w:ascii="Courier New" w:hAnsi="Courier New"/>
      <w:sz w:val="20"/>
    </w:rPr>
  </w:style>
  <w:style w:type="character" w:styleId="18">
    <w:name w:val="HTML Cite"/>
    <w:basedOn w:val="9"/>
    <w:semiHidden/>
    <w:unhideWhenUsed/>
    <w:qFormat/>
    <w:uiPriority w:val="99"/>
  </w:style>
  <w:style w:type="character" w:customStyle="1" w:styleId="19">
    <w:name w:val="页眉 字符"/>
    <w:basedOn w:val="9"/>
    <w:link w:val="6"/>
    <w:qFormat/>
    <w:uiPriority w:val="99"/>
    <w:rPr>
      <w:sz w:val="18"/>
      <w:szCs w:val="18"/>
    </w:rPr>
  </w:style>
  <w:style w:type="character" w:customStyle="1" w:styleId="20">
    <w:name w:val="页脚 字符"/>
    <w:basedOn w:val="9"/>
    <w:link w:val="5"/>
    <w:qFormat/>
    <w:uiPriority w:val="99"/>
    <w:rPr>
      <w:sz w:val="18"/>
      <w:szCs w:val="18"/>
    </w:rPr>
  </w:style>
  <w:style w:type="paragraph" w:styleId="21">
    <w:name w:val="List Paragraph"/>
    <w:basedOn w:val="1"/>
    <w:qFormat/>
    <w:uiPriority w:val="34"/>
    <w:pPr>
      <w:ind w:firstLine="420" w:firstLineChars="200"/>
    </w:pPr>
  </w:style>
  <w:style w:type="character" w:customStyle="1" w:styleId="22">
    <w:name w:val="批注框文本 字符"/>
    <w:basedOn w:val="9"/>
    <w:link w:val="4"/>
    <w:semiHidden/>
    <w:qFormat/>
    <w:uiPriority w:val="99"/>
    <w:rPr>
      <w:sz w:val="18"/>
      <w:szCs w:val="18"/>
    </w:rPr>
  </w:style>
  <w:style w:type="character" w:customStyle="1" w:styleId="23">
    <w:name w:val="mr-prof"/>
    <w:basedOn w:val="9"/>
    <w:qFormat/>
    <w:uiPriority w:val="0"/>
  </w:style>
  <w:style w:type="character" w:customStyle="1" w:styleId="24">
    <w:name w:val="btn-task-gray2"/>
    <w:basedOn w:val="9"/>
    <w:qFormat/>
    <w:uiPriority w:val="0"/>
    <w:rPr>
      <w:color w:val="FFFFFF"/>
      <w:u w:val="none"/>
      <w:shd w:val="clear" w:color="auto" w:fill="CCCCCC"/>
    </w:rPr>
  </w:style>
  <w:style w:type="character" w:customStyle="1" w:styleId="25">
    <w:name w:val="hover37"/>
    <w:basedOn w:val="9"/>
    <w:qFormat/>
    <w:uiPriority w:val="0"/>
    <w:rPr>
      <w:color w:val="3EAF0E"/>
    </w:rPr>
  </w:style>
  <w:style w:type="character" w:customStyle="1" w:styleId="26">
    <w:name w:val="s16"/>
    <w:basedOn w:val="9"/>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4</Pages>
  <Words>698</Words>
  <Characters>765</Characters>
  <Lines>22</Lines>
  <Paragraphs>6</Paragraphs>
  <TotalTime>54</TotalTime>
  <ScaleCrop>false</ScaleCrop>
  <LinksUpToDate>false</LinksUpToDate>
  <CharactersWithSpaces>774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2019-05-19T04:31:00Z</dcterms:created>
  <dc:creator>SDWM</dc:creator>
  <cp:lastModifiedBy>魏立慧</cp:lastModifiedBy>
  <cp:lastPrinted>2016-10-12T02:58:00Z</cp:lastPrinted>
  <dcterms:modified xsi:type="dcterms:W3CDTF">2026-06-30T18:10:48Z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F46EFFB5EC0D4DB5A641BE2063BCF22F</vt:lpwstr>
  </property>
</Properties>
</file>