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b w:val="0"/>
          <w:bCs w:val="0"/>
          <w:color w:val="auto"/>
          <w:spacing w:val="-12"/>
          <w:sz w:val="32"/>
          <w:szCs w:val="32"/>
          <w:highlight w:val="none"/>
          <w:lang w:val="en-US" w:eastAsia="zh-CN"/>
        </w:rPr>
      </w:pPr>
      <w:r>
        <w:rPr>
          <w:rFonts w:hint="default" w:ascii="Times New Roman" w:hAnsi="Times New Roman" w:eastAsia="黑体" w:cs="Times New Roman"/>
          <w:b w:val="0"/>
          <w:bCs w:val="0"/>
          <w:color w:val="auto"/>
          <w:spacing w:val="-12"/>
          <w:sz w:val="32"/>
          <w:szCs w:val="32"/>
          <w:highlight w:val="none"/>
          <w:lang w:val="en-US" w:eastAsia="zh-Hans"/>
        </w:rPr>
        <w:t>附件</w:t>
      </w:r>
      <w:r>
        <w:rPr>
          <w:rFonts w:hint="eastAsia" w:ascii="Times New Roman" w:hAnsi="Times New Roman" w:eastAsia="黑体" w:cs="Times New Roman"/>
          <w:b w:val="0"/>
          <w:bCs w:val="0"/>
          <w:color w:val="auto"/>
          <w:spacing w:val="-12"/>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val="0"/>
        <w:spacing w:before="291" w:beforeLines="50" w:after="291" w:afterLines="50"/>
        <w:jc w:val="center"/>
        <w:textAlignment w:val="auto"/>
        <w:outlineLvl w:val="1"/>
        <w:rPr>
          <w:rFonts w:hint="default" w:ascii="Times New Roman" w:hAnsi="Times New Roman" w:eastAsia="方正小标宋简体" w:cs="Times New Roman"/>
          <w:b w:val="0"/>
          <w:bCs w:val="0"/>
          <w:color w:val="auto"/>
          <w:spacing w:val="0"/>
          <w:sz w:val="44"/>
          <w:szCs w:val="44"/>
          <w:highlight w:val="none"/>
        </w:rPr>
      </w:pPr>
      <w:r>
        <w:rPr>
          <w:rFonts w:hint="eastAsia" w:ascii="Times New Roman" w:hAnsi="Times New Roman" w:eastAsia="方正小标宋简体" w:cs="Times New Roman"/>
          <w:b w:val="0"/>
          <w:bCs w:val="0"/>
          <w:color w:val="auto"/>
          <w:spacing w:val="0"/>
          <w:sz w:val="44"/>
          <w:szCs w:val="44"/>
          <w:highlight w:val="none"/>
          <w:lang w:eastAsia="zh-CN"/>
        </w:rPr>
        <w:t>关于</w:t>
      </w:r>
      <w:r>
        <w:rPr>
          <w:rFonts w:hint="default" w:ascii="Times New Roman" w:hAnsi="Times New Roman" w:eastAsia="方正小标宋简体" w:cs="Times New Roman"/>
          <w:b w:val="0"/>
          <w:bCs w:val="0"/>
          <w:color w:val="auto"/>
          <w:spacing w:val="0"/>
          <w:sz w:val="44"/>
          <w:szCs w:val="44"/>
          <w:highlight w:val="none"/>
          <w:lang w:eastAsia="zh-CN"/>
        </w:rPr>
        <w:t>部分</w:t>
      </w:r>
      <w:r>
        <w:rPr>
          <w:rFonts w:hint="eastAsia" w:ascii="Times New Roman" w:hAnsi="Times New Roman" w:eastAsia="方正小标宋简体" w:cs="Times New Roman"/>
          <w:b w:val="0"/>
          <w:bCs w:val="0"/>
          <w:color w:val="auto"/>
          <w:spacing w:val="0"/>
          <w:sz w:val="44"/>
          <w:szCs w:val="44"/>
          <w:highlight w:val="none"/>
          <w:lang w:eastAsia="zh-CN"/>
        </w:rPr>
        <w:t>抽检</w:t>
      </w:r>
      <w:r>
        <w:rPr>
          <w:rFonts w:hint="default" w:ascii="Times New Roman" w:hAnsi="Times New Roman" w:eastAsia="方正小标宋简体" w:cs="Times New Roman"/>
          <w:b w:val="0"/>
          <w:bCs w:val="0"/>
          <w:color w:val="auto"/>
          <w:spacing w:val="0"/>
          <w:sz w:val="44"/>
          <w:szCs w:val="44"/>
          <w:highlight w:val="none"/>
        </w:rPr>
        <w:t>项目小知识</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default"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GB" w:eastAsia="zh-CN"/>
        </w:rPr>
        <w:t>噻虫胺</w:t>
      </w:r>
    </w:p>
    <w:p>
      <w:pPr>
        <w:keepNext w:val="0"/>
        <w:keepLines w:val="0"/>
        <w:pageBreakBefore w:val="0"/>
        <w:widowControl/>
        <w:numPr>
          <w:ilvl w:val="0"/>
          <w:numId w:val="0"/>
        </w:numPr>
        <w:kinsoku/>
        <w:wordWrap/>
        <w:overflowPunct/>
        <w:topLinePunct w:val="0"/>
        <w:autoSpaceDE/>
        <w:autoSpaceDN/>
        <w:bidi w:val="0"/>
        <w:adjustRightInd w:val="0"/>
        <w:snapToGrid w:val="0"/>
        <w:spacing w:line="594" w:lineRule="exact"/>
        <w:ind w:left="0" w:firstLine="640" w:firstLineChars="200"/>
        <w:jc w:val="both"/>
        <w:textAlignment w:val="auto"/>
        <w:outlineLvl w:val="9"/>
        <w:rPr>
          <w:rFonts w:hint="eastAsia" w:ascii="Times New Roman" w:hAnsi="Times New Roman" w:eastAsia="方正仿宋_GBK" w:cs="Times New Roman"/>
          <w:kern w:val="2"/>
          <w:sz w:val="32"/>
          <w:szCs w:val="22"/>
          <w:highlight w:val="none"/>
          <w:u w:val="none"/>
          <w:lang w:val="en-US" w:eastAsia="zh-CN" w:bidi="ar-SA"/>
        </w:rPr>
      </w:pPr>
      <w:r>
        <w:rPr>
          <w:rFonts w:hint="eastAsia" w:ascii="Times New Roman" w:hAnsi="Times New Roman" w:eastAsia="方正仿宋_GBK" w:cs="Times New Roman"/>
          <w:kern w:val="2"/>
          <w:sz w:val="32"/>
          <w:szCs w:val="22"/>
          <w:highlight w:val="none"/>
          <w:u w:val="none"/>
          <w:lang w:val="en-US" w:eastAsia="zh-CN" w:bidi="ar-SA"/>
        </w:rPr>
        <w:t>噻虫胺属新烟碱类杀虫剂，具有内吸性、触杀和胃毒作用，对姜蛆等有较好防效。《食品安全国家标准 食品中农药最大残留限量》（GB 2763-2021）中规定，噻虫胺在茄果类蔬菜和根茎类蔬菜中的最大残留限量值分别为0.05mg/kg和0.2mg/kg。尖椒和姜中噻虫胺残留量超标的原因，可能是菜农为快速控制虫害，加大用药量或未遵守采摘间隔期规定，致使上市销售的产品中残留量超标。</w:t>
      </w:r>
    </w:p>
    <w:p>
      <w:pPr>
        <w:pStyle w:val="2"/>
        <w:keepNext w:val="0"/>
        <w:keepLines w:val="0"/>
        <w:pageBreakBefore w:val="0"/>
        <w:kinsoku/>
        <w:wordWrap/>
        <w:overflowPunct/>
        <w:topLinePunct w:val="0"/>
        <w:autoSpaceDE/>
        <w:autoSpaceDN/>
        <w:bidi w:val="0"/>
        <w:spacing w:after="0" w:line="594" w:lineRule="exact"/>
        <w:ind w:firstLine="640" w:firstLineChars="200"/>
        <w:textAlignment w:val="auto"/>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default" w:ascii="方正黑体_GBK" w:hAnsi="方正黑体_GBK" w:eastAsia="方正黑体_GBK" w:cs="方正黑体_GBK"/>
          <w:spacing w:val="0"/>
          <w:sz w:val="32"/>
          <w:szCs w:val="32"/>
          <w:lang w:val="en-GB" w:eastAsia="zh-CN"/>
        </w:rPr>
      </w:pPr>
      <w:r>
        <w:rPr>
          <w:rFonts w:hint="eastAsia" w:ascii="方正黑体_GBK" w:hAnsi="方正黑体_GBK" w:eastAsia="方正黑体_GBK" w:cs="方正黑体_GBK"/>
          <w:spacing w:val="0"/>
          <w:sz w:val="32"/>
          <w:szCs w:val="32"/>
          <w:lang w:val="en-GB" w:eastAsia="zh-CN"/>
        </w:rPr>
        <w:t>霉菌</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kern w:val="2"/>
          <w:sz w:val="32"/>
          <w:highlight w:val="none"/>
          <w:u w:val="none"/>
          <w:lang w:val="en-US" w:eastAsia="zh-CN" w:bidi="ar-SA"/>
        </w:rPr>
      </w:pPr>
      <w:r>
        <w:rPr>
          <w:rFonts w:hint="default" w:ascii="Times New Roman" w:hAnsi="Times New Roman" w:eastAsia="方正仿宋_GBK" w:cs="Times New Roman"/>
          <w:kern w:val="2"/>
          <w:sz w:val="32"/>
          <w:highlight w:val="none"/>
          <w:u w:val="none"/>
          <w:lang w:val="en-US" w:eastAsia="zh-CN" w:bidi="ar-SA"/>
        </w:rPr>
        <w:t>霉菌是常见的真菌，在自然界中广泛存在。食品受霉菌污染后，不仅颜色、味道可能发生改变，其中的营养物质也会遭到破坏，降低其食用价值。《食品安全国家标准 坚果与籽类食品》（GB 19300</w:t>
      </w:r>
      <w:r>
        <w:rPr>
          <w:rFonts w:hint="eastAsia" w:ascii="Times New Roman" w:hAnsi="Times New Roman" w:eastAsia="方正仿宋_GBK" w:cs="Times New Roman"/>
          <w:kern w:val="2"/>
          <w:sz w:val="32"/>
          <w:highlight w:val="none"/>
          <w:u w:val="none"/>
          <w:lang w:val="en-US" w:eastAsia="zh-CN" w:bidi="ar-SA"/>
        </w:rPr>
        <w:t>-</w:t>
      </w:r>
      <w:r>
        <w:rPr>
          <w:rFonts w:hint="default" w:ascii="Times New Roman" w:hAnsi="Times New Roman" w:eastAsia="方正仿宋_GBK" w:cs="Times New Roman"/>
          <w:kern w:val="2"/>
          <w:sz w:val="32"/>
          <w:highlight w:val="none"/>
          <w:u w:val="none"/>
          <w:lang w:val="en-US" w:eastAsia="zh-CN" w:bidi="ar-SA"/>
        </w:rPr>
        <w:t>2014）中规定，熟制坚果与籽类食品霉菌的最大限量值为25CFU/g</w:t>
      </w:r>
      <w:r>
        <w:rPr>
          <w:rFonts w:hint="eastAsia" w:ascii="Times New Roman" w:hAnsi="Times New Roman" w:eastAsia="方正仿宋_GBK" w:cs="Times New Roman"/>
          <w:kern w:val="2"/>
          <w:sz w:val="32"/>
          <w:highlight w:val="none"/>
          <w:u w:val="none"/>
          <w:lang w:val="en-US" w:eastAsia="zh-CN" w:bidi="ar-SA"/>
        </w:rPr>
        <w:t>；《食品安全国家标准 饮料》（GB 7101-2022</w:t>
      </w:r>
      <w:r>
        <w:rPr>
          <w:rFonts w:hint="default" w:ascii="Times New Roman" w:hAnsi="Times New Roman" w:eastAsia="方正仿宋_GBK" w:cs="Times New Roman"/>
          <w:kern w:val="2"/>
          <w:sz w:val="32"/>
          <w:highlight w:val="none"/>
          <w:u w:val="none"/>
          <w:lang w:val="en-US" w:eastAsia="zh-CN" w:bidi="ar-SA"/>
        </w:rPr>
        <w:t>）中规定，</w:t>
      </w:r>
      <w:r>
        <w:rPr>
          <w:rFonts w:hint="eastAsia" w:ascii="Times New Roman" w:hAnsi="Times New Roman" w:eastAsia="方正仿宋_GBK" w:cs="Times New Roman"/>
          <w:kern w:val="2"/>
          <w:sz w:val="32"/>
          <w:highlight w:val="none"/>
          <w:u w:val="none"/>
          <w:lang w:val="en-US" w:eastAsia="zh-CN" w:bidi="ar-SA"/>
        </w:rPr>
        <w:t>饮料中</w:t>
      </w:r>
      <w:r>
        <w:rPr>
          <w:rFonts w:hint="default" w:ascii="Times New Roman" w:hAnsi="Times New Roman" w:eastAsia="方正仿宋_GBK" w:cs="Times New Roman"/>
          <w:kern w:val="2"/>
          <w:sz w:val="32"/>
          <w:highlight w:val="none"/>
          <w:u w:val="none"/>
          <w:lang w:val="en-US" w:eastAsia="zh-CN" w:bidi="ar-SA"/>
        </w:rPr>
        <w:t>霉菌的最大限量值为2</w:t>
      </w:r>
      <w:r>
        <w:rPr>
          <w:rFonts w:hint="eastAsia" w:ascii="Times New Roman" w:hAnsi="Times New Roman" w:eastAsia="方正仿宋_GBK" w:cs="Times New Roman"/>
          <w:kern w:val="2"/>
          <w:sz w:val="32"/>
          <w:highlight w:val="none"/>
          <w:u w:val="none"/>
          <w:lang w:val="en-US" w:eastAsia="zh-CN" w:bidi="ar-SA"/>
        </w:rPr>
        <w:t>0</w:t>
      </w:r>
      <w:r>
        <w:rPr>
          <w:rFonts w:hint="default" w:ascii="Times New Roman" w:hAnsi="Times New Roman" w:eastAsia="方正仿宋_GBK" w:cs="Times New Roman"/>
          <w:kern w:val="2"/>
          <w:sz w:val="32"/>
          <w:highlight w:val="none"/>
          <w:u w:val="none"/>
          <w:lang w:val="en-US" w:eastAsia="zh-CN" w:bidi="ar-SA"/>
        </w:rPr>
        <w:t>CFU/</w:t>
      </w:r>
      <w:r>
        <w:rPr>
          <w:rFonts w:hint="eastAsia" w:ascii="Times New Roman" w:hAnsi="Times New Roman" w:eastAsia="方正仿宋_GBK" w:cs="Times New Roman"/>
          <w:kern w:val="2"/>
          <w:sz w:val="32"/>
          <w:highlight w:val="none"/>
          <w:u w:val="none"/>
          <w:lang w:val="en-US" w:eastAsia="zh-CN" w:bidi="ar-SA"/>
        </w:rPr>
        <w:t>mL</w:t>
      </w:r>
      <w:r>
        <w:rPr>
          <w:rFonts w:hint="default" w:ascii="Times New Roman" w:hAnsi="Times New Roman" w:eastAsia="方正仿宋_GBK" w:cs="Times New Roman"/>
          <w:kern w:val="2"/>
          <w:sz w:val="32"/>
          <w:highlight w:val="none"/>
          <w:u w:val="none"/>
          <w:lang w:val="en-US" w:eastAsia="zh-CN" w:bidi="ar-SA"/>
        </w:rPr>
        <w:t>。霉菌超标原因可能是原料或包装材料受到霉菌污染</w:t>
      </w:r>
      <w:r>
        <w:rPr>
          <w:rFonts w:hint="eastAsia" w:ascii="Times New Roman" w:hAnsi="Times New Roman" w:eastAsia="方正仿宋_GBK" w:cs="Times New Roman"/>
          <w:kern w:val="2"/>
          <w:sz w:val="32"/>
          <w:highlight w:val="none"/>
          <w:u w:val="none"/>
          <w:lang w:val="en-US" w:eastAsia="zh-CN" w:bidi="ar-SA"/>
        </w:rPr>
        <w:t>，或</w:t>
      </w:r>
      <w:r>
        <w:rPr>
          <w:rFonts w:hint="default" w:ascii="Times New Roman" w:hAnsi="Times New Roman" w:eastAsia="方正仿宋_GBK" w:cs="Times New Roman"/>
          <w:kern w:val="2"/>
          <w:sz w:val="32"/>
          <w:highlight w:val="none"/>
          <w:u w:val="none"/>
          <w:lang w:val="en-US" w:eastAsia="zh-CN" w:bidi="ar-SA"/>
        </w:rPr>
        <w:t>产品在生产加工过程中环境或生产设备卫生状况不佳</w:t>
      </w:r>
      <w:r>
        <w:rPr>
          <w:rFonts w:hint="eastAsia" w:ascii="Times New Roman" w:hAnsi="Times New Roman" w:eastAsia="方正仿宋_GBK" w:cs="Times New Roman"/>
          <w:kern w:val="2"/>
          <w:sz w:val="32"/>
          <w:highlight w:val="none"/>
          <w:u w:val="none"/>
          <w:lang w:val="en-US" w:eastAsia="zh-CN" w:bidi="ar-SA"/>
        </w:rPr>
        <w:t>，</w:t>
      </w:r>
      <w:r>
        <w:rPr>
          <w:rFonts w:hint="default" w:ascii="Times New Roman" w:hAnsi="Times New Roman" w:eastAsia="方正仿宋_GBK" w:cs="Times New Roman"/>
          <w:kern w:val="2"/>
          <w:sz w:val="32"/>
          <w:highlight w:val="none"/>
          <w:u w:val="none"/>
          <w:lang w:val="en-US" w:eastAsia="zh-CN" w:bidi="ar-SA"/>
        </w:rPr>
        <w:t>还可能与产品储运条件控制不当有关。</w:t>
      </w:r>
    </w:p>
    <w:p>
      <w:pPr>
        <w:pStyle w:val="2"/>
        <w:keepNext w:val="0"/>
        <w:keepLines w:val="0"/>
        <w:pageBreakBefore w:val="0"/>
        <w:kinsoku/>
        <w:wordWrap/>
        <w:overflowPunct/>
        <w:topLinePunct w:val="0"/>
        <w:autoSpaceDE/>
        <w:autoSpaceDN/>
        <w:bidi w:val="0"/>
        <w:spacing w:after="0" w:line="594" w:lineRule="exact"/>
        <w:ind w:left="0" w:leftChars="0" w:firstLine="640" w:firstLineChars="200"/>
        <w:textAlignment w:val="auto"/>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蛋白质</w:t>
      </w:r>
    </w:p>
    <w:p>
      <w:pPr>
        <w:keepNext w:val="0"/>
        <w:keepLines w:val="0"/>
        <w:pageBreakBefore w:val="0"/>
        <w:widowControl/>
        <w:numPr>
          <w:ilvl w:val="0"/>
          <w:numId w:val="0"/>
        </w:numPr>
        <w:kinsoku/>
        <w:wordWrap/>
        <w:overflowPunct/>
        <w:topLinePunct w:val="0"/>
        <w:autoSpaceDE/>
        <w:autoSpaceDN/>
        <w:bidi w:val="0"/>
        <w:adjustRightInd w:val="0"/>
        <w:snapToGrid w:val="0"/>
        <w:spacing w:line="594" w:lineRule="exact"/>
        <w:ind w:left="0" w:firstLine="640" w:firstLineChars="200"/>
        <w:jc w:val="both"/>
        <w:textAlignment w:val="auto"/>
        <w:outlineLvl w:val="9"/>
        <w:rPr>
          <w:rFonts w:hint="eastAsia" w:ascii="Times New Roman" w:hAnsi="Times New Roman" w:eastAsia="方正仿宋_GBK" w:cs="Times New Roman"/>
          <w:kern w:val="2"/>
          <w:sz w:val="32"/>
          <w:szCs w:val="22"/>
          <w:highlight w:val="none"/>
          <w:u w:val="none"/>
          <w:lang w:val="en-US" w:eastAsia="zh-CN" w:bidi="ar-SA"/>
        </w:rPr>
      </w:pPr>
      <w:r>
        <w:rPr>
          <w:rFonts w:hint="eastAsia" w:ascii="Times New Roman" w:hAnsi="Times New Roman" w:eastAsia="方正仿宋_GBK" w:cs="Times New Roman"/>
          <w:kern w:val="2"/>
          <w:sz w:val="32"/>
          <w:szCs w:val="22"/>
          <w:highlight w:val="none"/>
          <w:u w:val="none"/>
          <w:lang w:val="en-US" w:eastAsia="zh-CN" w:bidi="ar-SA"/>
        </w:rPr>
        <w:t>蛋白质是构成机体组织、器官的重要成分，是构成机体多种重要生理活性物质的成分，还能供给能量。豆类含丰富的蛋白质，在体内的利用率较高，是植物蛋白质中的优质来源。《非发酵豆制品》（GB/T 22106-2008）中规定，腐皮类产品中蛋白质最小限量值为43.0g/100g。蛋白质不达标的原因可能是原辅料质量控制不严</w:t>
      </w:r>
      <w:bookmarkStart w:id="0" w:name="_GoBack"/>
      <w:bookmarkEnd w:id="0"/>
      <w:r>
        <w:rPr>
          <w:rFonts w:hint="eastAsia" w:ascii="Times New Roman" w:hAnsi="Times New Roman" w:eastAsia="方正仿宋_GBK" w:cs="Times New Roman"/>
          <w:kern w:val="2"/>
          <w:sz w:val="32"/>
          <w:szCs w:val="22"/>
          <w:highlight w:val="none"/>
          <w:u w:val="none"/>
          <w:lang w:val="en-US" w:eastAsia="zh-CN" w:bidi="ar-SA"/>
        </w:rPr>
        <w:t>等。</w:t>
      </w:r>
    </w:p>
    <w:p>
      <w:pPr>
        <w:keepNext w:val="0"/>
        <w:keepLines w:val="0"/>
        <w:pageBreakBefore w:val="0"/>
        <w:kinsoku/>
        <w:wordWrap/>
        <w:overflowPunct/>
        <w:topLinePunct w:val="0"/>
        <w:autoSpaceDE/>
        <w:autoSpaceDN/>
        <w:bidi w:val="0"/>
        <w:spacing w:line="594" w:lineRule="exact"/>
        <w:ind w:firstLine="420" w:firstLineChars="200"/>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不挥发酸（以乳酸计）</w:t>
      </w:r>
    </w:p>
    <w:p>
      <w:pPr>
        <w:pStyle w:val="2"/>
        <w:keepNext w:val="0"/>
        <w:keepLines w:val="0"/>
        <w:pageBreakBefore w:val="0"/>
        <w:widowControl w:val="0"/>
        <w:kinsoku/>
        <w:wordWrap/>
        <w:overflowPunct/>
        <w:topLinePunct w:val="0"/>
        <w:autoSpaceDE/>
        <w:autoSpaceDN/>
        <w:bidi w:val="0"/>
        <w:adjustRightInd w:val="0"/>
        <w:snapToGrid w:val="0"/>
        <w:spacing w:after="0" w:line="594" w:lineRule="exact"/>
        <w:ind w:firstLine="640" w:firstLineChars="200"/>
        <w:textAlignment w:val="auto"/>
        <w:rPr>
          <w:rFonts w:hint="eastAsia" w:ascii="Times New Roman" w:hAnsi="Times New Roman" w:eastAsia="方正仿宋_GBK" w:cs="Times New Roman"/>
          <w:kern w:val="2"/>
          <w:sz w:val="32"/>
          <w:szCs w:val="22"/>
          <w:highlight w:val="none"/>
          <w:u w:val="none"/>
          <w:lang w:val="en-US" w:eastAsia="zh-CN" w:bidi="ar-SA"/>
        </w:rPr>
      </w:pPr>
      <w:r>
        <w:rPr>
          <w:rFonts w:hint="eastAsia" w:ascii="Times New Roman" w:hAnsi="Times New Roman" w:eastAsia="方正仿宋_GBK" w:cs="Times New Roman"/>
          <w:kern w:val="2"/>
          <w:sz w:val="32"/>
          <w:szCs w:val="22"/>
          <w:highlight w:val="none"/>
          <w:u w:val="none"/>
          <w:lang w:val="en-US" w:eastAsia="zh-CN" w:bidi="ar-SA"/>
        </w:rPr>
        <w:t>不挥发酸（以乳酸计）是食醋中总酸的一种，以乳酸为主，可以使食醋的酸味绵长，柔软可口。不挥发酸含量不足，在一定程度上会影响食醋的口感和风味。《酿造食醋》（GB/T 18187-2000）中规定，食醋中的不挥发酸（以乳酸计）应不少于0.50g/100mL。造成不挥发酸不合格的原因，可能是生产加工过程中发酵工艺控制不当。</w:t>
      </w:r>
    </w:p>
    <w:p>
      <w:pPr>
        <w:keepNext w:val="0"/>
        <w:keepLines w:val="0"/>
        <w:pageBreakBefore w:val="0"/>
        <w:kinsoku/>
        <w:wordWrap/>
        <w:overflowPunct/>
        <w:topLinePunct w:val="0"/>
        <w:autoSpaceDE/>
        <w:autoSpaceDN/>
        <w:bidi w:val="0"/>
        <w:spacing w:line="594" w:lineRule="exact"/>
        <w:ind w:firstLine="420" w:firstLineChars="200"/>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果糖和葡萄糖</w:t>
      </w:r>
    </w:p>
    <w:p>
      <w:pPr>
        <w:pStyle w:val="2"/>
        <w:keepNext w:val="0"/>
        <w:keepLines w:val="0"/>
        <w:pageBreakBefore w:val="0"/>
        <w:widowControl w:val="0"/>
        <w:kinsoku/>
        <w:wordWrap/>
        <w:overflowPunct/>
        <w:topLinePunct w:val="0"/>
        <w:autoSpaceDE/>
        <w:autoSpaceDN/>
        <w:bidi w:val="0"/>
        <w:adjustRightInd w:val="0"/>
        <w:snapToGrid w:val="0"/>
        <w:spacing w:after="0" w:line="594" w:lineRule="exact"/>
        <w:ind w:firstLine="640" w:firstLineChars="200"/>
        <w:textAlignment w:val="auto"/>
        <w:rPr>
          <w:rFonts w:hint="eastAsia" w:ascii="Times New Roman" w:hAnsi="Times New Roman" w:eastAsia="方正仿宋_GBK" w:cs="Times New Roman"/>
          <w:kern w:val="2"/>
          <w:sz w:val="32"/>
          <w:szCs w:val="22"/>
          <w:highlight w:val="none"/>
          <w:u w:val="none"/>
          <w:lang w:val="en-US" w:eastAsia="zh-CN" w:bidi="ar-SA"/>
        </w:rPr>
      </w:pPr>
      <w:r>
        <w:rPr>
          <w:rFonts w:hint="eastAsia" w:ascii="Times New Roman" w:hAnsi="Times New Roman" w:eastAsia="方正仿宋_GBK" w:cs="Times New Roman"/>
          <w:kern w:val="2"/>
          <w:sz w:val="32"/>
          <w:szCs w:val="22"/>
          <w:highlight w:val="none"/>
          <w:u w:val="none"/>
          <w:lang w:val="en-US" w:eastAsia="zh-CN" w:bidi="ar-SA"/>
        </w:rPr>
        <w:t>成熟蜂蜜总含糖量比较高，并且主要是果糖和葡萄糖，其中，果糖和葡萄糖的总含量在蜂蜜中所占比例一般为65%~80%，是检验蜂蜜质量的一个重要理化指标。《食品安全国家标准 蜂蜜》（GB 14963-2011）中规定，蜂蜜中果糖和葡萄糖的总含量应不低于60g/100g。蜂蜜中果糖和葡萄糖含量过少不合格的原因可能是酿造蜂蜜的时间过短，蜂蜜不成熟而导致水分含量过高。</w:t>
      </w:r>
    </w:p>
    <w:p>
      <w:pPr>
        <w:keepNext w:val="0"/>
        <w:keepLines w:val="0"/>
        <w:pageBreakBefore w:val="0"/>
        <w:kinsoku/>
        <w:wordWrap/>
        <w:overflowPunct/>
        <w:topLinePunct w:val="0"/>
        <w:autoSpaceDE/>
        <w:autoSpaceDN/>
        <w:bidi w:val="0"/>
        <w:spacing w:line="594" w:lineRule="exact"/>
        <w:ind w:firstLine="420" w:firstLineChars="200"/>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电导率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kern w:val="2"/>
          <w:sz w:val="32"/>
          <w:szCs w:val="22"/>
          <w:highlight w:val="none"/>
          <w:u w:val="none"/>
          <w:lang w:val="en-US" w:eastAsia="zh-CN" w:bidi="ar-SA"/>
        </w:rPr>
      </w:pPr>
      <w:r>
        <w:rPr>
          <w:rFonts w:hint="eastAsia" w:ascii="Times New Roman" w:hAnsi="Times New Roman" w:eastAsia="方正仿宋_GBK" w:cs="Times New Roman"/>
          <w:kern w:val="2"/>
          <w:sz w:val="32"/>
          <w:szCs w:val="22"/>
          <w:highlight w:val="none"/>
          <w:u w:val="none"/>
          <w:lang w:val="en-US" w:eastAsia="zh-CN" w:bidi="ar-SA"/>
        </w:rPr>
        <w:t>水的电导率即水的电阻的倒数，该指标反映了饮用水的纯净程度以及生产工艺的控制好坏。水的电导率与水中离子含量相关。一般而言，电导率越小，水中所含离子就越少。《瓶装饮用纯净水》（GB 17323-1998）中规定，瓶装饮用纯净水在（25±1）℃测试条件下电导率最大限量值为10μS/cm。电导率超标的主要原因可能是生产工艺存在问题，过程控制不严，反渗透滤膜长久未更换，过滤设备清洗不到位等。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22"/>
          <w:highlight w:val="none"/>
          <w:u w:val="none"/>
          <w:lang w:val="en-US" w:eastAsia="zh-CN" w:bidi="ar-SA"/>
        </w:rPr>
      </w:pPr>
    </w:p>
    <w:p>
      <w:pPr>
        <w:pStyle w:val="2"/>
        <w:rPr>
          <w:rFonts w:hint="eastAsia"/>
          <w:lang w:val="en-US" w:eastAsia="zh-CN"/>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F0E1"/>
    <w:multiLevelType w:val="singleLevel"/>
    <w:tmpl w:val="7F7FF0E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yZTVlOGZmNDAyOWRmOGQyZTQxMmU0MDdkYjc1MT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5BF1382"/>
    <w:rsid w:val="169D136B"/>
    <w:rsid w:val="17DE0CBD"/>
    <w:rsid w:val="18CE4512"/>
    <w:rsid w:val="190A207C"/>
    <w:rsid w:val="190E6EE0"/>
    <w:rsid w:val="199130D1"/>
    <w:rsid w:val="199303A5"/>
    <w:rsid w:val="19AA4605"/>
    <w:rsid w:val="1A8E79BC"/>
    <w:rsid w:val="1A943B45"/>
    <w:rsid w:val="1AF411D7"/>
    <w:rsid w:val="1B6D47CE"/>
    <w:rsid w:val="1BFF1386"/>
    <w:rsid w:val="1C0D4647"/>
    <w:rsid w:val="1E526692"/>
    <w:rsid w:val="1F245FB8"/>
    <w:rsid w:val="1F5254D4"/>
    <w:rsid w:val="20734AD8"/>
    <w:rsid w:val="217B58C1"/>
    <w:rsid w:val="21FD7A99"/>
    <w:rsid w:val="22EE5E6A"/>
    <w:rsid w:val="22FB77CB"/>
    <w:rsid w:val="230DE398"/>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2F8980BA"/>
    <w:rsid w:val="2FFF3C79"/>
    <w:rsid w:val="2FFFEB58"/>
    <w:rsid w:val="313B60D6"/>
    <w:rsid w:val="32BF9929"/>
    <w:rsid w:val="343B3C9B"/>
    <w:rsid w:val="34A10D49"/>
    <w:rsid w:val="353051B6"/>
    <w:rsid w:val="35CD32DE"/>
    <w:rsid w:val="35D3C0FF"/>
    <w:rsid w:val="37B5B0DF"/>
    <w:rsid w:val="39E4139A"/>
    <w:rsid w:val="3A066159"/>
    <w:rsid w:val="3B7ED31C"/>
    <w:rsid w:val="3BBF5734"/>
    <w:rsid w:val="3BE114CD"/>
    <w:rsid w:val="3BFF4D0F"/>
    <w:rsid w:val="3CBB6A1F"/>
    <w:rsid w:val="3D066ED4"/>
    <w:rsid w:val="3D5B7861"/>
    <w:rsid w:val="3D8A31F3"/>
    <w:rsid w:val="3DA70F84"/>
    <w:rsid w:val="3E573C31"/>
    <w:rsid w:val="3E692505"/>
    <w:rsid w:val="3EF70C9F"/>
    <w:rsid w:val="3FBF13ED"/>
    <w:rsid w:val="3FD02490"/>
    <w:rsid w:val="3FF302A1"/>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E836A31"/>
    <w:rsid w:val="4FAD0645"/>
    <w:rsid w:val="4FC70334"/>
    <w:rsid w:val="4FD60C7C"/>
    <w:rsid w:val="4FED00F1"/>
    <w:rsid w:val="52D4703A"/>
    <w:rsid w:val="534230F9"/>
    <w:rsid w:val="54D163A0"/>
    <w:rsid w:val="555B5CD3"/>
    <w:rsid w:val="575B13D1"/>
    <w:rsid w:val="577B200D"/>
    <w:rsid w:val="57A53A3A"/>
    <w:rsid w:val="57BDDC82"/>
    <w:rsid w:val="57CB2923"/>
    <w:rsid w:val="57F70E10"/>
    <w:rsid w:val="5AFFEA09"/>
    <w:rsid w:val="5C9E489B"/>
    <w:rsid w:val="5CC74388"/>
    <w:rsid w:val="5E0540D0"/>
    <w:rsid w:val="5E4907CD"/>
    <w:rsid w:val="5F7B3A23"/>
    <w:rsid w:val="5FB7B33A"/>
    <w:rsid w:val="5FE6D425"/>
    <w:rsid w:val="5FFF4665"/>
    <w:rsid w:val="61DD6D44"/>
    <w:rsid w:val="63DF171E"/>
    <w:rsid w:val="65CF6D9C"/>
    <w:rsid w:val="65FFB26C"/>
    <w:rsid w:val="66023456"/>
    <w:rsid w:val="66325BC9"/>
    <w:rsid w:val="66B2626D"/>
    <w:rsid w:val="67282ECF"/>
    <w:rsid w:val="673FC0B4"/>
    <w:rsid w:val="67AB41B6"/>
    <w:rsid w:val="67FF2A03"/>
    <w:rsid w:val="689C4C03"/>
    <w:rsid w:val="68FA2757"/>
    <w:rsid w:val="696DD54B"/>
    <w:rsid w:val="69F83E9D"/>
    <w:rsid w:val="69FD8E35"/>
    <w:rsid w:val="6A945E1B"/>
    <w:rsid w:val="6BA279B0"/>
    <w:rsid w:val="6BB87E7B"/>
    <w:rsid w:val="6BBBAF32"/>
    <w:rsid w:val="6D0E14DC"/>
    <w:rsid w:val="6EDF6131"/>
    <w:rsid w:val="6F6FCE94"/>
    <w:rsid w:val="6FED6C5C"/>
    <w:rsid w:val="71AF4D28"/>
    <w:rsid w:val="730C532F"/>
    <w:rsid w:val="73B2774B"/>
    <w:rsid w:val="73BC2552"/>
    <w:rsid w:val="73F564A7"/>
    <w:rsid w:val="740B3C12"/>
    <w:rsid w:val="74E00729"/>
    <w:rsid w:val="75057978"/>
    <w:rsid w:val="75202347"/>
    <w:rsid w:val="7593147D"/>
    <w:rsid w:val="76246CC8"/>
    <w:rsid w:val="76BF1C19"/>
    <w:rsid w:val="76D75FC2"/>
    <w:rsid w:val="77887501"/>
    <w:rsid w:val="77DF9F9B"/>
    <w:rsid w:val="77E37BF6"/>
    <w:rsid w:val="77EFBFA0"/>
    <w:rsid w:val="78971D8D"/>
    <w:rsid w:val="78DBD678"/>
    <w:rsid w:val="78EA5C2B"/>
    <w:rsid w:val="79464C25"/>
    <w:rsid w:val="79516C02"/>
    <w:rsid w:val="79CB70EC"/>
    <w:rsid w:val="79EF92A3"/>
    <w:rsid w:val="7AEF50DD"/>
    <w:rsid w:val="7AFF1FDA"/>
    <w:rsid w:val="7B9FEBE1"/>
    <w:rsid w:val="7BC16283"/>
    <w:rsid w:val="7BE61DA8"/>
    <w:rsid w:val="7BF77124"/>
    <w:rsid w:val="7C6619F8"/>
    <w:rsid w:val="7DAB5A58"/>
    <w:rsid w:val="7DC149D8"/>
    <w:rsid w:val="7DFF2D85"/>
    <w:rsid w:val="7E274B0C"/>
    <w:rsid w:val="7ECE4128"/>
    <w:rsid w:val="7EF5D8F9"/>
    <w:rsid w:val="7F3F9D27"/>
    <w:rsid w:val="7F77305C"/>
    <w:rsid w:val="7F77CFFA"/>
    <w:rsid w:val="7F7F6AAB"/>
    <w:rsid w:val="7F7FCEDB"/>
    <w:rsid w:val="7F972554"/>
    <w:rsid w:val="7FAAA59C"/>
    <w:rsid w:val="7FAF1A78"/>
    <w:rsid w:val="7FBB2204"/>
    <w:rsid w:val="7FC7A2FE"/>
    <w:rsid w:val="7FD92FCE"/>
    <w:rsid w:val="7FDE022A"/>
    <w:rsid w:val="7FDE0516"/>
    <w:rsid w:val="7FDEE165"/>
    <w:rsid w:val="7FF6324C"/>
    <w:rsid w:val="7FFB63B1"/>
    <w:rsid w:val="7FFBC323"/>
    <w:rsid w:val="85CF448D"/>
    <w:rsid w:val="89F22F62"/>
    <w:rsid w:val="8BE76863"/>
    <w:rsid w:val="95BD20E8"/>
    <w:rsid w:val="A25F6545"/>
    <w:rsid w:val="A7C5467D"/>
    <w:rsid w:val="A7F588A4"/>
    <w:rsid w:val="ABCFB818"/>
    <w:rsid w:val="ABFBF616"/>
    <w:rsid w:val="B33FEA55"/>
    <w:rsid w:val="B4D086C0"/>
    <w:rsid w:val="B9AD008D"/>
    <w:rsid w:val="BA7B23C6"/>
    <w:rsid w:val="BBEE61D5"/>
    <w:rsid w:val="BDDF9733"/>
    <w:rsid w:val="BF6903CB"/>
    <w:rsid w:val="BF73B3EC"/>
    <w:rsid w:val="BF77EBD6"/>
    <w:rsid w:val="BFBFF716"/>
    <w:rsid w:val="BFFFE9F5"/>
    <w:rsid w:val="BFFFEA05"/>
    <w:rsid w:val="C7BF155C"/>
    <w:rsid w:val="CFFF2247"/>
    <w:rsid w:val="D59F7A23"/>
    <w:rsid w:val="D5FE1140"/>
    <w:rsid w:val="D5FE71D0"/>
    <w:rsid w:val="D6FFFCC9"/>
    <w:rsid w:val="DDF5BFEA"/>
    <w:rsid w:val="DDFF4777"/>
    <w:rsid w:val="DFDE77E3"/>
    <w:rsid w:val="DFFE471E"/>
    <w:rsid w:val="E5FB529B"/>
    <w:rsid w:val="E7FF09A6"/>
    <w:rsid w:val="E8FDFFC9"/>
    <w:rsid w:val="EBFB0C7E"/>
    <w:rsid w:val="ED76D6E8"/>
    <w:rsid w:val="EDFD6938"/>
    <w:rsid w:val="EEFD9629"/>
    <w:rsid w:val="EEFF22F4"/>
    <w:rsid w:val="EFFF94FF"/>
    <w:rsid w:val="F15F95D9"/>
    <w:rsid w:val="F52EA8C1"/>
    <w:rsid w:val="F586E40D"/>
    <w:rsid w:val="F5CFF2A7"/>
    <w:rsid w:val="F5DFD693"/>
    <w:rsid w:val="F676AF9D"/>
    <w:rsid w:val="F76D36FF"/>
    <w:rsid w:val="F77DACB5"/>
    <w:rsid w:val="F77EDC06"/>
    <w:rsid w:val="F77F0E83"/>
    <w:rsid w:val="F9741810"/>
    <w:rsid w:val="F9D644EC"/>
    <w:rsid w:val="FB772F61"/>
    <w:rsid w:val="FB7F583B"/>
    <w:rsid w:val="FB7F6772"/>
    <w:rsid w:val="FBAF4E1A"/>
    <w:rsid w:val="FBFB024C"/>
    <w:rsid w:val="FD7FF06D"/>
    <w:rsid w:val="FEBD9270"/>
    <w:rsid w:val="FECFB7D2"/>
    <w:rsid w:val="FEDD18BB"/>
    <w:rsid w:val="FF5787E3"/>
    <w:rsid w:val="FF5FC2EF"/>
    <w:rsid w:val="FF6AE40B"/>
    <w:rsid w:val="FF7E52F0"/>
    <w:rsid w:val="FF7F41D3"/>
    <w:rsid w:val="FF9B8B7D"/>
    <w:rsid w:val="FFCC5B6F"/>
    <w:rsid w:val="FFD68914"/>
    <w:rsid w:val="FFDAAAD9"/>
    <w:rsid w:val="FFDC6E9A"/>
    <w:rsid w:val="FFF36292"/>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3</Pages>
  <Words>698</Words>
  <Characters>765</Characters>
  <Lines>22</Lines>
  <Paragraphs>6</Paragraphs>
  <TotalTime>5</TotalTime>
  <ScaleCrop>false</ScaleCrop>
  <LinksUpToDate>false</LinksUpToDate>
  <CharactersWithSpaces>774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2019-05-14T20:31:00Z</dcterms:created>
  <dc:creator>SDWM</dc:creator>
  <cp:lastModifiedBy>艾力木热提</cp:lastModifiedBy>
  <cp:lastPrinted>2016-10-07T18:58:00Z</cp:lastPrinted>
  <dcterms:modified xsi:type="dcterms:W3CDTF">2025-10-17T18:33:30Z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F46EFFB5EC0D4DB5A641BE2063BCF22F</vt:lpwstr>
  </property>
</Properties>
</file>