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1F725">
      <w:pPr>
        <w:jc w:val="left"/>
        <w:outlineLvl w:val="1"/>
        <w:rPr>
          <w:rFonts w:hint="default" w:ascii="Times New Roman" w:hAnsi="Times New Roman" w:eastAsia="黑体" w:cs="Times New Roman"/>
          <w:b w:val="0"/>
          <w:bCs w:val="0"/>
          <w:color w:val="auto"/>
          <w:spacing w:val="-12"/>
          <w:sz w:val="32"/>
          <w:szCs w:val="32"/>
          <w:highlight w:val="none"/>
          <w:lang w:val="en-US" w:eastAsia="zh-CN"/>
        </w:rPr>
      </w:pPr>
      <w:r>
        <w:rPr>
          <w:rFonts w:hint="default" w:ascii="Times New Roman" w:hAnsi="Times New Roman" w:eastAsia="黑体" w:cs="Times New Roman"/>
          <w:b w:val="0"/>
          <w:bCs w:val="0"/>
          <w:color w:val="auto"/>
          <w:spacing w:val="-12"/>
          <w:sz w:val="32"/>
          <w:szCs w:val="32"/>
          <w:highlight w:val="none"/>
          <w:lang w:val="en-US" w:eastAsia="zh-Hans"/>
        </w:rPr>
        <w:t>附件</w:t>
      </w:r>
      <w:r>
        <w:rPr>
          <w:rFonts w:hint="eastAsia" w:ascii="Times New Roman" w:hAnsi="Times New Roman" w:eastAsia="黑体" w:cs="Times New Roman"/>
          <w:b w:val="0"/>
          <w:bCs w:val="0"/>
          <w:color w:val="auto"/>
          <w:spacing w:val="-12"/>
          <w:sz w:val="32"/>
          <w:szCs w:val="32"/>
          <w:highlight w:val="none"/>
          <w:lang w:val="en-US" w:eastAsia="zh-CN"/>
        </w:rPr>
        <w:t>3</w:t>
      </w:r>
    </w:p>
    <w:p w14:paraId="0C92432E">
      <w:pPr>
        <w:keepNext w:val="0"/>
        <w:keepLines w:val="0"/>
        <w:pageBreakBefore w:val="0"/>
        <w:widowControl w:val="0"/>
        <w:kinsoku/>
        <w:wordWrap/>
        <w:overflowPunct/>
        <w:topLinePunct w:val="0"/>
        <w:autoSpaceDE/>
        <w:autoSpaceDN/>
        <w:bidi w:val="0"/>
        <w:adjustRightInd/>
        <w:snapToGrid w:val="0"/>
        <w:spacing w:before="291" w:beforeLines="50" w:after="291" w:afterLines="50"/>
        <w:jc w:val="center"/>
        <w:textAlignment w:val="auto"/>
        <w:outlineLvl w:val="1"/>
        <w:rPr>
          <w:rFonts w:hint="default" w:ascii="Times New Roman" w:hAnsi="Times New Roman" w:eastAsia="方正小标宋简体" w:cs="Times New Roman"/>
          <w:b w:val="0"/>
          <w:bCs w:val="0"/>
          <w:color w:val="auto"/>
          <w:spacing w:val="0"/>
          <w:sz w:val="44"/>
          <w:szCs w:val="44"/>
          <w:highlight w:val="none"/>
        </w:rPr>
      </w:pPr>
      <w:r>
        <w:rPr>
          <w:rFonts w:hint="eastAsia" w:ascii="Times New Roman" w:hAnsi="Times New Roman" w:eastAsia="方正小标宋简体" w:cs="Times New Roman"/>
          <w:b w:val="0"/>
          <w:bCs w:val="0"/>
          <w:color w:val="auto"/>
          <w:spacing w:val="0"/>
          <w:sz w:val="44"/>
          <w:szCs w:val="44"/>
          <w:highlight w:val="none"/>
          <w:lang w:eastAsia="zh-CN"/>
        </w:rPr>
        <w:t>关于</w:t>
      </w:r>
      <w:r>
        <w:rPr>
          <w:rFonts w:hint="default" w:ascii="Times New Roman" w:hAnsi="Times New Roman" w:eastAsia="方正小标宋简体" w:cs="Times New Roman"/>
          <w:b w:val="0"/>
          <w:bCs w:val="0"/>
          <w:color w:val="auto"/>
          <w:spacing w:val="0"/>
          <w:sz w:val="44"/>
          <w:szCs w:val="44"/>
          <w:highlight w:val="none"/>
          <w:lang w:eastAsia="zh-CN"/>
        </w:rPr>
        <w:t>部分</w:t>
      </w:r>
      <w:r>
        <w:rPr>
          <w:rFonts w:hint="eastAsia" w:ascii="Times New Roman" w:hAnsi="Times New Roman" w:eastAsia="方正小标宋简体" w:cs="Times New Roman"/>
          <w:b w:val="0"/>
          <w:bCs w:val="0"/>
          <w:color w:val="auto"/>
          <w:spacing w:val="0"/>
          <w:sz w:val="44"/>
          <w:szCs w:val="44"/>
          <w:highlight w:val="none"/>
          <w:lang w:eastAsia="zh-CN"/>
        </w:rPr>
        <w:t>抽检</w:t>
      </w:r>
      <w:r>
        <w:rPr>
          <w:rFonts w:hint="default" w:ascii="Times New Roman" w:hAnsi="Times New Roman" w:eastAsia="方正小标宋简体" w:cs="Times New Roman"/>
          <w:b w:val="0"/>
          <w:bCs w:val="0"/>
          <w:color w:val="auto"/>
          <w:spacing w:val="0"/>
          <w:sz w:val="44"/>
          <w:szCs w:val="44"/>
          <w:highlight w:val="none"/>
        </w:rPr>
        <w:t>项目小知识</w:t>
      </w:r>
    </w:p>
    <w:p w14:paraId="190223C6">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default"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GB" w:eastAsia="zh-CN"/>
        </w:rPr>
        <w:t>乙酰甲胺磷</w:t>
      </w:r>
    </w:p>
    <w:p w14:paraId="1E6955FF">
      <w:pPr>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left="0" w:firstLine="640" w:firstLineChars="200"/>
        <w:jc w:val="both"/>
        <w:textAlignment w:val="auto"/>
        <w:outlineLvl w:val="9"/>
        <w:rPr>
          <w:rFonts w:hint="eastAsia" w:ascii="Times New Roman" w:hAnsi="Times New Roman" w:eastAsia="方正仿宋_GBK" w:cs="Times New Roman"/>
          <w:kern w:val="2"/>
          <w:sz w:val="32"/>
          <w:szCs w:val="22"/>
          <w:highlight w:val="none"/>
          <w:u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乙酰甲胺磷是内吸性的有机磷类杀虫剂。《食品安全国家标准 食品中农药最大残留限量》（GB 2763-2021）中规定，茄子中乙酰甲胺磷最大限量值为0.02mg/kg，其超标的原因主要是菜农为快速控制病害加大用药量，或未遵守采摘间隔期规定，致使上市销售时产品中的药物残留量未降解至标准限量以下。</w:t>
      </w:r>
    </w:p>
    <w:p w14:paraId="226796AD">
      <w:pPr>
        <w:pStyle w:val="2"/>
        <w:rPr>
          <w:rFonts w:hint="default"/>
          <w:lang w:val="en-US" w:eastAsia="zh-CN"/>
        </w:rPr>
      </w:pPr>
    </w:p>
    <w:p w14:paraId="30E3B384">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default" w:ascii="方正黑体_GBK" w:hAnsi="方正黑体_GBK" w:eastAsia="方正黑体_GBK" w:cs="方正黑体_GBK"/>
          <w:spacing w:val="0"/>
          <w:sz w:val="32"/>
          <w:szCs w:val="32"/>
          <w:lang w:val="en-GB" w:eastAsia="zh-CN"/>
        </w:rPr>
      </w:pPr>
      <w:r>
        <w:rPr>
          <w:rFonts w:hint="default" w:ascii="方正黑体_GBK" w:hAnsi="方正黑体_GBK" w:eastAsia="方正黑体_GBK" w:cs="方正黑体_GBK"/>
          <w:spacing w:val="0"/>
          <w:sz w:val="32"/>
          <w:szCs w:val="32"/>
          <w:lang w:val="en-GB" w:eastAsia="zh-CN"/>
        </w:rPr>
        <w:t>大肠菌群</w:t>
      </w:r>
    </w:p>
    <w:p w14:paraId="522E8388">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kern w:val="2"/>
          <w:sz w:val="32"/>
          <w:highlight w:val="none"/>
          <w:u w:val="none"/>
          <w:lang w:val="en-US" w:eastAsia="zh-CN" w:bidi="ar-SA"/>
        </w:rPr>
      </w:pPr>
      <w:r>
        <w:rPr>
          <w:rFonts w:hint="default" w:ascii="Times New Roman" w:hAnsi="Times New Roman" w:eastAsia="方正仿宋_GBK" w:cs="Times New Roman"/>
          <w:kern w:val="2"/>
          <w:sz w:val="32"/>
          <w:highlight w:val="none"/>
          <w:u w:val="none"/>
          <w:lang w:val="en-US" w:eastAsia="zh-CN" w:bidi="ar-SA"/>
        </w:rPr>
        <w:t>大肠菌群是国内外通用的食品污染常用指示菌之一。食品中检出大肠菌群，提示被致病菌（如沙门氏菌、志贺氏菌、致病性大肠杆菌）污染的可能性较大。《食品安全国家标准 糕点、面包》</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GB 7099-2015</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中规定，一个</w:t>
      </w:r>
      <w:r>
        <w:rPr>
          <w:rFonts w:hint="eastAsia" w:ascii="Times New Roman" w:hAnsi="Times New Roman" w:eastAsia="方正仿宋_GBK" w:cs="Times New Roman"/>
          <w:kern w:val="2"/>
          <w:sz w:val="32"/>
          <w:highlight w:val="none"/>
          <w:u w:val="none"/>
          <w:lang w:val="en-US" w:eastAsia="zh-CN" w:bidi="ar-SA"/>
        </w:rPr>
        <w:t>面包</w:t>
      </w:r>
      <w:r>
        <w:rPr>
          <w:rFonts w:hint="default" w:ascii="Times New Roman" w:hAnsi="Times New Roman" w:eastAsia="方正仿宋_GBK" w:cs="Times New Roman"/>
          <w:kern w:val="2"/>
          <w:sz w:val="32"/>
          <w:highlight w:val="none"/>
          <w:u w:val="none"/>
          <w:lang w:val="en-US" w:eastAsia="zh-CN" w:bidi="ar-SA"/>
        </w:rPr>
        <w:t>样品的5次检测结果均不得超过100CFU/g，且至少3次检测结果不得超过10</w:t>
      </w:r>
      <w:bookmarkStart w:id="0" w:name="_GoBack"/>
      <w:bookmarkEnd w:id="0"/>
      <w:r>
        <w:rPr>
          <w:rFonts w:hint="default" w:ascii="Times New Roman" w:hAnsi="Times New Roman" w:eastAsia="方正仿宋_GBK" w:cs="Times New Roman"/>
          <w:kern w:val="2"/>
          <w:sz w:val="32"/>
          <w:highlight w:val="none"/>
          <w:u w:val="none"/>
          <w:lang w:val="en-US" w:eastAsia="zh-CN" w:bidi="ar-SA"/>
        </w:rPr>
        <w:t>CFU/g</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《食品安全国家标准 消毒餐</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饮</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具》（GB 14934-2016）中规定，大肠菌群为不得检出。</w:t>
      </w:r>
      <w:r>
        <w:rPr>
          <w:rFonts w:hint="eastAsia" w:ascii="Times New Roman" w:hAnsi="Times New Roman" w:eastAsia="方正仿宋_GBK" w:cs="Times New Roman"/>
          <w:kern w:val="2"/>
          <w:sz w:val="32"/>
          <w:highlight w:val="none"/>
          <w:u w:val="none"/>
          <w:lang w:val="en-US" w:eastAsia="zh-CN" w:bidi="ar-SA"/>
        </w:rPr>
        <w:t>面包中</w:t>
      </w:r>
      <w:r>
        <w:rPr>
          <w:rFonts w:hint="default" w:ascii="Times New Roman" w:hAnsi="Times New Roman" w:eastAsia="方正仿宋_GBK" w:cs="Times New Roman"/>
          <w:kern w:val="2"/>
          <w:sz w:val="32"/>
          <w:highlight w:val="none"/>
          <w:u w:val="none"/>
          <w:lang w:val="en-US" w:eastAsia="zh-CN" w:bidi="ar-SA"/>
        </w:rPr>
        <w:t>大肠菌群超标可能由于产品的加工原料、包装材料受污染，或在生产过程中产品受人员、工器具等生产设备、环境的污染、有灭菌工艺的产品灭菌不彻底而导致</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复用餐饮具中大肠菌群超标的主要原因可能是餐饮服务场所对餐具未消毒杀菌或杀菌不彻底。</w:t>
      </w:r>
    </w:p>
    <w:p w14:paraId="229A6E80">
      <w:pPr>
        <w:pStyle w:val="2"/>
        <w:rPr>
          <w:rFonts w:hint="default"/>
          <w:lang w:val="en-US" w:eastAsia="zh-CN"/>
        </w:rPr>
      </w:pPr>
    </w:p>
    <w:p w14:paraId="3138BB8D">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GB" w:eastAsia="zh-CN"/>
        </w:rPr>
        <w:t>苯甲酸及其钠盐（以苯甲酸计）</w:t>
      </w:r>
    </w:p>
    <w:p w14:paraId="638E256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22"/>
          <w:highlight w:val="none"/>
          <w:u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苯甲酸又称安息香酸，在酸性条件下对多种微生物有明显的杀菌、抑菌作用，是很常用的食品防腐剂。《食品安全国家标准 食品添加剂使用标准》（GB 2760-2024）中规定，苯甲酸及其钠盐（以苯甲酸计）在腌渍的蔬菜中最大残留限量值为1.0g/kg。造成食品中苯甲酸不合格的主要原因有是生产经营企业为延长产品保质期，或者弥补产品生产过程卫生条件不佳而超限量、超范围使用，或者使用时未准确计量。</w:t>
      </w:r>
    </w:p>
    <w:p w14:paraId="61153A2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22"/>
          <w:highlight w:val="none"/>
          <w:u w:val="none"/>
          <w:lang w:val="en-US" w:eastAsia="zh-CN" w:bidi="ar-SA"/>
        </w:rPr>
      </w:pPr>
    </w:p>
    <w:p w14:paraId="5D3282E2">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地克珠利</w:t>
      </w:r>
    </w:p>
    <w:p w14:paraId="506BEE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‌地克珠利‌是一种‌广谱抗球虫药物‌，主要用于‌预防和治疗畜禽（如鸡、兔等）的球虫病‌。《食品安全国家标准 食品中41种兽药最大残留限量》（GB 31650.1-2022）中规定，鸡蛋中地克珠利的最大残留限量值为10µg/kg。鸡蛋中地克珠利超标的原因，可能是用药治疗蛋鸡疾病导致地克珠利在其体内残留，进而传递至鸡蛋中。</w:t>
      </w:r>
    </w:p>
    <w:p w14:paraId="194C27C3">
      <w:pPr>
        <w:pStyle w:val="2"/>
        <w:rPr>
          <w:rFonts w:hint="eastAsia" w:ascii="Times New Roman" w:hAnsi="Times New Roman" w:eastAsia="方正仿宋_GBK" w:cs="Times New Roman"/>
          <w:b w:val="0"/>
          <w:bCs w:val="0"/>
          <w:sz w:val="32"/>
          <w:szCs w:val="32"/>
          <w:highlight w:val="none"/>
          <w:lang w:val="en-US" w:eastAsia="zh-CN"/>
        </w:rPr>
      </w:pPr>
    </w:p>
    <w:p w14:paraId="3F653336">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酸价（以脂肪计）（KOH）</w:t>
      </w:r>
    </w:p>
    <w:p w14:paraId="24E43AA3">
      <w:pPr>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酸价主要反映食品中的油脂酸败程度。《食品安全国家标准 坚果与籽类食品》（GB 19300-2014）中规定，熟制坚果与籽类食品酸价（以脂肪计）（KOH）最大限量值为3mg/g；《食品安全国家标准 植物油》（GB 2716-2018）中规定，煎炸过程中的食用植物油的酸价（KOH）最大限量值为5mg/g；《核桃油》（GB/T 22327-2019）中规定，一级成品核桃油的酸价（KOH）最大限量值为1.0mg/g。造成酸价不合格的原因可能是原料采购上把关不严、生产工艺不达标、产品储藏条件不当，特别是存贮温度较高时易导致食品中的脂肪氧化酸败。一般情况下，消费者在使用过程中可以明显辨别出其有哈喇等异味，需避免食用。</w:t>
      </w:r>
    </w:p>
    <w:p w14:paraId="4542C95B">
      <w:pPr>
        <w:pStyle w:val="2"/>
        <w:rPr>
          <w:rFonts w:hint="eastAsia"/>
          <w:lang w:val="en-US" w:eastAsia="zh-CN"/>
        </w:rPr>
      </w:pPr>
    </w:p>
    <w:p w14:paraId="47961CF2">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default" w:ascii="方正黑体_GBK" w:hAnsi="方正黑体_GBK" w:eastAsia="方正黑体_GBK" w:cs="方正黑体_GBK"/>
          <w:spacing w:val="0"/>
          <w:sz w:val="32"/>
          <w:szCs w:val="32"/>
          <w:lang w:val="en-US" w:eastAsia="zh-CN"/>
        </w:rPr>
      </w:pPr>
      <w:r>
        <w:rPr>
          <w:rFonts w:hint="default" w:ascii="方正黑体_GBK" w:hAnsi="方正黑体_GBK" w:eastAsia="方正黑体_GBK" w:cs="方正黑体_GBK"/>
          <w:spacing w:val="0"/>
          <w:sz w:val="32"/>
          <w:szCs w:val="32"/>
          <w:lang w:val="en-US" w:eastAsia="zh-CN"/>
        </w:rPr>
        <w:t>脱氢乙酸及其钠盐</w:t>
      </w:r>
      <w:r>
        <w:rPr>
          <w:rFonts w:hint="eastAsia" w:ascii="方正黑体_GBK" w:hAnsi="方正黑体_GBK" w:eastAsia="方正黑体_GBK" w:cs="方正黑体_GBK"/>
          <w:spacing w:val="0"/>
          <w:sz w:val="32"/>
          <w:szCs w:val="32"/>
          <w:lang w:val="en-US" w:eastAsia="zh-CN"/>
        </w:rPr>
        <w:t>（</w:t>
      </w:r>
      <w:r>
        <w:rPr>
          <w:rFonts w:hint="default" w:ascii="方正黑体_GBK" w:hAnsi="方正黑体_GBK" w:eastAsia="方正黑体_GBK" w:cs="方正黑体_GBK"/>
          <w:spacing w:val="0"/>
          <w:sz w:val="32"/>
          <w:szCs w:val="32"/>
          <w:lang w:val="en-US" w:eastAsia="zh-CN"/>
        </w:rPr>
        <w:t>以脱氢乙酸计</w:t>
      </w:r>
      <w:r>
        <w:rPr>
          <w:rFonts w:hint="eastAsia" w:ascii="方正黑体_GBK" w:hAnsi="方正黑体_GBK" w:eastAsia="方正黑体_GBK" w:cs="方正黑体_GBK"/>
          <w:spacing w:val="0"/>
          <w:sz w:val="32"/>
          <w:szCs w:val="32"/>
          <w:lang w:val="en-US" w:eastAsia="zh-CN"/>
        </w:rPr>
        <w:t>）</w:t>
      </w:r>
    </w:p>
    <w:p w14:paraId="41622185">
      <w:pPr>
        <w:pStyle w:val="2"/>
        <w:rPr>
          <w:rFonts w:hint="eastAsia"/>
          <w:lang w:val="en-US" w:eastAsia="zh-CN"/>
        </w:rPr>
      </w:pPr>
      <w:r>
        <w:rPr>
          <w:rFonts w:hint="eastAsia" w:ascii="Times New Roman" w:hAnsi="Times New Roman" w:eastAsia="方正仿宋_GBK" w:cs="Times New Roman"/>
          <w:b w:val="0"/>
          <w:bCs w:val="0"/>
          <w:kern w:val="2"/>
          <w:sz w:val="32"/>
          <w:szCs w:val="32"/>
          <w:highlight w:val="none"/>
          <w:lang w:val="en-US" w:eastAsia="zh-CN" w:bidi="ar-SA"/>
        </w:rPr>
        <w:t>脱氢乙酸及其钠盐作为食品添加剂，广泛用作防腐剂，对霉菌具有较强的抑制作用。《食品安全国家标准 食品添加剂使用标准》（GB 2760-2014）中规定，脱氢乙酸及其钠盐（以脱氢乙酸计）在餐饮食品、淀粉及淀粉制品和食用农产品杨梅中均不得使用。脱氢乙酸及其钠盐不合格的原因可能是个别生产经营企业为防止食品腐败变质而超范围使用。</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7118498E">
        <w:pPr>
          <w:pStyle w:val="5"/>
          <w:jc w:val="center"/>
        </w:pPr>
        <w:r>
          <w:fldChar w:fldCharType="begin"/>
        </w:r>
        <w:r>
          <w:instrText xml:space="preserve">PAGE   \* MERGEFORMAT</w:instrText>
        </w:r>
        <w:r>
          <w:fldChar w:fldCharType="separate"/>
        </w:r>
        <w:r>
          <w:rPr>
            <w:lang w:val="zh-CN"/>
          </w:rPr>
          <w:t>1</w:t>
        </w:r>
        <w:r>
          <w:fldChar w:fldCharType="end"/>
        </w:r>
      </w:p>
    </w:sdtContent>
  </w:sdt>
  <w:p w14:paraId="733744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7FED243"/>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6F18B9"/>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E836A31"/>
    <w:rsid w:val="4FAD0645"/>
    <w:rsid w:val="4FC70334"/>
    <w:rsid w:val="4FD60C7C"/>
    <w:rsid w:val="4FED00F1"/>
    <w:rsid w:val="52D4703A"/>
    <w:rsid w:val="534230F9"/>
    <w:rsid w:val="54D163A0"/>
    <w:rsid w:val="555B5CD3"/>
    <w:rsid w:val="575B13D1"/>
    <w:rsid w:val="577B200D"/>
    <w:rsid w:val="57A53A3A"/>
    <w:rsid w:val="57BDDC82"/>
    <w:rsid w:val="57CB2923"/>
    <w:rsid w:val="5AFFEA09"/>
    <w:rsid w:val="5C9E489B"/>
    <w:rsid w:val="5CC74388"/>
    <w:rsid w:val="5E0540D0"/>
    <w:rsid w:val="5E4907CD"/>
    <w:rsid w:val="5F7B3A23"/>
    <w:rsid w:val="5FE6D425"/>
    <w:rsid w:val="5FFF4665"/>
    <w:rsid w:val="61DD6D44"/>
    <w:rsid w:val="63DF171E"/>
    <w:rsid w:val="65CF6D9C"/>
    <w:rsid w:val="65FFB26C"/>
    <w:rsid w:val="66023456"/>
    <w:rsid w:val="66325BC9"/>
    <w:rsid w:val="66B2626D"/>
    <w:rsid w:val="67282ECF"/>
    <w:rsid w:val="673FC0B4"/>
    <w:rsid w:val="67AB41B6"/>
    <w:rsid w:val="67FF2A03"/>
    <w:rsid w:val="689C4C03"/>
    <w:rsid w:val="68FA2757"/>
    <w:rsid w:val="696DD54B"/>
    <w:rsid w:val="69F83E9D"/>
    <w:rsid w:val="69FD8E35"/>
    <w:rsid w:val="6A945E1B"/>
    <w:rsid w:val="6BA279B0"/>
    <w:rsid w:val="6BB87E7B"/>
    <w:rsid w:val="6BBBAF32"/>
    <w:rsid w:val="6D0E14DC"/>
    <w:rsid w:val="6EDF6131"/>
    <w:rsid w:val="6F6FCE94"/>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F1FDA"/>
    <w:rsid w:val="7B9FEBE1"/>
    <w:rsid w:val="7BC16283"/>
    <w:rsid w:val="7BE61DA8"/>
    <w:rsid w:val="7BF77124"/>
    <w:rsid w:val="7C6619F8"/>
    <w:rsid w:val="7DAB5A58"/>
    <w:rsid w:val="7DC149D8"/>
    <w:rsid w:val="7DFF2D85"/>
    <w:rsid w:val="7E274B0C"/>
    <w:rsid w:val="7ECE4128"/>
    <w:rsid w:val="7EF5D8F9"/>
    <w:rsid w:val="7F3F9D27"/>
    <w:rsid w:val="7F77305C"/>
    <w:rsid w:val="7F77CFFA"/>
    <w:rsid w:val="7F7F6AAB"/>
    <w:rsid w:val="7F7FCEDB"/>
    <w:rsid w:val="7F972554"/>
    <w:rsid w:val="7FAAA59C"/>
    <w:rsid w:val="7FAF1A78"/>
    <w:rsid w:val="7FBB2204"/>
    <w:rsid w:val="7FC7A2FE"/>
    <w:rsid w:val="7FD92FCE"/>
    <w:rsid w:val="7FDE022A"/>
    <w:rsid w:val="7FDE0516"/>
    <w:rsid w:val="7FDEE165"/>
    <w:rsid w:val="7FF6324C"/>
    <w:rsid w:val="7FFB63B1"/>
    <w:rsid w:val="7FFBC323"/>
    <w:rsid w:val="85CF448D"/>
    <w:rsid w:val="89F22F62"/>
    <w:rsid w:val="8BE76863"/>
    <w:rsid w:val="95BD20E8"/>
    <w:rsid w:val="A25F6545"/>
    <w:rsid w:val="A7C5467D"/>
    <w:rsid w:val="A7F588A4"/>
    <w:rsid w:val="ABCFB818"/>
    <w:rsid w:val="ABFBF616"/>
    <w:rsid w:val="B33FEA55"/>
    <w:rsid w:val="B4D086C0"/>
    <w:rsid w:val="B9AD008D"/>
    <w:rsid w:val="BA7B23C6"/>
    <w:rsid w:val="BBEE61D5"/>
    <w:rsid w:val="BDDF9733"/>
    <w:rsid w:val="BF6903CB"/>
    <w:rsid w:val="BF73B3EC"/>
    <w:rsid w:val="BF77EBD6"/>
    <w:rsid w:val="BFBFF716"/>
    <w:rsid w:val="BFFFE9F5"/>
    <w:rsid w:val="BFFFEA05"/>
    <w:rsid w:val="C7BF155C"/>
    <w:rsid w:val="CFFF2247"/>
    <w:rsid w:val="D59F7A23"/>
    <w:rsid w:val="D5FE1140"/>
    <w:rsid w:val="D5FE71D0"/>
    <w:rsid w:val="D6FFFCC9"/>
    <w:rsid w:val="DDF5BFEA"/>
    <w:rsid w:val="DDFF4777"/>
    <w:rsid w:val="DFDE77E3"/>
    <w:rsid w:val="DFFE471E"/>
    <w:rsid w:val="E5FB529B"/>
    <w:rsid w:val="E7FF09A6"/>
    <w:rsid w:val="E8FDFFC9"/>
    <w:rsid w:val="EBFB0C7E"/>
    <w:rsid w:val="ED76D6E8"/>
    <w:rsid w:val="EDFD6938"/>
    <w:rsid w:val="EEFD9629"/>
    <w:rsid w:val="EEFF22F4"/>
    <w:rsid w:val="EF6E8AAA"/>
    <w:rsid w:val="EFFAFAD8"/>
    <w:rsid w:val="EFFF94FF"/>
    <w:rsid w:val="F15F95D9"/>
    <w:rsid w:val="F52EA8C1"/>
    <w:rsid w:val="F586E40D"/>
    <w:rsid w:val="F5CFF2A7"/>
    <w:rsid w:val="F5DFD693"/>
    <w:rsid w:val="F676AF9D"/>
    <w:rsid w:val="F76D36FF"/>
    <w:rsid w:val="F77DACB5"/>
    <w:rsid w:val="F77EDC06"/>
    <w:rsid w:val="F77F0E83"/>
    <w:rsid w:val="F9741810"/>
    <w:rsid w:val="F9D644EC"/>
    <w:rsid w:val="FB772F61"/>
    <w:rsid w:val="FB7F583B"/>
    <w:rsid w:val="FB7F6772"/>
    <w:rsid w:val="FBAF4E1A"/>
    <w:rsid w:val="FBFB024C"/>
    <w:rsid w:val="FD7FF06D"/>
    <w:rsid w:val="FEBD9270"/>
    <w:rsid w:val="FEDD18BB"/>
    <w:rsid w:val="FF5787E3"/>
    <w:rsid w:val="FF5FC2EF"/>
    <w:rsid w:val="FF6AE40B"/>
    <w:rsid w:val="FF7E52F0"/>
    <w:rsid w:val="FF7F41D3"/>
    <w:rsid w:val="FF9B8B7D"/>
    <w:rsid w:val="FFBFDA18"/>
    <w:rsid w:val="FFCC5B6F"/>
    <w:rsid w:val="FFD68914"/>
    <w:rsid w:val="FFDAAAD9"/>
    <w:rsid w:val="FFDC6E9A"/>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3</Pages>
  <Words>698</Words>
  <Characters>765</Characters>
  <Lines>22</Lines>
  <Paragraphs>6</Paragraphs>
  <TotalTime>1</TotalTime>
  <ScaleCrop>false</ScaleCrop>
  <LinksUpToDate>false</LinksUpToDate>
  <CharactersWithSpaces>774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2019-05-14T12:31:00Z</dcterms:created>
  <dc:creator>SDWM</dc:creator>
  <cp:lastModifiedBy>魏立慧</cp:lastModifiedBy>
  <cp:lastPrinted>2016-10-07T10:58:00Z</cp:lastPrinted>
  <dcterms:modified xsi:type="dcterms:W3CDTF">2025-10-28T12:02:06Z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F46EFFB5EC0D4DB5A641BE2063BCF22F</vt:lpwstr>
  </property>
</Properties>
</file>