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08603">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hint="eastAsia" w:ascii="方正小标宋简体" w:eastAsia="方正小标宋简体"/>
          <w:bCs/>
          <w:sz w:val="44"/>
        </w:rPr>
      </w:pPr>
      <w:bookmarkStart w:id="0" w:name="B0001"/>
      <w:r>
        <w:rPr>
          <w:rFonts w:hint="eastAsia" w:ascii="方正小标宋简体" w:eastAsia="方正小标宋简体"/>
          <w:bCs/>
          <w:sz w:val="44"/>
        </w:rPr>
        <w:t>关于《</w:t>
      </w:r>
      <w:r>
        <w:rPr>
          <w:rFonts w:hint="eastAsia" w:ascii="方正小标宋简体" w:eastAsia="方正小标宋简体"/>
          <w:bCs/>
          <w:sz w:val="44"/>
          <w:lang w:eastAsia="zh-CN"/>
        </w:rPr>
        <w:t>机关食堂反食品浪费工作成效评估规范</w:t>
      </w:r>
      <w:r>
        <w:rPr>
          <w:rFonts w:hint="eastAsia" w:ascii="方正小标宋简体" w:eastAsia="方正小标宋简体"/>
          <w:bCs/>
          <w:sz w:val="44"/>
        </w:rPr>
        <w:t>》</w:t>
      </w:r>
      <w:bookmarkEnd w:id="0"/>
      <w:r>
        <w:rPr>
          <w:rFonts w:hint="eastAsia" w:ascii="方正小标宋简体" w:eastAsia="方正小标宋简体"/>
          <w:bCs/>
          <w:sz w:val="44"/>
        </w:rPr>
        <w:t>的解读</w:t>
      </w:r>
    </w:p>
    <w:p w14:paraId="04AD6B96">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方正小标宋简体" w:eastAsia="方正小标宋简体"/>
          <w:bCs/>
          <w:sz w:val="44"/>
          <w:lang w:val="en-US" w:eastAsia="zh-CN"/>
        </w:rPr>
      </w:pPr>
    </w:p>
    <w:p w14:paraId="03AB9658">
      <w:pPr>
        <w:keepNext w:val="0"/>
        <w:keepLines w:val="0"/>
        <w:pageBreakBefore w:val="0"/>
        <w:widowControl w:val="0"/>
        <w:kinsoku/>
        <w:wordWrap/>
        <w:overflowPunct/>
        <w:topLinePunct w:val="0"/>
        <w:bidi w:val="0"/>
        <w:adjustRightInd w:val="0"/>
        <w:snapToGrid w:val="0"/>
        <w:spacing w:line="540" w:lineRule="exact"/>
        <w:ind w:firstLine="640" w:firstLineChars="200"/>
        <w:jc w:val="both"/>
        <w:textAlignment w:val="auto"/>
        <w:rPr>
          <w:rFonts w:hint="eastAsia" w:ascii="仿宋_GB2312" w:hAnsi="仿宋_GB2312" w:eastAsia="黑体" w:cs="仿宋_GB2312"/>
          <w:szCs w:val="32"/>
        </w:rPr>
      </w:pPr>
      <w:bookmarkStart w:id="1" w:name="开始"/>
      <w:bookmarkEnd w:id="1"/>
      <w:r>
        <w:rPr>
          <w:rFonts w:hint="eastAsia" w:ascii="黑体" w:hAnsi="黑体" w:eastAsia="黑体" w:cs="黑体"/>
          <w:szCs w:val="32"/>
        </w:rPr>
        <w:t>一、制定标准的目的</w:t>
      </w:r>
    </w:p>
    <w:p w14:paraId="53A0001B">
      <w:pPr>
        <w:pStyle w:val="3"/>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both"/>
        <w:textAlignment w:val="auto"/>
        <w:rPr>
          <w:rFonts w:ascii="仿宋_GB2312" w:hAnsi="仿宋_GB2312" w:cs="仿宋_GB2312"/>
          <w:bCs/>
          <w:sz w:val="32"/>
          <w:szCs w:val="32"/>
          <w:lang w:bidi="ar"/>
        </w:rPr>
      </w:pPr>
      <w:r>
        <w:rPr>
          <w:rFonts w:hint="eastAsia" w:ascii="仿宋_GB2312" w:hAnsi="仿宋_GB2312" w:cs="仿宋_GB2312"/>
          <w:bCs/>
          <w:sz w:val="32"/>
          <w:szCs w:val="32"/>
          <w:lang w:eastAsia="zh-CN" w:bidi="ar"/>
        </w:rPr>
        <w:t>制定本标准旨在深入贯彻习近平总书记关于制止餐饮浪费的指示精神，依据相关法律与自治区意见，结合新疆实际情况，提升</w:t>
      </w:r>
      <w:r>
        <w:rPr>
          <w:rFonts w:hint="eastAsia" w:ascii="仿宋_GB2312" w:hAnsi="仿宋_GB2312" w:cs="仿宋_GB2312"/>
          <w:bCs/>
          <w:sz w:val="32"/>
          <w:szCs w:val="32"/>
          <w:lang w:val="en-US" w:eastAsia="zh-CN" w:bidi="ar"/>
        </w:rPr>
        <w:t>机关</w:t>
      </w:r>
      <w:r>
        <w:rPr>
          <w:rFonts w:hint="eastAsia" w:ascii="仿宋_GB2312" w:hAnsi="仿宋_GB2312" w:cs="仿宋_GB2312"/>
          <w:bCs/>
          <w:sz w:val="32"/>
          <w:szCs w:val="32"/>
          <w:lang w:eastAsia="zh-CN" w:bidi="ar"/>
        </w:rPr>
        <w:t>食堂管理水平，减少食品浪费，营造节约氛围，同时为其他公共机构食堂提供借鉴，推动全疆反食品浪费工作深入开展。</w:t>
      </w:r>
    </w:p>
    <w:p w14:paraId="4702012F">
      <w:pPr>
        <w:keepNext w:val="0"/>
        <w:keepLines w:val="0"/>
        <w:pageBreakBefore w:val="0"/>
        <w:widowControl w:val="0"/>
        <w:numPr>
          <w:ilvl w:val="0"/>
          <w:numId w:val="1"/>
        </w:numPr>
        <w:kinsoku/>
        <w:wordWrap/>
        <w:overflowPunct/>
        <w:topLinePunct w:val="0"/>
        <w:bidi w:val="0"/>
        <w:adjustRightInd w:val="0"/>
        <w:snapToGrid w:val="0"/>
        <w:spacing w:line="540" w:lineRule="exact"/>
        <w:ind w:firstLine="640" w:firstLineChars="200"/>
        <w:jc w:val="both"/>
        <w:textAlignment w:val="auto"/>
        <w:rPr>
          <w:rFonts w:ascii="黑体" w:hAnsi="黑体" w:eastAsia="黑体" w:cs="黑体"/>
          <w:szCs w:val="32"/>
        </w:rPr>
      </w:pPr>
      <w:r>
        <w:rPr>
          <w:rFonts w:hint="eastAsia" w:ascii="黑体" w:hAnsi="黑体" w:eastAsia="黑体" w:cs="黑体"/>
          <w:szCs w:val="32"/>
        </w:rPr>
        <w:t>制定标准的意义</w:t>
      </w:r>
    </w:p>
    <w:p w14:paraId="1D402533">
      <w:pPr>
        <w:pStyle w:val="3"/>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both"/>
        <w:textAlignment w:val="auto"/>
        <w:rPr>
          <w:rFonts w:hint="eastAsia" w:ascii="仿宋_GB2312" w:hAnsi="仿宋_GB2312" w:cs="仿宋_GB2312"/>
          <w:bCs/>
          <w:sz w:val="32"/>
          <w:szCs w:val="32"/>
          <w:lang w:bidi="ar"/>
        </w:rPr>
      </w:pPr>
      <w:r>
        <w:rPr>
          <w:rFonts w:hint="eastAsia" w:ascii="仿宋_GB2312" w:hAnsi="仿宋_GB2312" w:cs="仿宋_GB2312"/>
          <w:bCs/>
          <w:sz w:val="32"/>
          <w:szCs w:val="32"/>
          <w:lang w:eastAsia="zh-CN" w:bidi="ar"/>
        </w:rPr>
        <w:t>反食品浪费工作是保障国家粮食安全举措，有利于保护环境与节约资源，</w:t>
      </w:r>
      <w:r>
        <w:rPr>
          <w:rFonts w:hint="eastAsia" w:ascii="仿宋_GB2312" w:hAnsi="仿宋_GB2312" w:cs="仿宋_GB2312"/>
          <w:bCs/>
          <w:sz w:val="32"/>
          <w:szCs w:val="32"/>
          <w:lang w:val="en-US" w:eastAsia="zh-CN" w:bidi="ar"/>
        </w:rPr>
        <w:t>既能统一</w:t>
      </w:r>
      <w:r>
        <w:rPr>
          <w:rFonts w:hint="eastAsia" w:ascii="仿宋_GB2312" w:hAnsi="仿宋_GB2312" w:cs="仿宋_GB2312"/>
          <w:bCs/>
          <w:sz w:val="32"/>
          <w:szCs w:val="32"/>
          <w:lang w:eastAsia="zh-CN" w:bidi="ar"/>
        </w:rPr>
        <w:t>机关食堂反食品浪费工作成效评估</w:t>
      </w:r>
      <w:r>
        <w:rPr>
          <w:rFonts w:hint="eastAsia" w:ascii="仿宋_GB2312" w:hAnsi="仿宋_GB2312" w:cs="仿宋_GB2312"/>
          <w:bCs/>
          <w:sz w:val="32"/>
          <w:szCs w:val="32"/>
          <w:lang w:val="en-US" w:eastAsia="zh-CN" w:bidi="ar"/>
        </w:rPr>
        <w:t>要求，</w:t>
      </w:r>
      <w:r>
        <w:rPr>
          <w:rFonts w:hint="eastAsia" w:ascii="仿宋_GB2312" w:hAnsi="仿宋_GB2312" w:cs="仿宋_GB2312"/>
          <w:bCs/>
          <w:sz w:val="32"/>
          <w:szCs w:val="32"/>
          <w:lang w:eastAsia="zh-CN" w:bidi="ar"/>
        </w:rPr>
        <w:t>还能指导机关食堂科学开展反浪费管理工作，促使干部职工养成“光盘”习惯，让党政机关在全社会反浪费中发挥模范带头作用</w:t>
      </w:r>
      <w:r>
        <w:rPr>
          <w:rFonts w:hint="eastAsia" w:ascii="仿宋_GB2312" w:hAnsi="仿宋_GB2312" w:cs="仿宋_GB2312"/>
          <w:bCs/>
          <w:sz w:val="32"/>
          <w:szCs w:val="32"/>
          <w:lang w:bidi="ar"/>
        </w:rPr>
        <w:t>。</w:t>
      </w:r>
    </w:p>
    <w:p w14:paraId="21E2269C">
      <w:pPr>
        <w:keepNext w:val="0"/>
        <w:keepLines w:val="0"/>
        <w:pageBreakBefore w:val="0"/>
        <w:widowControl w:val="0"/>
        <w:numPr>
          <w:ilvl w:val="0"/>
          <w:numId w:val="1"/>
        </w:numPr>
        <w:kinsoku/>
        <w:wordWrap/>
        <w:overflowPunct/>
        <w:topLinePunct w:val="0"/>
        <w:bidi w:val="0"/>
        <w:adjustRightInd w:val="0"/>
        <w:snapToGrid w:val="0"/>
        <w:spacing w:line="540" w:lineRule="exact"/>
        <w:ind w:firstLine="640" w:firstLineChars="200"/>
        <w:jc w:val="both"/>
        <w:textAlignment w:val="auto"/>
        <w:rPr>
          <w:rFonts w:ascii="黑体" w:hAnsi="黑体" w:eastAsia="黑体" w:cs="黑体"/>
          <w:szCs w:val="32"/>
        </w:rPr>
      </w:pPr>
      <w:r>
        <w:rPr>
          <w:rFonts w:hint="eastAsia" w:ascii="黑体" w:hAnsi="黑体" w:eastAsia="黑体" w:cs="黑体"/>
          <w:szCs w:val="32"/>
        </w:rPr>
        <w:t>制定标准的内容概况</w:t>
      </w:r>
    </w:p>
    <w:p w14:paraId="19A5AA76">
      <w:pPr>
        <w:pStyle w:val="3"/>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both"/>
        <w:textAlignment w:val="auto"/>
        <w:rPr>
          <w:rFonts w:ascii="仿宋_GB2312" w:hAnsi="仿宋_GB2312" w:cs="仿宋_GB2312"/>
          <w:bCs/>
          <w:sz w:val="32"/>
          <w:szCs w:val="32"/>
          <w:lang w:bidi="ar"/>
        </w:rPr>
      </w:pPr>
      <w:r>
        <w:rPr>
          <w:rFonts w:hint="eastAsia" w:ascii="仿宋_GB2312" w:hAnsi="仿宋_GB2312" w:cs="仿宋_GB2312"/>
          <w:bCs/>
          <w:sz w:val="32"/>
          <w:szCs w:val="32"/>
          <w:lang w:eastAsia="zh-CN" w:bidi="ar"/>
        </w:rPr>
        <w:t>本标准规定了机关食堂反食品浪费工作成效评估原则、评估主体、评估内容、评估指标体系、评估方式、评估程序、评分细则等方面的要求</w:t>
      </w:r>
      <w:r>
        <w:rPr>
          <w:rFonts w:hint="eastAsia" w:ascii="仿宋_GB2312" w:hAnsi="仿宋_GB2312" w:cs="仿宋_GB2312"/>
          <w:bCs/>
          <w:sz w:val="32"/>
          <w:szCs w:val="32"/>
          <w:lang w:bidi="ar"/>
        </w:rPr>
        <w:t>。经过实地调研、收集资料、</w:t>
      </w:r>
      <w:r>
        <w:rPr>
          <w:rFonts w:hint="eastAsia" w:ascii="仿宋_GB2312" w:hAnsi="仿宋_GB2312" w:cs="仿宋_GB2312"/>
          <w:bCs/>
          <w:sz w:val="32"/>
          <w:szCs w:val="32"/>
          <w:lang w:eastAsia="zh-CN" w:bidi="ar"/>
        </w:rPr>
        <w:t>抽查评估</w:t>
      </w:r>
      <w:r>
        <w:rPr>
          <w:rFonts w:hint="eastAsia" w:ascii="仿宋_GB2312" w:hAnsi="仿宋_GB2312" w:cs="仿宋_GB2312"/>
          <w:bCs/>
          <w:sz w:val="32"/>
          <w:szCs w:val="32"/>
          <w:lang w:bidi="ar"/>
        </w:rPr>
        <w:t>、内部讨论、广泛征求意见</w:t>
      </w:r>
      <w:r>
        <w:rPr>
          <w:rFonts w:hint="eastAsia" w:ascii="仿宋_GB2312" w:hAnsi="仿宋_GB2312" w:cs="仿宋_GB2312"/>
          <w:bCs/>
          <w:sz w:val="32"/>
          <w:szCs w:val="32"/>
          <w:lang w:val="en-US" w:eastAsia="zh-CN" w:bidi="ar"/>
        </w:rPr>
        <w:t>并经过专家</w:t>
      </w:r>
      <w:r>
        <w:rPr>
          <w:rFonts w:hint="eastAsia" w:ascii="仿宋_GB2312" w:hAnsi="仿宋_GB2312" w:cs="仿宋_GB2312"/>
          <w:bCs/>
          <w:sz w:val="32"/>
          <w:szCs w:val="32"/>
          <w:lang w:bidi="ar"/>
        </w:rPr>
        <w:t>审定</w:t>
      </w:r>
      <w:r>
        <w:rPr>
          <w:rFonts w:hint="eastAsia" w:ascii="仿宋_GB2312" w:hAnsi="仿宋_GB2312" w:cs="仿宋_GB2312"/>
          <w:bCs/>
          <w:sz w:val="32"/>
          <w:szCs w:val="32"/>
          <w:lang w:eastAsia="zh-CN" w:bidi="ar"/>
        </w:rPr>
        <w:t>，</w:t>
      </w:r>
      <w:r>
        <w:rPr>
          <w:rFonts w:hint="eastAsia" w:ascii="仿宋_GB2312" w:hAnsi="仿宋_GB2312" w:cs="仿宋_GB2312"/>
          <w:bCs/>
          <w:sz w:val="32"/>
          <w:szCs w:val="32"/>
          <w:lang w:val="en-US" w:eastAsia="zh-CN" w:bidi="ar"/>
        </w:rPr>
        <w:t>多次修改和完善</w:t>
      </w:r>
      <w:r>
        <w:rPr>
          <w:rFonts w:hint="eastAsia" w:ascii="仿宋_GB2312" w:hAnsi="仿宋_GB2312" w:cs="仿宋_GB2312"/>
          <w:bCs/>
          <w:sz w:val="32"/>
          <w:szCs w:val="32"/>
          <w:lang w:bidi="ar"/>
        </w:rPr>
        <w:t>形成本</w:t>
      </w:r>
      <w:r>
        <w:rPr>
          <w:rFonts w:hint="eastAsia" w:ascii="仿宋_GB2312" w:hAnsi="仿宋_GB2312" w:cs="仿宋_GB2312"/>
          <w:bCs/>
          <w:sz w:val="32"/>
          <w:szCs w:val="32"/>
          <w:lang w:eastAsia="zh-CN" w:bidi="ar"/>
        </w:rPr>
        <w:t>标准</w:t>
      </w:r>
      <w:r>
        <w:rPr>
          <w:rFonts w:hint="eastAsia" w:ascii="仿宋_GB2312" w:hAnsi="仿宋_GB2312" w:cs="仿宋_GB2312"/>
          <w:bCs/>
          <w:sz w:val="32"/>
          <w:szCs w:val="32"/>
          <w:lang w:bidi="ar"/>
        </w:rPr>
        <w:t>。</w:t>
      </w:r>
    </w:p>
    <w:p w14:paraId="4C6B19C6">
      <w:pPr>
        <w:keepNext w:val="0"/>
        <w:keepLines w:val="0"/>
        <w:pageBreakBefore w:val="0"/>
        <w:widowControl w:val="0"/>
        <w:numPr>
          <w:ilvl w:val="0"/>
          <w:numId w:val="1"/>
        </w:numPr>
        <w:kinsoku/>
        <w:wordWrap/>
        <w:overflowPunct/>
        <w:topLinePunct w:val="0"/>
        <w:bidi w:val="0"/>
        <w:adjustRightInd w:val="0"/>
        <w:snapToGrid w:val="0"/>
        <w:spacing w:line="540" w:lineRule="exact"/>
        <w:ind w:firstLine="640" w:firstLineChars="200"/>
        <w:jc w:val="both"/>
        <w:textAlignment w:val="auto"/>
        <w:rPr>
          <w:rFonts w:ascii="黑体" w:hAnsi="黑体" w:eastAsia="黑体" w:cs="黑体"/>
          <w:szCs w:val="32"/>
        </w:rPr>
      </w:pPr>
      <w:r>
        <w:rPr>
          <w:rFonts w:hint="eastAsia" w:ascii="黑体" w:hAnsi="黑体" w:eastAsia="黑体" w:cs="黑体"/>
          <w:szCs w:val="32"/>
        </w:rPr>
        <w:t>制定标准的预期成效</w:t>
      </w:r>
    </w:p>
    <w:p w14:paraId="22F0F72E">
      <w:pPr>
        <w:pStyle w:val="3"/>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both"/>
        <w:textAlignment w:val="auto"/>
        <w:rPr>
          <w:rFonts w:ascii="仿宋_GB2312" w:hAnsi="仿宋_GB2312" w:cs="仿宋_GB2312"/>
          <w:bCs/>
          <w:sz w:val="32"/>
          <w:szCs w:val="32"/>
          <w:lang w:bidi="ar"/>
        </w:rPr>
      </w:pPr>
      <w:r>
        <w:rPr>
          <w:rFonts w:hint="eastAsia" w:ascii="仿宋_GB2312" w:hAnsi="仿宋_GB2312" w:cs="仿宋_GB2312"/>
          <w:bCs/>
          <w:sz w:val="32"/>
          <w:szCs w:val="32"/>
          <w:lang w:eastAsia="zh-CN" w:bidi="ar"/>
        </w:rPr>
        <w:t>本标准预期成果包括提升机关食堂管理水平，减少食品浪费，形成节约氛围，为全疆各类食堂反食品浪费工作引航定向，推动全疆公共机构反食品浪费深入开展，发挥党</w:t>
      </w:r>
      <w:bookmarkStart w:id="2" w:name="_GoBack"/>
      <w:bookmarkEnd w:id="2"/>
      <w:r>
        <w:rPr>
          <w:rFonts w:hint="eastAsia" w:ascii="仿宋_GB2312" w:hAnsi="仿宋_GB2312" w:cs="仿宋_GB2312"/>
          <w:bCs/>
          <w:sz w:val="32"/>
          <w:szCs w:val="32"/>
          <w:lang w:eastAsia="zh-CN" w:bidi="ar"/>
        </w:rPr>
        <w:t>政机关示范引领作用</w:t>
      </w:r>
      <w:r>
        <w:rPr>
          <w:rFonts w:hint="eastAsia" w:ascii="仿宋_GB2312" w:hAnsi="仿宋_GB2312" w:cs="仿宋_GB2312"/>
          <w:bCs/>
          <w:sz w:val="32"/>
          <w:szCs w:val="32"/>
          <w:lang w:bidi="ar"/>
        </w:rPr>
        <w:t>。</w:t>
      </w:r>
    </w:p>
    <w:p w14:paraId="76F0321B">
      <w:pPr>
        <w:pStyle w:val="3"/>
        <w:keepNext w:val="0"/>
        <w:keepLines w:val="0"/>
        <w:pageBreakBefore w:val="0"/>
        <w:widowControl w:val="0"/>
        <w:kinsoku/>
        <w:wordWrap/>
        <w:overflowPunct/>
        <w:topLinePunct w:val="0"/>
        <w:autoSpaceDE w:val="0"/>
        <w:autoSpaceDN w:val="0"/>
        <w:bidi w:val="0"/>
        <w:adjustRightInd w:val="0"/>
        <w:snapToGrid w:val="0"/>
        <w:spacing w:line="540" w:lineRule="exact"/>
        <w:ind w:firstLine="640" w:firstLineChars="200"/>
        <w:jc w:val="both"/>
        <w:textAlignment w:val="auto"/>
        <w:rPr>
          <w:rFonts w:hint="eastAsia" w:ascii="仿宋_GB2312" w:hAnsi="仿宋_GB2312" w:cs="仿宋_GB2312"/>
          <w:bCs/>
          <w:sz w:val="32"/>
          <w:szCs w:val="32"/>
        </w:rPr>
      </w:pPr>
    </w:p>
    <w:p w14:paraId="4D5232E5">
      <w:pPr>
        <w:keepNext w:val="0"/>
        <w:keepLines w:val="0"/>
        <w:pageBreakBefore w:val="0"/>
        <w:widowControl w:val="0"/>
        <w:tabs>
          <w:tab w:val="left" w:pos="12240"/>
        </w:tabs>
        <w:kinsoku/>
        <w:wordWrap/>
        <w:overflowPunct/>
        <w:topLinePunct w:val="0"/>
        <w:bidi w:val="0"/>
        <w:adjustRightInd w:val="0"/>
        <w:snapToGrid w:val="0"/>
        <w:spacing w:line="540" w:lineRule="exact"/>
        <w:ind w:left="0" w:leftChars="0" w:firstLine="0" w:firstLineChars="0"/>
        <w:jc w:val="right"/>
        <w:textAlignment w:val="auto"/>
        <w:rPr>
          <w:rFonts w:ascii="仿宋_GB2312" w:hAnsi="仿宋_GB2312" w:cs="仿宋_GB2312"/>
          <w:bCs/>
          <w:szCs w:val="32"/>
        </w:rPr>
      </w:pPr>
      <w:r>
        <w:rPr>
          <w:rFonts w:hint="eastAsia" w:ascii="仿宋_GB2312" w:hAnsi="仿宋_GB2312" w:cs="仿宋_GB2312"/>
          <w:bCs/>
          <w:szCs w:val="32"/>
          <w:lang w:bidi="ar"/>
        </w:rPr>
        <w:t>《</w:t>
      </w:r>
      <w:r>
        <w:rPr>
          <w:rFonts w:hint="eastAsia" w:ascii="仿宋_GB2312" w:hAnsi="仿宋_GB2312" w:cs="仿宋_GB2312"/>
          <w:bCs/>
          <w:szCs w:val="32"/>
          <w:lang w:eastAsia="zh-CN" w:bidi="ar"/>
        </w:rPr>
        <w:t>机关食堂反食品浪费工作成效评估规范</w:t>
      </w:r>
      <w:r>
        <w:rPr>
          <w:rFonts w:hint="eastAsia" w:ascii="仿宋_GB2312" w:hAnsi="仿宋_GB2312" w:cs="仿宋_GB2312"/>
          <w:bCs/>
          <w:szCs w:val="32"/>
          <w:lang w:bidi="ar"/>
        </w:rPr>
        <w:t>》标准起草小组</w:t>
      </w:r>
    </w:p>
    <w:p w14:paraId="52738329">
      <w:pPr>
        <w:keepNext w:val="0"/>
        <w:keepLines w:val="0"/>
        <w:pageBreakBefore w:val="0"/>
        <w:widowControl w:val="0"/>
        <w:tabs>
          <w:tab w:val="left" w:pos="12240"/>
        </w:tabs>
        <w:kinsoku/>
        <w:wordWrap/>
        <w:overflowPunct/>
        <w:topLinePunct w:val="0"/>
        <w:bidi w:val="0"/>
        <w:adjustRightInd w:val="0"/>
        <w:snapToGrid w:val="0"/>
        <w:spacing w:line="540" w:lineRule="exact"/>
        <w:jc w:val="center"/>
        <w:textAlignment w:val="auto"/>
        <w:rPr>
          <w:rFonts w:ascii="仿宋_GB2312" w:hAnsi="仿宋_GB2312" w:cs="仿宋_GB2312"/>
          <w:bCs/>
          <w:szCs w:val="32"/>
        </w:rPr>
      </w:pPr>
      <w:r>
        <w:rPr>
          <w:rFonts w:hint="eastAsia" w:ascii="仿宋_GB2312" w:hAnsi="仿宋_GB2312" w:cs="仿宋_GB2312"/>
          <w:bCs/>
          <w:szCs w:val="32"/>
          <w:lang w:val="en-US" w:eastAsia="zh-CN" w:bidi="ar"/>
        </w:rPr>
        <w:t xml:space="preserve">         </w:t>
      </w:r>
      <w:r>
        <w:rPr>
          <w:rFonts w:hint="eastAsia" w:ascii="仿宋_GB2312" w:hAnsi="仿宋_GB2312" w:cs="仿宋_GB2312"/>
          <w:bCs/>
          <w:szCs w:val="32"/>
          <w:lang w:bidi="ar"/>
        </w:rPr>
        <w:t>2024年</w:t>
      </w:r>
      <w:r>
        <w:rPr>
          <w:rFonts w:hint="eastAsia" w:ascii="仿宋_GB2312" w:hAnsi="仿宋_GB2312" w:cs="仿宋_GB2312"/>
          <w:bCs/>
          <w:szCs w:val="32"/>
          <w:lang w:val="en-US" w:eastAsia="zh-CN" w:bidi="ar"/>
        </w:rPr>
        <w:t>11</w:t>
      </w:r>
      <w:r>
        <w:rPr>
          <w:rFonts w:hint="eastAsia" w:ascii="仿宋_GB2312" w:hAnsi="仿宋_GB2312" w:cs="仿宋_GB2312"/>
          <w:bCs/>
          <w:szCs w:val="32"/>
          <w:lang w:bidi="ar"/>
        </w:rPr>
        <w:t>月</w:t>
      </w:r>
      <w:r>
        <w:rPr>
          <w:rFonts w:hint="eastAsia" w:ascii="仿宋_GB2312" w:hAnsi="仿宋_GB2312" w:cs="仿宋_GB2312"/>
          <w:bCs/>
          <w:szCs w:val="32"/>
          <w:lang w:val="en-US" w:eastAsia="zh-CN" w:bidi="ar"/>
        </w:rPr>
        <w:t>21</w:t>
      </w:r>
      <w:r>
        <w:rPr>
          <w:rFonts w:hint="eastAsia" w:ascii="仿宋_GB2312" w:hAnsi="仿宋_GB2312" w:cs="仿宋_GB2312"/>
          <w:bCs/>
          <w:szCs w:val="32"/>
          <w:lang w:bidi="ar"/>
        </w:rPr>
        <w:t>日</w:t>
      </w:r>
    </w:p>
    <w:sectPr>
      <w:pgSz w:w="11906" w:h="16838"/>
      <w:pgMar w:top="1778" w:right="1531" w:bottom="1620" w:left="1531" w:header="851" w:footer="992" w:gutter="0"/>
      <w:cols w:space="0" w:num="1"/>
      <w:rtlGutter w:val="0"/>
      <w:docGrid w:type="lines" w:linePitch="43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4A7A73"/>
    <w:multiLevelType w:val="singleLevel"/>
    <w:tmpl w:val="644A7A7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22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2Y2U0YTgzYzY2YWQ3NjBjM2Y5OWM2OWYxOGU2ZjUifQ=="/>
  </w:docVars>
  <w:rsids>
    <w:rsidRoot w:val="00000000"/>
    <w:rsid w:val="32ED4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仿宋_GB2312" w:cs="Times New Roman"/>
      <w:kern w:val="2"/>
      <w:sz w:val="3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Normal (Web)"/>
    <w:basedOn w:val="1"/>
    <w:qFormat/>
    <w:uiPriority w:val="0"/>
    <w:rPr>
      <w:sz w:val="24"/>
    </w:rPr>
  </w:style>
  <w:style w:type="paragraph" w:customStyle="1" w:styleId="6">
    <w:name w:val="Default"/>
    <w:basedOn w:val="1"/>
    <w:qFormat/>
    <w:uiPriority w:val="0"/>
    <w:pPr>
      <w:autoSpaceDE w:val="0"/>
      <w:autoSpaceDN w:val="0"/>
      <w:adjustRightInd w:val="0"/>
      <w:jc w:val="left"/>
    </w:pPr>
    <w:rPr>
      <w:rFonts w:hint="eastAsia" w:ascii="Arial Unicode MS" w:hAnsi="Calibri" w:eastAsia="Times New Roman"/>
      <w:color w:val="000000"/>
      <w:kern w:val="0"/>
      <w:sz w:val="24"/>
      <w:szCs w:val="24"/>
    </w:rPr>
  </w:style>
  <w:style w:type="paragraph" w:customStyle="1" w:styleId="7">
    <w:name w:val="标准文件_段"/>
    <w:basedOn w:val="1"/>
    <w:qFormat/>
    <w:uiPriority w:val="0"/>
    <w:pPr>
      <w:widowControl/>
      <w:autoSpaceDE w:val="0"/>
      <w:autoSpaceDN w:val="0"/>
      <w:ind w:firstLine="200" w:firstLineChars="200"/>
    </w:pPr>
    <w:rPr>
      <w:rFonts w:hint="eastAsia" w:ascii="宋体" w:hAnsi="Calibri" w:eastAsia="宋体"/>
      <w:kern w:val="0"/>
      <w:sz w:val="21"/>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504</Words>
  <Characters>509</Characters>
  <Lines>3</Lines>
  <Paragraphs>1</Paragraphs>
  <TotalTime>0</TotalTime>
  <ScaleCrop>false</ScaleCrop>
  <LinksUpToDate>false</LinksUpToDate>
  <CharactersWithSpaces>518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2024-11-03T22:56:00Z</dcterms:created>
  <dc:creator>cdm</dc:creator>
  <cp:lastModifiedBy>月鸿魅</cp:lastModifiedBy>
  <dcterms:modified xsi:type="dcterms:W3CDTF">2024-11-21T04:50:47Z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3BDB10B0DDC74B049247CAF00E10A861_13</vt:lpwstr>
  </property>
</Properties>
</file>