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8AB1D">
      <w:pPr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1.新疆特变电工自控设备有限公司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2.国投新疆罗布泊钾盐有限责任公司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3.伊犁川宁生物技术股份有限公司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4.新疆新伊碳能环保科技股份有限公司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5.新疆胡杨线缆制造有限公司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清雅黑体">
    <w:panose1 w:val="00000500000000000000"/>
    <w:charset w:val="86"/>
    <w:family w:val="auto"/>
    <w:pitch w:val="default"/>
    <w:sig w:usb0="8000002F" w:usb1="084164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KeIly</cp:lastModifiedBy>
  <dcterms:modified xsi:type="dcterms:W3CDTF">2025-09-09T02:17:54Z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eyJoZGlkIjoiMjJjNWU0NWIyZThjMTZmNjk0ZDZmNDNkOGZlZThhMWYiLCJ1c2VySWQiOiIyMzM0MDYwNTYifQ==</vt:lpwstr>
  </property>
  <property fmtid="{D5CDD505-2E9C-101B-9397-08002B2CF9AE}" pid="4" name="ICV">
    <vt:lpwstr>266F05C3E1A843F29AE8D9813773E0F4_12</vt:lpwstr>
  </property>
</Properties>
</file>