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1"/>
        <w:rPr>
          <w:rFonts w:hint="default" w:ascii="Times New Roman" w:hAnsi="Times New Roman" w:eastAsia="黑体" w:cs="Times New Roman"/>
          <w:b w:val="0"/>
          <w:bCs w:val="0"/>
          <w:color w:val="auto"/>
          <w:spacing w:val="-12"/>
          <w:sz w:val="32"/>
          <w:szCs w:val="32"/>
          <w:highlight w:val="none"/>
          <w:lang w:val="en-US" w:eastAsia="zh-CN"/>
        </w:rPr>
      </w:pPr>
      <w:r>
        <w:rPr>
          <w:rFonts w:hint="default" w:ascii="Times New Roman" w:hAnsi="Times New Roman" w:eastAsia="黑体" w:cs="Times New Roman"/>
          <w:b w:val="0"/>
          <w:bCs w:val="0"/>
          <w:color w:val="auto"/>
          <w:spacing w:val="-12"/>
          <w:sz w:val="32"/>
          <w:szCs w:val="32"/>
          <w:highlight w:val="none"/>
          <w:lang w:val="en-US" w:eastAsia="zh-Hans"/>
        </w:rPr>
        <w:t>附件</w:t>
      </w:r>
      <w:r>
        <w:rPr>
          <w:rFonts w:hint="eastAsia" w:ascii="Times New Roman" w:hAnsi="Times New Roman" w:eastAsia="黑体" w:cs="Times New Roman"/>
          <w:b w:val="0"/>
          <w:bCs w:val="0"/>
          <w:color w:val="auto"/>
          <w:spacing w:val="-12"/>
          <w:sz w:val="32"/>
          <w:szCs w:val="32"/>
          <w:highlight w:val="none"/>
          <w:lang w:val="en-US" w:eastAsia="zh-CN"/>
        </w:rPr>
        <w:t>25</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1"/>
        <w:rPr>
          <w:rFonts w:hint="default" w:ascii="Times New Roman" w:hAnsi="Times New Roman" w:cs="Times New Roman"/>
        </w:rPr>
      </w:pPr>
      <w:r>
        <w:rPr>
          <w:rFonts w:hint="default" w:ascii="Times New Roman" w:hAnsi="Times New Roman" w:eastAsia="方正小标宋简体" w:cs="Times New Roman"/>
          <w:b w:val="0"/>
          <w:bCs w:val="0"/>
          <w:color w:val="auto"/>
          <w:spacing w:val="-12"/>
          <w:sz w:val="44"/>
          <w:szCs w:val="44"/>
          <w:highlight w:val="none"/>
          <w:lang w:eastAsia="zh-CN"/>
        </w:rPr>
        <w:t>部分</w:t>
      </w:r>
      <w:r>
        <w:rPr>
          <w:rFonts w:hint="default" w:ascii="Times New Roman" w:hAnsi="Times New Roman" w:eastAsia="方正小标宋简体" w:cs="Times New Roman"/>
          <w:b w:val="0"/>
          <w:bCs w:val="0"/>
          <w:color w:val="auto"/>
          <w:spacing w:val="-12"/>
          <w:sz w:val="44"/>
          <w:szCs w:val="44"/>
          <w:highlight w:val="none"/>
        </w:rPr>
        <w:t>不合格项目小知识</w:t>
      </w: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GB" w:eastAsia="zh-CN"/>
        </w:rPr>
      </w:pPr>
      <w:r>
        <w:rPr>
          <w:rFonts w:hint="default" w:ascii="Times New Roman" w:hAnsi="Times New Roman" w:eastAsia="方正黑体_GBK" w:cs="Times New Roman"/>
          <w:sz w:val="32"/>
          <w:szCs w:val="32"/>
          <w:lang w:val="en-GB" w:eastAsia="zh-CN"/>
        </w:rPr>
        <w:t>脱氢乙酸及其钠盐</w:t>
      </w:r>
      <w:r>
        <w:rPr>
          <w:rFonts w:hint="eastAsia" w:ascii="Times New Roman" w:hAnsi="Times New Roman" w:eastAsia="方正黑体_GBK" w:cs="Times New Roman"/>
          <w:sz w:val="32"/>
          <w:szCs w:val="32"/>
          <w:lang w:val="en-GB" w:eastAsia="zh-CN"/>
        </w:rPr>
        <w:t>（</w:t>
      </w:r>
      <w:r>
        <w:rPr>
          <w:rFonts w:hint="default" w:ascii="Times New Roman" w:hAnsi="Times New Roman" w:eastAsia="方正黑体_GBK" w:cs="Times New Roman"/>
          <w:sz w:val="32"/>
          <w:szCs w:val="32"/>
          <w:lang w:val="en-GB" w:eastAsia="zh-CN"/>
        </w:rPr>
        <w:t>以脱氢乙酸计</w:t>
      </w:r>
      <w:r>
        <w:rPr>
          <w:rFonts w:hint="eastAsia" w:ascii="Times New Roman" w:hAnsi="Times New Roman" w:eastAsia="方正黑体_GBK" w:cs="Times New Roman"/>
          <w:sz w:val="32"/>
          <w:szCs w:val="32"/>
          <w:lang w:val="en-GB"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在食品生产中，脱氢乙酸及其钠盐作为一种广谱防腐剂，对霉菌和酵母菌的抑菌能力强。《食品安全国家标准 食品添加剂使用标准》（GB 2760-2014）中规定，糕点中脱氢乙酸及其钠盐（以脱氢乙酸计）的最大使用量为0.5g/kg</w:t>
      </w:r>
      <w:r>
        <w:rPr>
          <w:rFonts w:hint="eastAsia" w:ascii="Times New Roman" w:hAnsi="Times New Roman" w:eastAsia="方正仿宋_GBK" w:cs="Times New Roman"/>
          <w:b w:val="0"/>
          <w:bCs w:val="0"/>
          <w:kern w:val="2"/>
          <w:sz w:val="32"/>
          <w:szCs w:val="32"/>
          <w:highlight w:val="none"/>
          <w:lang w:val="en-US" w:eastAsia="zh-CN" w:bidi="ar-SA"/>
        </w:rPr>
        <w:t>，方便食品中不得使用</w:t>
      </w:r>
      <w:r>
        <w:rPr>
          <w:rFonts w:hint="default" w:ascii="Times New Roman" w:hAnsi="Times New Roman" w:eastAsia="方正仿宋_GBK" w:cs="Times New Roman"/>
          <w:b w:val="0"/>
          <w:bCs w:val="0"/>
          <w:kern w:val="2"/>
          <w:sz w:val="32"/>
          <w:szCs w:val="32"/>
          <w:highlight w:val="none"/>
          <w:lang w:val="en-US" w:eastAsia="zh-CN" w:bidi="ar-SA"/>
        </w:rPr>
        <w:t>。脱氢乙酸及其钠盐不合格的原因可能是个别生产企业为防止食品腐败变质，超限量使用，或使用的复配添加剂中含有该添加剂使得重复使用而超限量，也可能是添加过程中未计量或计量不准确造成。</w:t>
      </w:r>
    </w:p>
    <w:p>
      <w:pPr>
        <w:keepNext w:val="0"/>
        <w:keepLines w:val="0"/>
        <w:pageBreakBefore w:val="0"/>
        <w:kinsoku/>
        <w:wordWrap/>
        <w:overflowPunct/>
        <w:topLinePunct w:val="0"/>
        <w:autoSpaceDE/>
        <w:autoSpaceDN/>
        <w:bidi w:val="0"/>
        <w:snapToGrid w:val="0"/>
        <w:spacing w:line="560" w:lineRule="exact"/>
        <w:textAlignment w:val="auto"/>
        <w:rPr>
          <w:rFonts w:hint="default" w:ascii="Times New Roman" w:hAnsi="Times New Roman" w:eastAsia="方正仿宋_GBK" w:cs="Times New Roman"/>
          <w:b w:val="0"/>
          <w:bCs w:val="0"/>
          <w:kern w:val="2"/>
          <w:sz w:val="32"/>
          <w:szCs w:val="32"/>
          <w:highlight w:val="none"/>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噻虫嗪</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噻虫嗪是一种全新结构的第二代烟碱类高效低毒杀虫剂，对害虫具有胃毒、触杀及内吸活性，用于叶面喷雾及土壤灌根处理。对刺吸式害虫如蚜虫、飞虱、叶蝉、粉虱等有良好的防效。《食品安全国家标准 食品中农药最大残留限量》（GB 2763</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20</w:t>
      </w:r>
      <w:r>
        <w:rPr>
          <w:rFonts w:hint="eastAsia" w:ascii="Times New Roman" w:hAnsi="Times New Roman" w:eastAsia="方正仿宋_GBK" w:cs="Times New Roman"/>
          <w:b w:val="0"/>
          <w:bCs w:val="0"/>
          <w:kern w:val="2"/>
          <w:sz w:val="32"/>
          <w:szCs w:val="32"/>
          <w:highlight w:val="none"/>
          <w:lang w:val="en-US" w:eastAsia="zh-CN" w:bidi="ar-SA"/>
        </w:rPr>
        <w:t>21</w:t>
      </w:r>
      <w:r>
        <w:rPr>
          <w:rFonts w:hint="default" w:ascii="Times New Roman" w:hAnsi="Times New Roman" w:eastAsia="方正仿宋_GBK" w:cs="Times New Roman"/>
          <w:b w:val="0"/>
          <w:bCs w:val="0"/>
          <w:kern w:val="2"/>
          <w:sz w:val="32"/>
          <w:szCs w:val="32"/>
          <w:highlight w:val="none"/>
          <w:lang w:val="en-US" w:eastAsia="zh-CN" w:bidi="ar-SA"/>
        </w:rPr>
        <w:t>）中规定，</w:t>
      </w:r>
      <w:r>
        <w:rPr>
          <w:rFonts w:hint="eastAsia" w:ascii="Times New Roman" w:hAnsi="Times New Roman" w:eastAsia="方正仿宋_GBK" w:cs="Times New Roman"/>
          <w:b w:val="0"/>
          <w:bCs w:val="0"/>
          <w:kern w:val="2"/>
          <w:sz w:val="32"/>
          <w:szCs w:val="32"/>
          <w:highlight w:val="none"/>
          <w:lang w:val="en-US" w:eastAsia="zh-CN" w:bidi="ar-SA"/>
        </w:rPr>
        <w:t>葱和结球甘蓝</w:t>
      </w:r>
      <w:r>
        <w:rPr>
          <w:rFonts w:hint="default" w:ascii="Times New Roman" w:hAnsi="Times New Roman" w:eastAsia="方正仿宋_GBK" w:cs="Times New Roman"/>
          <w:b w:val="0"/>
          <w:bCs w:val="0"/>
          <w:kern w:val="2"/>
          <w:sz w:val="32"/>
          <w:szCs w:val="32"/>
          <w:highlight w:val="none"/>
          <w:lang w:val="en-US" w:eastAsia="zh-CN" w:bidi="ar-SA"/>
        </w:rPr>
        <w:t>中噻虫嗪的最大残留限量值</w:t>
      </w:r>
      <w:r>
        <w:rPr>
          <w:rFonts w:hint="eastAsia" w:ascii="Times New Roman" w:hAnsi="Times New Roman" w:eastAsia="方正仿宋_GBK" w:cs="Times New Roman"/>
          <w:b w:val="0"/>
          <w:bCs w:val="0"/>
          <w:kern w:val="2"/>
          <w:sz w:val="32"/>
          <w:szCs w:val="32"/>
          <w:highlight w:val="none"/>
          <w:lang w:val="en-US" w:eastAsia="zh-CN" w:bidi="ar-SA"/>
        </w:rPr>
        <w:t>分别</w:t>
      </w:r>
      <w:r>
        <w:rPr>
          <w:rFonts w:hint="default" w:ascii="Times New Roman" w:hAnsi="Times New Roman" w:eastAsia="方正仿宋_GBK" w:cs="Times New Roman"/>
          <w:b w:val="0"/>
          <w:bCs w:val="0"/>
          <w:kern w:val="2"/>
          <w:sz w:val="32"/>
          <w:szCs w:val="32"/>
          <w:highlight w:val="none"/>
          <w:lang w:val="en-US" w:eastAsia="zh-CN" w:bidi="ar-SA"/>
        </w:rPr>
        <w:t>为0.3mg/kg</w:t>
      </w:r>
      <w:r>
        <w:rPr>
          <w:rFonts w:hint="eastAsia" w:ascii="Times New Roman" w:hAnsi="Times New Roman" w:eastAsia="方正仿宋_GBK" w:cs="Times New Roman"/>
          <w:b w:val="0"/>
          <w:bCs w:val="0"/>
          <w:kern w:val="2"/>
          <w:sz w:val="32"/>
          <w:szCs w:val="32"/>
          <w:highlight w:val="none"/>
          <w:lang w:val="en-US" w:eastAsia="zh-CN" w:bidi="ar-SA"/>
        </w:rPr>
        <w:t>和0.2mg/kg</w:t>
      </w:r>
      <w:r>
        <w:rPr>
          <w:rFonts w:hint="default" w:ascii="Times New Roman" w:hAnsi="Times New Roman" w:eastAsia="方正仿宋_GBK" w:cs="Times New Roman"/>
          <w:b w:val="0"/>
          <w:bCs w:val="0"/>
          <w:kern w:val="2"/>
          <w:sz w:val="32"/>
          <w:szCs w:val="32"/>
          <w:highlight w:val="none"/>
          <w:lang w:val="en-US" w:eastAsia="zh-CN" w:bidi="ar-SA"/>
        </w:rPr>
        <w:t>。噻虫嗪不合格原因可能是种植户对使用农药的安全间隔期不了解，从而违规使用或滥用农药。</w:t>
      </w:r>
    </w:p>
    <w:p>
      <w:pPr>
        <w:keepNext w:val="0"/>
        <w:keepLines w:val="0"/>
        <w:pageBreakBefore w:val="0"/>
        <w:kinsoku/>
        <w:wordWrap/>
        <w:overflowPunct/>
        <w:topLinePunct w:val="0"/>
        <w:autoSpaceDE/>
        <w:autoSpaceDN/>
        <w:bidi w:val="0"/>
        <w:snapToGrid w:val="0"/>
        <w:spacing w:line="560" w:lineRule="exact"/>
        <w:textAlignment w:val="auto"/>
        <w:rPr>
          <w:rFonts w:hint="default" w:ascii="Times New Roman" w:hAnsi="Times New Roman" w:cs="Times New Roman"/>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不挥发酸</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以乳酸计</w:t>
      </w:r>
      <w:r>
        <w:rPr>
          <w:rFonts w:hint="eastAsia" w:ascii="Times New Roman" w:hAnsi="Times New Roman" w:eastAsia="方正黑体_GBK" w:cs="Times New Roman"/>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both"/>
        <w:textAlignment w:val="auto"/>
        <w:outlineLvl w:val="9"/>
        <w:rPr>
          <w:rFonts w:hint="default" w:ascii="Times New Roman" w:hAnsi="Times New Roman" w:eastAsia="方正仿宋_GBK" w:cs="Times New Roman"/>
          <w:b w:val="0"/>
          <w:bCs w:val="0"/>
          <w:kern w:val="2"/>
          <w:sz w:val="32"/>
          <w:szCs w:val="32"/>
          <w:highlight w:val="none"/>
          <w:lang w:val="en-GB" w:eastAsia="zh-CN" w:bidi="ar-SA"/>
        </w:rPr>
      </w:pPr>
      <w:r>
        <w:rPr>
          <w:rFonts w:hint="default" w:ascii="Times New Roman" w:hAnsi="Times New Roman" w:eastAsia="方正仿宋_GBK" w:cs="Times New Roman"/>
          <w:b w:val="0"/>
          <w:bCs w:val="0"/>
          <w:kern w:val="2"/>
          <w:sz w:val="32"/>
          <w:szCs w:val="32"/>
          <w:highlight w:val="none"/>
          <w:lang w:val="en-GB" w:eastAsia="zh-CN" w:bidi="ar-SA"/>
        </w:rPr>
        <w:t>不挥发酸（以乳酸计）是食醋中总酸的一种，以乳酸为主，可以使食醋的酸味绵长，柔软可口。不挥发酸含量不足，在一定程度上会影响食醋的口感和风味。《酿造食醋》（GB/T 18187</w:t>
      </w:r>
      <w:r>
        <w:rPr>
          <w:rFonts w:hint="eastAsia" w:ascii="Times New Roman" w:hAnsi="Times New Roman" w:eastAsia="方正仿宋_GBK" w:cs="Times New Roman"/>
          <w:b w:val="0"/>
          <w:bCs w:val="0"/>
          <w:kern w:val="2"/>
          <w:sz w:val="32"/>
          <w:szCs w:val="32"/>
          <w:highlight w:val="none"/>
          <w:lang w:val="en-GB" w:eastAsia="zh-CN" w:bidi="ar-SA"/>
        </w:rPr>
        <w:t>—</w:t>
      </w:r>
      <w:r>
        <w:rPr>
          <w:rFonts w:hint="default" w:ascii="Times New Roman" w:hAnsi="Times New Roman" w:eastAsia="方正仿宋_GBK" w:cs="Times New Roman"/>
          <w:b w:val="0"/>
          <w:bCs w:val="0"/>
          <w:kern w:val="2"/>
          <w:sz w:val="32"/>
          <w:szCs w:val="32"/>
          <w:highlight w:val="none"/>
          <w:lang w:val="en-GB" w:eastAsia="zh-CN" w:bidi="ar-SA"/>
        </w:rPr>
        <w:t>2000）中规定，食醋中的不挥发酸（以乳酸计）应不少于0.50g/100mL。造成不挥发酸不合格的原因，可能是生产加工过程中发酵工艺控制不当。</w:t>
      </w:r>
    </w:p>
    <w:p>
      <w:pPr>
        <w:pStyle w:val="2"/>
        <w:keepNext w:val="0"/>
        <w:keepLines w:val="0"/>
        <w:pageBreakBefore w:val="0"/>
        <w:kinsoku/>
        <w:wordWrap/>
        <w:overflowPunct/>
        <w:topLinePunct w:val="0"/>
        <w:autoSpaceDE/>
        <w:autoSpaceDN/>
        <w:bidi w:val="0"/>
        <w:snapToGrid w:val="0"/>
        <w:spacing w:after="0" w:line="560" w:lineRule="exact"/>
        <w:textAlignment w:val="auto"/>
        <w:rPr>
          <w:rFonts w:hint="default" w:ascii="Times New Roman" w:hAnsi="Times New Roman" w:cs="Times New Roman"/>
          <w:lang w:val="en-GB" w:eastAsia="zh-CN"/>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阴离子合成洗涤剂</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以十二烷基苯磺酸钠计</w:t>
      </w:r>
      <w:r>
        <w:rPr>
          <w:rFonts w:hint="eastAsia" w:ascii="Times New Roman" w:hAnsi="Times New Roman" w:eastAsia="方正黑体_GBK" w:cs="Times New Roman"/>
          <w:sz w:val="32"/>
          <w:szCs w:val="32"/>
          <w:lang w:val="en-US"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阴离子合成洗涤剂（以十二烷基苯磺酸钠计），即日常生活中经常用到的洗衣粉、洗洁精、洗衣液等洗涤剂的主要成分，其主要成分</w:t>
      </w:r>
      <w:r>
        <w:rPr>
          <w:rFonts w:hint="eastAsia" w:ascii="Times New Roman" w:hAnsi="Times New Roman" w:eastAsia="方正仿宋_GBK" w:cs="Times New Roman"/>
          <w:b w:val="0"/>
          <w:bCs w:val="0"/>
          <w:kern w:val="2"/>
          <w:sz w:val="32"/>
          <w:szCs w:val="32"/>
          <w:highlight w:val="none"/>
          <w:lang w:val="en-US" w:eastAsia="zh-CN" w:bidi="ar-SA"/>
        </w:rPr>
        <w:t>是</w:t>
      </w:r>
      <w:r>
        <w:rPr>
          <w:rFonts w:hint="default" w:ascii="Times New Roman" w:hAnsi="Times New Roman" w:eastAsia="方正仿宋_GBK" w:cs="Times New Roman"/>
          <w:b w:val="0"/>
          <w:bCs w:val="0"/>
          <w:kern w:val="2"/>
          <w:sz w:val="32"/>
          <w:szCs w:val="32"/>
          <w:highlight w:val="none"/>
          <w:lang w:val="en-US" w:eastAsia="zh-CN" w:bidi="ar-SA"/>
        </w:rPr>
        <w:t>十二烷基磺酸钠，因其使用方便、易溶解、稳定性好，成本低等优点，在消毒企业中广泛使用。《食品安全国家标准 消毒餐（饮）具》（GB14934</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2016）中规定，采用化学消毒法的餐（饮）具阴离子合成洗涤剂应不得检出。餐（饮）具阴离子合成洗涤剂不合格的原因可能是餐（饮）具消毒单位使用的洗涤剂不合格或使用量过大，未经足够量清水清洗。</w:t>
      </w:r>
    </w:p>
    <w:p>
      <w:pPr>
        <w:keepNext w:val="0"/>
        <w:keepLines w:val="0"/>
        <w:pageBreakBefore w:val="0"/>
        <w:kinsoku/>
        <w:wordWrap/>
        <w:overflowPunct/>
        <w:topLinePunct w:val="0"/>
        <w:autoSpaceDE/>
        <w:autoSpaceDN/>
        <w:bidi w:val="0"/>
        <w:snapToGrid w:val="0"/>
        <w:spacing w:line="560" w:lineRule="exact"/>
        <w:textAlignment w:val="auto"/>
        <w:rPr>
          <w:rFonts w:hint="default" w:ascii="Times New Roman" w:hAnsi="Times New Roman" w:eastAsia="方正仿宋_GBK" w:cs="Times New Roman"/>
          <w:b w:val="0"/>
          <w:bCs w:val="0"/>
          <w:kern w:val="2"/>
          <w:sz w:val="32"/>
          <w:szCs w:val="32"/>
          <w:highlight w:val="none"/>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eastAsia" w:ascii="Times New Roman" w:hAnsi="Times New Roman" w:eastAsia="方正黑体_GBK" w:cs="Times New Roman"/>
          <w:sz w:val="32"/>
          <w:szCs w:val="32"/>
          <w:lang w:val="en-US" w:eastAsia="zh-Hans"/>
        </w:rPr>
      </w:pPr>
      <w:r>
        <w:rPr>
          <w:rFonts w:hint="eastAsia" w:ascii="Times New Roman" w:hAnsi="Times New Roman" w:eastAsia="方正黑体_GBK" w:cs="Times New Roman"/>
          <w:sz w:val="32"/>
          <w:szCs w:val="32"/>
          <w:lang w:val="en-US" w:eastAsia="zh-Hans"/>
        </w:rPr>
        <w:t>二氧化硫残留量</w:t>
      </w:r>
    </w:p>
    <w:p>
      <w:pPr>
        <w:keepNext w:val="0"/>
        <w:keepLines w:val="0"/>
        <w:pageBreakBefore w:val="0"/>
        <w:numPr>
          <w:ilvl w:val="0"/>
          <w:numId w:val="0"/>
        </w:numPr>
        <w:kinsoku/>
        <w:wordWrap/>
        <w:overflowPunct/>
        <w:topLinePunct w:val="0"/>
        <w:autoSpaceDE/>
        <w:autoSpaceDN/>
        <w:bidi w:val="0"/>
        <w:snapToGrid w:val="0"/>
        <w:spacing w:line="560" w:lineRule="exact"/>
        <w:ind w:firstLine="640" w:firstLineChars="200"/>
        <w:textAlignment w:val="auto"/>
        <w:rPr>
          <w:rFonts w:hint="eastAsia"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Hans" w:bidi="ar-SA"/>
        </w:rPr>
        <w:t>二氧化硫（以及焦亚硫酸钾、亚硫酸钠等添加剂）对食品有漂白、防腐和抗氧化作用，是食品加工中常用的漂白剂和防腐剂，使用后均产生二氧化硫残留。《食品安全国家标准 食品添加剂使用标准》（GB 2760—2014）中规定，蜜饯凉果类二氧化硫残留量不得超过0.35 g/kg</w:t>
      </w:r>
      <w:r>
        <w:rPr>
          <w:rFonts w:hint="eastAsia" w:ascii="Times New Roman" w:hAnsi="Times New Roman" w:eastAsia="方正仿宋_GBK" w:cs="Times New Roman"/>
          <w:b w:val="0"/>
          <w:bCs w:val="0"/>
          <w:kern w:val="2"/>
          <w:sz w:val="32"/>
          <w:szCs w:val="32"/>
          <w:highlight w:val="none"/>
          <w:lang w:val="en-US" w:eastAsia="zh-CN" w:bidi="ar-SA"/>
        </w:rPr>
        <w:t>，水果干类</w:t>
      </w:r>
      <w:r>
        <w:rPr>
          <w:rFonts w:hint="default" w:ascii="Times New Roman" w:hAnsi="Times New Roman" w:eastAsia="方正仿宋_GBK" w:cs="Times New Roman"/>
          <w:b w:val="0"/>
          <w:bCs w:val="0"/>
          <w:kern w:val="2"/>
          <w:sz w:val="32"/>
          <w:szCs w:val="32"/>
          <w:highlight w:val="none"/>
          <w:lang w:val="en-US" w:eastAsia="zh-Hans" w:bidi="ar-SA"/>
        </w:rPr>
        <w:t>二氧化硫残留量不得超过0.</w:t>
      </w:r>
      <w:r>
        <w:rPr>
          <w:rFonts w:hint="eastAsia" w:ascii="Times New Roman" w:hAnsi="Times New Roman" w:eastAsia="方正仿宋_GBK" w:cs="Times New Roman"/>
          <w:b w:val="0"/>
          <w:bCs w:val="0"/>
          <w:kern w:val="2"/>
          <w:sz w:val="32"/>
          <w:szCs w:val="32"/>
          <w:highlight w:val="none"/>
          <w:lang w:val="en-US" w:eastAsia="zh-CN" w:bidi="ar-SA"/>
        </w:rPr>
        <w:t>1</w:t>
      </w:r>
      <w:r>
        <w:rPr>
          <w:rFonts w:hint="default" w:ascii="Times New Roman" w:hAnsi="Times New Roman" w:eastAsia="方正仿宋_GBK" w:cs="Times New Roman"/>
          <w:b w:val="0"/>
          <w:bCs w:val="0"/>
          <w:kern w:val="2"/>
          <w:sz w:val="32"/>
          <w:szCs w:val="32"/>
          <w:highlight w:val="none"/>
          <w:lang w:val="en-US" w:eastAsia="zh-Hans" w:bidi="ar-SA"/>
        </w:rPr>
        <w:t xml:space="preserve"> g/kg</w:t>
      </w:r>
      <w:r>
        <w:rPr>
          <w:rFonts w:hint="eastAsia" w:ascii="Times New Roman" w:hAnsi="Times New Roman" w:eastAsia="方正仿宋_GBK" w:cs="Times New Roman"/>
          <w:b w:val="0"/>
          <w:bCs w:val="0"/>
          <w:kern w:val="2"/>
          <w:sz w:val="32"/>
          <w:szCs w:val="32"/>
          <w:highlight w:val="none"/>
          <w:lang w:val="en-US" w:eastAsia="zh-CN" w:bidi="ar-SA"/>
        </w:rPr>
        <w:t>，其他香辛料调味品中不得使用</w:t>
      </w:r>
      <w:r>
        <w:rPr>
          <w:rFonts w:hint="default" w:ascii="Times New Roman" w:hAnsi="Times New Roman" w:eastAsia="方正仿宋_GBK" w:cs="Times New Roman"/>
          <w:b w:val="0"/>
          <w:bCs w:val="0"/>
          <w:kern w:val="2"/>
          <w:sz w:val="32"/>
          <w:szCs w:val="32"/>
          <w:highlight w:val="none"/>
          <w:lang w:val="en-US" w:eastAsia="zh-Hans" w:bidi="ar-SA"/>
        </w:rPr>
        <w:t>。二氧化硫残留量超标的原因，可能是个别生产经营企业使用劣质原料以降低成本，其后为了提高产品色泽超量使用二氧化硫</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Hans" w:bidi="ar-SA"/>
        </w:rPr>
        <w:t>也有可能是使用时不计量或计量不准确</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Hans" w:bidi="ar-SA"/>
        </w:rPr>
        <w:t>还有可能是由于使用硫磺熏蒸漂白这种传统工艺或直接使用亚硫酸盐浸泡保鲜所造成</w:t>
      </w:r>
      <w:r>
        <w:rPr>
          <w:rFonts w:hint="eastAsia" w:ascii="Times New Roman" w:hAnsi="Times New Roman" w:eastAsia="方正仿宋_GBK" w:cs="Times New Roman"/>
          <w:b w:val="0"/>
          <w:bCs w:val="0"/>
          <w:kern w:val="2"/>
          <w:sz w:val="32"/>
          <w:szCs w:val="32"/>
          <w:highlight w:val="none"/>
          <w:lang w:val="en-US" w:eastAsia="zh-CN" w:bidi="ar-SA"/>
        </w:rPr>
        <w:t>。</w:t>
      </w:r>
    </w:p>
    <w:p>
      <w:pPr>
        <w:pStyle w:val="2"/>
        <w:keepNext w:val="0"/>
        <w:keepLines w:val="0"/>
        <w:pageBreakBefore w:val="0"/>
        <w:widowControl w:val="0"/>
        <w:kinsoku/>
        <w:wordWrap/>
        <w:overflowPunct/>
        <w:topLinePunct w:val="0"/>
        <w:autoSpaceDE/>
        <w:autoSpaceDN/>
        <w:bidi w:val="0"/>
        <w:adjustRightInd w:val="0"/>
        <w:snapToGrid w:val="0"/>
        <w:spacing w:after="0" w:line="540" w:lineRule="exact"/>
        <w:textAlignment w:val="auto"/>
        <w:rPr>
          <w:rFonts w:hint="default" w:ascii="Times New Roman" w:hAnsi="Times New Roman" w:eastAsia="方正仿宋_GBK" w:cs="Times New Roman"/>
          <w:b w:val="0"/>
          <w:bCs w:val="0"/>
          <w:kern w:val="2"/>
          <w:sz w:val="32"/>
          <w:szCs w:val="32"/>
          <w:highlight w:val="none"/>
          <w:lang w:val="en-US" w:eastAsia="zh-CN" w:bidi="ar-SA"/>
        </w:rPr>
      </w:pPr>
      <w:bookmarkStart w:id="0" w:name="_GoBack"/>
      <w:bookmarkEnd w:id="0"/>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仿宋简体">
    <w:altName w:val="方正仿宋_GBK"/>
    <w:panose1 w:val="02000000000000000000"/>
    <w:charset w:val="00"/>
    <w:family w:val="script"/>
    <w:pitch w:val="default"/>
    <w:sig w:usb0="00000000" w:usb1="00000000" w:usb2="00000012"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9DFC8D"/>
    <w:multiLevelType w:val="singleLevel"/>
    <w:tmpl w:val="AF9DFC8D"/>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UyZTVlOGZmNDAyOWRmOGQyZTQxMmU0MDdkYjc1MTAifQ=="/>
  </w:docVars>
  <w:rsids>
    <w:rsidRoot w:val="00E45F03"/>
    <w:rsid w:val="0000231D"/>
    <w:rsid w:val="00015F96"/>
    <w:rsid w:val="00026069"/>
    <w:rsid w:val="00057C9D"/>
    <w:rsid w:val="0007233C"/>
    <w:rsid w:val="000774CF"/>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82E6B"/>
    <w:rsid w:val="0029329A"/>
    <w:rsid w:val="002B384B"/>
    <w:rsid w:val="002F2143"/>
    <w:rsid w:val="00314DD5"/>
    <w:rsid w:val="00326D09"/>
    <w:rsid w:val="00327E2B"/>
    <w:rsid w:val="0033185A"/>
    <w:rsid w:val="0034436D"/>
    <w:rsid w:val="003455E6"/>
    <w:rsid w:val="00353FDE"/>
    <w:rsid w:val="0035764C"/>
    <w:rsid w:val="00357F27"/>
    <w:rsid w:val="0038633A"/>
    <w:rsid w:val="00395129"/>
    <w:rsid w:val="00397CD0"/>
    <w:rsid w:val="003C5A99"/>
    <w:rsid w:val="003D0B3F"/>
    <w:rsid w:val="00412DAF"/>
    <w:rsid w:val="0041724F"/>
    <w:rsid w:val="00417336"/>
    <w:rsid w:val="00434D19"/>
    <w:rsid w:val="004364F8"/>
    <w:rsid w:val="004478FC"/>
    <w:rsid w:val="00453AF8"/>
    <w:rsid w:val="004A4E67"/>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42355"/>
    <w:rsid w:val="00674ABF"/>
    <w:rsid w:val="0068132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B286A"/>
    <w:rsid w:val="008D7ECA"/>
    <w:rsid w:val="008E022C"/>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3243"/>
    <w:rsid w:val="00A1575B"/>
    <w:rsid w:val="00A339B7"/>
    <w:rsid w:val="00A370EE"/>
    <w:rsid w:val="00A47C13"/>
    <w:rsid w:val="00AA746A"/>
    <w:rsid w:val="00AB0288"/>
    <w:rsid w:val="00AB1112"/>
    <w:rsid w:val="00AB3E33"/>
    <w:rsid w:val="00AB7501"/>
    <w:rsid w:val="00AC37A4"/>
    <w:rsid w:val="00AC79C1"/>
    <w:rsid w:val="00B147BF"/>
    <w:rsid w:val="00B2770C"/>
    <w:rsid w:val="00B50B7B"/>
    <w:rsid w:val="00B605D9"/>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B75F7"/>
    <w:rsid w:val="00EF2FC7"/>
    <w:rsid w:val="00EF73EB"/>
    <w:rsid w:val="00F56DA2"/>
    <w:rsid w:val="00F64B8F"/>
    <w:rsid w:val="00F8113A"/>
    <w:rsid w:val="00F932D3"/>
    <w:rsid w:val="00FB5CDD"/>
    <w:rsid w:val="00FC246E"/>
    <w:rsid w:val="00FD601C"/>
    <w:rsid w:val="00FE1AF9"/>
    <w:rsid w:val="00FE65C8"/>
    <w:rsid w:val="02E53ED2"/>
    <w:rsid w:val="03731FD8"/>
    <w:rsid w:val="03BD43D7"/>
    <w:rsid w:val="04FD0185"/>
    <w:rsid w:val="06012255"/>
    <w:rsid w:val="0643453F"/>
    <w:rsid w:val="083119A6"/>
    <w:rsid w:val="08C70051"/>
    <w:rsid w:val="0A2246B7"/>
    <w:rsid w:val="0B23740C"/>
    <w:rsid w:val="0BF55D05"/>
    <w:rsid w:val="0E3E57FB"/>
    <w:rsid w:val="0E6E3364"/>
    <w:rsid w:val="0EA50231"/>
    <w:rsid w:val="0F830F05"/>
    <w:rsid w:val="0F9EF1F3"/>
    <w:rsid w:val="0FD83CA6"/>
    <w:rsid w:val="0FEE1D9C"/>
    <w:rsid w:val="110C4FEA"/>
    <w:rsid w:val="110F570C"/>
    <w:rsid w:val="112B137C"/>
    <w:rsid w:val="125E1B94"/>
    <w:rsid w:val="13A02D2C"/>
    <w:rsid w:val="157E5278"/>
    <w:rsid w:val="169D136B"/>
    <w:rsid w:val="18CE4512"/>
    <w:rsid w:val="190A207C"/>
    <w:rsid w:val="190E6EE0"/>
    <w:rsid w:val="199130D1"/>
    <w:rsid w:val="199303A5"/>
    <w:rsid w:val="19AA4605"/>
    <w:rsid w:val="1A8E79BC"/>
    <w:rsid w:val="1A943B45"/>
    <w:rsid w:val="1AF411D7"/>
    <w:rsid w:val="1B6D47CE"/>
    <w:rsid w:val="1BFF1386"/>
    <w:rsid w:val="1C0D4647"/>
    <w:rsid w:val="1E526692"/>
    <w:rsid w:val="1F245FB8"/>
    <w:rsid w:val="1F5254D4"/>
    <w:rsid w:val="20734AD8"/>
    <w:rsid w:val="217B58C1"/>
    <w:rsid w:val="22EE5E6A"/>
    <w:rsid w:val="22FB77CB"/>
    <w:rsid w:val="230DE398"/>
    <w:rsid w:val="23E40E7A"/>
    <w:rsid w:val="246868F4"/>
    <w:rsid w:val="24B40E16"/>
    <w:rsid w:val="24C105FB"/>
    <w:rsid w:val="25706FEB"/>
    <w:rsid w:val="27E90029"/>
    <w:rsid w:val="28926171"/>
    <w:rsid w:val="28F7C6EF"/>
    <w:rsid w:val="28FE5380"/>
    <w:rsid w:val="293C4333"/>
    <w:rsid w:val="2A266F86"/>
    <w:rsid w:val="2B453547"/>
    <w:rsid w:val="2D024FEE"/>
    <w:rsid w:val="2F3A64DA"/>
    <w:rsid w:val="2F5FF82E"/>
    <w:rsid w:val="313B60D6"/>
    <w:rsid w:val="32BF9929"/>
    <w:rsid w:val="343B3C9B"/>
    <w:rsid w:val="34A10D49"/>
    <w:rsid w:val="353051B6"/>
    <w:rsid w:val="37B5B0DF"/>
    <w:rsid w:val="39E4139A"/>
    <w:rsid w:val="3A066159"/>
    <w:rsid w:val="3BBF5734"/>
    <w:rsid w:val="3BE114CD"/>
    <w:rsid w:val="3BFF4D0F"/>
    <w:rsid w:val="3CBB6A1F"/>
    <w:rsid w:val="3D066ED4"/>
    <w:rsid w:val="3D5B7861"/>
    <w:rsid w:val="3D8A31F3"/>
    <w:rsid w:val="3DA70F84"/>
    <w:rsid w:val="3E573C31"/>
    <w:rsid w:val="3E692505"/>
    <w:rsid w:val="3FD02490"/>
    <w:rsid w:val="3FFD62C4"/>
    <w:rsid w:val="40DF5746"/>
    <w:rsid w:val="41011D84"/>
    <w:rsid w:val="426B3C81"/>
    <w:rsid w:val="449A0830"/>
    <w:rsid w:val="44CF69EE"/>
    <w:rsid w:val="45107FD3"/>
    <w:rsid w:val="46601D24"/>
    <w:rsid w:val="47075DCC"/>
    <w:rsid w:val="47811D3F"/>
    <w:rsid w:val="48655E99"/>
    <w:rsid w:val="488E348C"/>
    <w:rsid w:val="4AA63504"/>
    <w:rsid w:val="4C8B783D"/>
    <w:rsid w:val="4D920623"/>
    <w:rsid w:val="4E836A31"/>
    <w:rsid w:val="4F72515A"/>
    <w:rsid w:val="4FAD0645"/>
    <w:rsid w:val="4FC70334"/>
    <w:rsid w:val="4FD60C7C"/>
    <w:rsid w:val="52D4703A"/>
    <w:rsid w:val="534230F9"/>
    <w:rsid w:val="54D163A0"/>
    <w:rsid w:val="555B5CD3"/>
    <w:rsid w:val="575B13D1"/>
    <w:rsid w:val="57A53A3A"/>
    <w:rsid w:val="57BDDC82"/>
    <w:rsid w:val="57CB2923"/>
    <w:rsid w:val="5AFFEA09"/>
    <w:rsid w:val="5C9E489B"/>
    <w:rsid w:val="5CC74388"/>
    <w:rsid w:val="5E0540D0"/>
    <w:rsid w:val="5E4907CD"/>
    <w:rsid w:val="5F7B3A23"/>
    <w:rsid w:val="61DD6D44"/>
    <w:rsid w:val="63DF171E"/>
    <w:rsid w:val="65CF6D9C"/>
    <w:rsid w:val="66023456"/>
    <w:rsid w:val="66325BC9"/>
    <w:rsid w:val="66B2626D"/>
    <w:rsid w:val="67282ECF"/>
    <w:rsid w:val="673FC0B4"/>
    <w:rsid w:val="689C4C03"/>
    <w:rsid w:val="69F83E9D"/>
    <w:rsid w:val="6A945E1B"/>
    <w:rsid w:val="6BA279B0"/>
    <w:rsid w:val="6BB87E7B"/>
    <w:rsid w:val="6BBBAF32"/>
    <w:rsid w:val="6D0E14DC"/>
    <w:rsid w:val="730C532F"/>
    <w:rsid w:val="73B2774B"/>
    <w:rsid w:val="73BC2552"/>
    <w:rsid w:val="73F564A7"/>
    <w:rsid w:val="740B3C12"/>
    <w:rsid w:val="74E00729"/>
    <w:rsid w:val="75057978"/>
    <w:rsid w:val="75202347"/>
    <w:rsid w:val="7593147D"/>
    <w:rsid w:val="76246CC8"/>
    <w:rsid w:val="76BF1C19"/>
    <w:rsid w:val="76D75FC2"/>
    <w:rsid w:val="77887501"/>
    <w:rsid w:val="77E37BF6"/>
    <w:rsid w:val="78971D8D"/>
    <w:rsid w:val="78EA5C2B"/>
    <w:rsid w:val="79464C25"/>
    <w:rsid w:val="79516C02"/>
    <w:rsid w:val="79CB70EC"/>
    <w:rsid w:val="79EF92A3"/>
    <w:rsid w:val="7AEF50DD"/>
    <w:rsid w:val="7BC16283"/>
    <w:rsid w:val="7BE61DA8"/>
    <w:rsid w:val="7C6619F8"/>
    <w:rsid w:val="7DAB5A58"/>
    <w:rsid w:val="7DC149D8"/>
    <w:rsid w:val="7ECE4128"/>
    <w:rsid w:val="7F3F9D27"/>
    <w:rsid w:val="7F77305C"/>
    <w:rsid w:val="7F77CFFA"/>
    <w:rsid w:val="7F7F6AAB"/>
    <w:rsid w:val="7FAAA59C"/>
    <w:rsid w:val="7FD92FCE"/>
    <w:rsid w:val="7FDE0516"/>
    <w:rsid w:val="7FF6324C"/>
    <w:rsid w:val="7FFB63B1"/>
    <w:rsid w:val="7FFBC323"/>
    <w:rsid w:val="85CF448D"/>
    <w:rsid w:val="89F22F62"/>
    <w:rsid w:val="8BE76863"/>
    <w:rsid w:val="ABCFB818"/>
    <w:rsid w:val="ABFBF616"/>
    <w:rsid w:val="B9AD008D"/>
    <w:rsid w:val="BA7B23C6"/>
    <w:rsid w:val="BF77EBD6"/>
    <w:rsid w:val="BFFFEA05"/>
    <w:rsid w:val="D59F7A23"/>
    <w:rsid w:val="D5FE1140"/>
    <w:rsid w:val="D6FFFCC9"/>
    <w:rsid w:val="DFDE77E3"/>
    <w:rsid w:val="E7FF09A6"/>
    <w:rsid w:val="E8FDFFC9"/>
    <w:rsid w:val="EBFB0C7E"/>
    <w:rsid w:val="ED76D6E8"/>
    <w:rsid w:val="EDFD6938"/>
    <w:rsid w:val="F15F95D9"/>
    <w:rsid w:val="F52EA8C1"/>
    <w:rsid w:val="F5DFD693"/>
    <w:rsid w:val="F9741810"/>
    <w:rsid w:val="F9D644EC"/>
    <w:rsid w:val="FB772F61"/>
    <w:rsid w:val="FEBD9270"/>
    <w:rsid w:val="FEDD18BB"/>
    <w:rsid w:val="FF5787E3"/>
    <w:rsid w:val="FF5FC2EF"/>
    <w:rsid w:val="FF7E52F0"/>
    <w:rsid w:val="FF7F41D3"/>
    <w:rsid w:val="FFD68914"/>
    <w:rsid w:val="FFDAAAD9"/>
    <w:rsid w:val="FFDC6E9A"/>
    <w:rsid w:val="FFF67C2D"/>
    <w:rsid w:val="FFFA9A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semiHidden/>
    <w:unhideWhenUsed/>
    <w:qFormat/>
    <w:uiPriority w:val="99"/>
    <w:pPr>
      <w:spacing w:after="120"/>
      <w:ind w:left="420" w:leftChars="200"/>
    </w:pPr>
  </w:style>
  <w:style w:type="paragraph" w:styleId="4">
    <w:name w:val="Balloon Text"/>
    <w:basedOn w:val="1"/>
    <w:link w:val="22"/>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kern w:val="0"/>
      <w:sz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0063C8"/>
      <w:u w:val="none"/>
    </w:rPr>
  </w:style>
  <w:style w:type="character" w:styleId="12">
    <w:name w:val="Emphasis"/>
    <w:basedOn w:val="9"/>
    <w:qFormat/>
    <w:uiPriority w:val="20"/>
  </w:style>
  <w:style w:type="character" w:styleId="13">
    <w:name w:val="HTML Definition"/>
    <w:basedOn w:val="9"/>
    <w:semiHidden/>
    <w:unhideWhenUsed/>
    <w:qFormat/>
    <w:uiPriority w:val="99"/>
  </w:style>
  <w:style w:type="character" w:styleId="14">
    <w:name w:val="HTML Acronym"/>
    <w:basedOn w:val="9"/>
    <w:semiHidden/>
    <w:unhideWhenUsed/>
    <w:qFormat/>
    <w:uiPriority w:val="99"/>
  </w:style>
  <w:style w:type="character" w:styleId="15">
    <w:name w:val="HTML Variable"/>
    <w:basedOn w:val="9"/>
    <w:semiHidden/>
    <w:unhideWhenUsed/>
    <w:qFormat/>
    <w:uiPriority w:val="99"/>
  </w:style>
  <w:style w:type="character" w:styleId="16">
    <w:name w:val="Hyperlink"/>
    <w:basedOn w:val="9"/>
    <w:unhideWhenUsed/>
    <w:qFormat/>
    <w:uiPriority w:val="99"/>
    <w:rPr>
      <w:color w:val="0063C8"/>
      <w:u w:val="none"/>
    </w:rPr>
  </w:style>
  <w:style w:type="character" w:styleId="17">
    <w:name w:val="HTML Code"/>
    <w:basedOn w:val="9"/>
    <w:semiHidden/>
    <w:unhideWhenUsed/>
    <w:qFormat/>
    <w:uiPriority w:val="99"/>
    <w:rPr>
      <w:rFonts w:ascii="Courier New" w:hAnsi="Courier New"/>
      <w:sz w:val="20"/>
    </w:rPr>
  </w:style>
  <w:style w:type="character" w:styleId="18">
    <w:name w:val="HTML Cite"/>
    <w:basedOn w:val="9"/>
    <w:semiHidden/>
    <w:unhideWhenUsed/>
    <w:qFormat/>
    <w:uiPriority w:val="99"/>
  </w:style>
  <w:style w:type="character" w:customStyle="1" w:styleId="19">
    <w:name w:val="页眉 字符"/>
    <w:basedOn w:val="9"/>
    <w:link w:val="6"/>
    <w:qFormat/>
    <w:uiPriority w:val="99"/>
    <w:rPr>
      <w:sz w:val="18"/>
      <w:szCs w:val="18"/>
    </w:rPr>
  </w:style>
  <w:style w:type="character" w:customStyle="1" w:styleId="20">
    <w:name w:val="页脚 字符"/>
    <w:basedOn w:val="9"/>
    <w:link w:val="5"/>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字符"/>
    <w:basedOn w:val="9"/>
    <w:link w:val="4"/>
    <w:semiHidden/>
    <w:qFormat/>
    <w:uiPriority w:val="99"/>
    <w:rPr>
      <w:sz w:val="18"/>
      <w:szCs w:val="18"/>
    </w:rPr>
  </w:style>
  <w:style w:type="character" w:customStyle="1" w:styleId="23">
    <w:name w:val="mr-prof"/>
    <w:basedOn w:val="9"/>
    <w:qFormat/>
    <w:uiPriority w:val="0"/>
  </w:style>
  <w:style w:type="character" w:customStyle="1" w:styleId="24">
    <w:name w:val="btn-task-gray2"/>
    <w:basedOn w:val="9"/>
    <w:qFormat/>
    <w:uiPriority w:val="0"/>
    <w:rPr>
      <w:color w:val="FFFFFF"/>
      <w:u w:val="none"/>
      <w:shd w:val="clear" w:color="auto" w:fill="CCCCCC"/>
    </w:rPr>
  </w:style>
  <w:style w:type="character" w:customStyle="1" w:styleId="25">
    <w:name w:val="hover37"/>
    <w:basedOn w:val="9"/>
    <w:qFormat/>
    <w:uiPriority w:val="0"/>
    <w:rPr>
      <w:color w:val="3EAF0E"/>
    </w:rPr>
  </w:style>
  <w:style w:type="character" w:customStyle="1" w:styleId="26">
    <w:name w:val="s16"/>
    <w:basedOn w:val="9"/>
    <w:qFormat/>
    <w:uiPriority w:val="0"/>
    <w:rPr>
      <w:color w:val="DDDDDD"/>
      <w:sz w:val="14"/>
      <w:szCs w:val="1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2</Pages>
  <Words>698</Words>
  <Characters>765</Characters>
  <Lines>22</Lines>
  <Paragraphs>6</Paragraphs>
  <TotalTime>0</TotalTime>
  <ScaleCrop>false</ScaleCrop>
  <LinksUpToDate>false</LinksUpToDate>
  <CharactersWithSpaces>774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2019-04-26T04:31:00Z</dcterms:created>
  <dc:creator>SDWM</dc:creator>
  <cp:lastModifiedBy>魏立慧</cp:lastModifiedBy>
  <cp:lastPrinted>2016-09-19T02:58:00Z</cp:lastPrinted>
  <dcterms:modified xsi:type="dcterms:W3CDTF">2023-11-22T17:32:46Z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F46EFFB5EC0D4DB5A641BE2063BCF22F</vt:lpwstr>
  </property>
</Properties>
</file>