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outlineLvl w:val="1"/>
        <w:rPr>
          <w:rFonts w:hint="default" w:ascii="黑体" w:hAnsi="黑体" w:eastAsia="黑体" w:cs="黑体"/>
          <w:spacing w:val="-12"/>
          <w:sz w:val="32"/>
          <w:szCs w:val="32"/>
          <w:lang w:eastAsia="zh-CN"/>
        </w:rPr>
      </w:pPr>
      <w:r>
        <w:rPr>
          <w:rFonts w:hint="eastAsia" w:ascii="黑体" w:hAnsi="黑体" w:eastAsia="黑体" w:cs="黑体"/>
          <w:spacing w:val="-12"/>
          <w:sz w:val="32"/>
          <w:szCs w:val="32"/>
        </w:rPr>
        <w:t>附件</w:t>
      </w:r>
      <w:r>
        <w:rPr>
          <w:rFonts w:hint="default" w:ascii="黑体" w:hAnsi="黑体" w:eastAsia="黑体" w:cs="黑体"/>
          <w:spacing w:val="-12"/>
          <w:sz w:val="32"/>
          <w:szCs w:val="32"/>
        </w:rPr>
        <w:t>17</w:t>
      </w:r>
    </w:p>
    <w:p>
      <w:pPr>
        <w:jc w:val="center"/>
        <w:outlineLvl w:val="1"/>
        <w:rPr>
          <w:rFonts w:hint="eastAsia" w:ascii="方正仿宋_GBK" w:hAnsi="方正仿宋_GBK" w:eastAsia="方正仿宋_GBK" w:cs="方正仿宋_GBK"/>
          <w:sz w:val="32"/>
          <w:szCs w:val="32"/>
          <w:lang w:val="en-GB" w:eastAsia="zh-CN"/>
        </w:rPr>
      </w:pPr>
      <w:r>
        <w:rPr>
          <w:rFonts w:hint="eastAsia" w:ascii="Times New Roman" w:hAnsi="Times New Roman" w:eastAsia="方正小标宋简体" w:cs="Times New Roman"/>
          <w:b w:val="0"/>
          <w:bCs w:val="0"/>
          <w:spacing w:val="-12"/>
          <w:sz w:val="44"/>
          <w:szCs w:val="44"/>
          <w:highlight w:val="none"/>
          <w:lang w:eastAsia="zh-CN"/>
        </w:rPr>
        <w:t>部分</w:t>
      </w:r>
      <w:r>
        <w:rPr>
          <w:rFonts w:ascii="Times New Roman" w:hAnsi="Times New Roman" w:eastAsia="方正小标宋简体" w:cs="Times New Roman"/>
          <w:b w:val="0"/>
          <w:bCs w:val="0"/>
          <w:spacing w:val="-12"/>
          <w:sz w:val="44"/>
          <w:szCs w:val="44"/>
          <w:highlight w:val="none"/>
        </w:rPr>
        <w:t>不合格项目小知识</w:t>
      </w:r>
    </w:p>
    <w:p>
      <w:pPr>
        <w:pStyle w:val="2"/>
        <w:keepNext w:val="0"/>
        <w:keepLines w:val="0"/>
        <w:pageBreakBefore w:val="0"/>
        <w:kinsoku/>
        <w:wordWrap/>
        <w:overflowPunct/>
        <w:topLinePunct w:val="0"/>
        <w:autoSpaceDE/>
        <w:autoSpaceDN/>
        <w:bidi w:val="0"/>
        <w:snapToGrid w:val="0"/>
        <w:spacing w:line="560" w:lineRule="exact"/>
        <w:textAlignment w:val="auto"/>
        <w:rPr>
          <w:rFonts w:hint="eastAsia"/>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噻虫胺</w:t>
      </w:r>
    </w:p>
    <w:p>
      <w:pPr>
        <w:pStyle w:val="2"/>
        <w:keepNext w:val="0"/>
        <w:keepLines w:val="0"/>
        <w:pageBreakBefore w:val="0"/>
        <w:kinsoku/>
        <w:wordWrap/>
        <w:overflowPunct/>
        <w:topLinePunct w:val="0"/>
        <w:autoSpaceDE/>
        <w:autoSpaceDN/>
        <w:bidi w:val="0"/>
        <w:snapToGrid w:val="0"/>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噻虫胺是新烟碱类中的一种杀虫剂，是一类高效安全、高选择性的新型杀虫剂，其作用与烟碱乙酰胆碱受体类似，具有触杀、胃毒和内吸活性。主要用于水稻、蔬菜、果树及其他作物上防治蚜虫、叶蝉、蓟马、飞虱等半翅目、鞘翅目、双翅目和某些鳞翅目类害虫的杀虫剂。《食品安全国家标准 食品中农药最大残留限量》（GB 2763</w:t>
      </w:r>
      <w:r>
        <w:rPr>
          <w:rFonts w:hint="default" w:ascii="方正仿宋_GBK" w:hAnsi="方正仿宋_GBK" w:eastAsia="方正仿宋_GBK" w:cs="方正仿宋_GBK"/>
          <w:sz w:val="32"/>
          <w:szCs w:val="32"/>
          <w:lang w:eastAsia="zh-CN"/>
        </w:rPr>
        <w:t>-</w:t>
      </w:r>
      <w:bookmarkStart w:id="0" w:name="_GoBack"/>
      <w:bookmarkEnd w:id="0"/>
      <w:r>
        <w:rPr>
          <w:rFonts w:hint="eastAsia" w:ascii="方正仿宋_GBK" w:hAnsi="方正仿宋_GBK" w:eastAsia="方正仿宋_GBK" w:cs="方正仿宋_GBK"/>
          <w:sz w:val="32"/>
          <w:szCs w:val="32"/>
          <w:lang w:val="en-US" w:eastAsia="zh-CN"/>
        </w:rPr>
        <w:t>2021）中规定，噻虫胺在根茎类蔬菜中的最大残留限量为0.2mg/kg，姜中噻虫胺不合格的原因，可能是菜农对使用农药的安全间隔期不了解，从而违规使用农药。</w:t>
      </w:r>
    </w:p>
    <w:p>
      <w:pPr>
        <w:pStyle w:val="2"/>
        <w:keepNext w:val="0"/>
        <w:keepLines w:val="0"/>
        <w:pageBreakBefore w:val="0"/>
        <w:kinsoku/>
        <w:wordWrap/>
        <w:overflowPunct/>
        <w:topLinePunct w:val="0"/>
        <w:autoSpaceDE/>
        <w:autoSpaceDN/>
        <w:bidi w:val="0"/>
        <w:snapToGrid w:val="0"/>
        <w:spacing w:line="56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吡虫啉</w:t>
      </w:r>
    </w:p>
    <w:p>
      <w:pPr>
        <w:pStyle w:val="2"/>
        <w:keepNext w:val="0"/>
        <w:keepLines w:val="0"/>
        <w:pageBreakBefore w:val="0"/>
        <w:kinsoku/>
        <w:wordWrap/>
        <w:overflowPunct/>
        <w:topLinePunct w:val="0"/>
        <w:autoSpaceDE/>
        <w:autoSpaceDN/>
        <w:bidi w:val="0"/>
        <w:snapToGrid w:val="0"/>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GB" w:eastAsia="zh-CN"/>
        </w:rPr>
        <w:t>吡虫啉是内吸性杀虫剂，可层间传导，具有触杀和胃毒作用，容易被植物吸收，并在植物体内重新分配，有很好的根部内吸活性。防治刺吸式口器害虫，也可防治土壤害虫、白蚁和一些叮咬害虫，对线虫和螨没有活性。</w:t>
      </w:r>
      <w:r>
        <w:rPr>
          <w:rFonts w:hint="eastAsia" w:ascii="方正仿宋_GBK" w:hAnsi="方正仿宋_GBK" w:eastAsia="方正仿宋_GBK" w:cs="方正仿宋_GBK"/>
          <w:sz w:val="32"/>
          <w:szCs w:val="32"/>
          <w:lang w:val="en-US" w:eastAsia="zh-CN"/>
        </w:rPr>
        <w:t>《食品安全国家标准 食品中农药最大残留限量》（GB 2763</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2021）中规定</w:t>
      </w:r>
      <w:r>
        <w:rPr>
          <w:rFonts w:hint="eastAsia" w:ascii="方正仿宋_GBK" w:hAnsi="方正仿宋_GBK" w:eastAsia="方正仿宋_GBK" w:cs="方正仿宋_GBK"/>
          <w:sz w:val="32"/>
          <w:szCs w:val="32"/>
          <w:lang w:val="en-GB" w:eastAsia="zh-CN"/>
        </w:rPr>
        <w:t>，</w:t>
      </w:r>
      <w:r>
        <w:rPr>
          <w:rFonts w:hint="eastAsia" w:ascii="方正仿宋_GBK" w:hAnsi="方正仿宋_GBK" w:eastAsia="方正仿宋_GBK" w:cs="方正仿宋_GBK"/>
          <w:sz w:val="32"/>
          <w:szCs w:val="32"/>
          <w:lang w:val="en-US" w:eastAsia="zh-CN"/>
        </w:rPr>
        <w:t>香蕉</w:t>
      </w:r>
      <w:r>
        <w:rPr>
          <w:rFonts w:hint="eastAsia" w:ascii="方正仿宋_GBK" w:hAnsi="方正仿宋_GBK" w:eastAsia="方正仿宋_GBK" w:cs="方正仿宋_GBK"/>
          <w:sz w:val="32"/>
          <w:szCs w:val="32"/>
          <w:lang w:val="en-GB" w:eastAsia="zh-CN"/>
        </w:rPr>
        <w:t>中吡虫啉的残留限量值不得超过0.</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lang w:val="en-GB" w:eastAsia="zh-CN"/>
        </w:rPr>
        <w:t>5mg/kg。</w:t>
      </w:r>
      <w:r>
        <w:rPr>
          <w:rFonts w:hint="eastAsia" w:ascii="方正仿宋_GBK" w:hAnsi="方正仿宋_GBK" w:eastAsia="方正仿宋_GBK" w:cs="方正仿宋_GBK"/>
          <w:sz w:val="32"/>
          <w:szCs w:val="32"/>
          <w:lang w:val="en-US" w:eastAsia="zh-CN"/>
        </w:rPr>
        <w:t>香蕉</w:t>
      </w:r>
      <w:r>
        <w:rPr>
          <w:rFonts w:hint="eastAsia" w:ascii="方正仿宋_GBK" w:hAnsi="方正仿宋_GBK" w:eastAsia="方正仿宋_GBK" w:cs="方正仿宋_GBK"/>
          <w:sz w:val="32"/>
          <w:szCs w:val="32"/>
          <w:lang w:val="en-GB" w:eastAsia="zh-CN"/>
        </w:rPr>
        <w:t>中吡虫啉超标的原因，可能是菜农不了解使用农药的安全间隔期，违规滥用农药。</w:t>
      </w:r>
    </w:p>
    <w:p>
      <w:pPr>
        <w:pStyle w:val="2"/>
        <w:keepNext w:val="0"/>
        <w:keepLines w:val="0"/>
        <w:pageBreakBefore w:val="0"/>
        <w:kinsoku/>
        <w:wordWrap/>
        <w:overflowPunct/>
        <w:topLinePunct w:val="0"/>
        <w:autoSpaceDE/>
        <w:autoSpaceDN/>
        <w:bidi w:val="0"/>
        <w:snapToGrid w:val="0"/>
        <w:spacing w:line="56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脱氢乙酸及其钠盐</w:t>
      </w:r>
      <w:r>
        <w:rPr>
          <w:rFonts w:hint="eastAsia" w:ascii="黑体" w:hAnsi="Times New Roman" w:eastAsia="黑体" w:cs="Times New Roman"/>
          <w:sz w:val="32"/>
          <w:szCs w:val="32"/>
          <w:lang w:val="en-GB" w:eastAsia="zh-CN" w:bidi="ar"/>
        </w:rPr>
        <w:t>（</w:t>
      </w:r>
      <w:r>
        <w:rPr>
          <w:rFonts w:hint="eastAsia" w:ascii="黑体" w:hAnsi="Times New Roman" w:eastAsia="黑体" w:cs="Times New Roman"/>
          <w:sz w:val="32"/>
          <w:szCs w:val="32"/>
          <w:lang w:val="en-US" w:eastAsia="zh-CN" w:bidi="ar"/>
        </w:rPr>
        <w:t>以脱氢乙酸计</w:t>
      </w:r>
      <w:r>
        <w:rPr>
          <w:rFonts w:hint="eastAsia" w:ascii="黑体" w:hAnsi="Times New Roman" w:eastAsia="黑体" w:cs="Times New Roman"/>
          <w:sz w:val="32"/>
          <w:szCs w:val="32"/>
          <w:lang w:val="en-GB" w:eastAsia="zh-CN" w:bidi="ar"/>
        </w:rPr>
        <w:t>）</w:t>
      </w:r>
    </w:p>
    <w:p>
      <w:pPr>
        <w:pStyle w:val="2"/>
        <w:keepNext w:val="0"/>
        <w:keepLines w:val="0"/>
        <w:pageBreakBefore w:val="0"/>
        <w:kinsoku/>
        <w:wordWrap/>
        <w:overflowPunct/>
        <w:topLinePunct w:val="0"/>
        <w:autoSpaceDE/>
        <w:autoSpaceDN/>
        <w:bidi w:val="0"/>
        <w:snapToGrid w:val="0"/>
        <w:spacing w:line="560" w:lineRule="exact"/>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脱氢乙酸及其钠盐作为食品添加剂，广泛用作防腐剂，对霉菌具有较强的抑制作用。《食品安全国家标准 食品添加剂使用标准》</w:t>
      </w:r>
      <w:r>
        <w:rPr>
          <w:rFonts w:hint="eastAsia" w:ascii="方正仿宋_GBK" w:hAnsi="方正仿宋_GBK" w:eastAsia="方正仿宋_GBK" w:cs="方正仿宋_GBK"/>
          <w:sz w:val="32"/>
          <w:szCs w:val="32"/>
          <w:lang w:val="en-US" w:eastAsia="zh-Hans"/>
        </w:rPr>
        <w:t>（</w:t>
      </w:r>
      <w:r>
        <w:rPr>
          <w:rFonts w:hint="default" w:ascii="方正仿宋_GBK" w:hAnsi="方正仿宋_GBK" w:eastAsia="方正仿宋_GBK" w:cs="方正仿宋_GBK"/>
          <w:sz w:val="32"/>
          <w:szCs w:val="32"/>
          <w:lang w:val="en-US" w:eastAsia="zh-CN"/>
        </w:rPr>
        <w:t>GB 2760-2014</w:t>
      </w:r>
      <w:r>
        <w:rPr>
          <w:rFonts w:hint="eastAsia" w:ascii="方正仿宋_GBK" w:hAnsi="方正仿宋_GBK" w:eastAsia="方正仿宋_GBK" w:cs="方正仿宋_GBK"/>
          <w:sz w:val="32"/>
          <w:szCs w:val="32"/>
          <w:lang w:val="en-US" w:eastAsia="zh-Hans"/>
        </w:rPr>
        <w:t>）</w:t>
      </w:r>
      <w:r>
        <w:rPr>
          <w:rFonts w:hint="eastAsia" w:ascii="方正仿宋_GBK" w:hAnsi="方正仿宋_GBK" w:eastAsia="方正仿宋_GBK" w:cs="方正仿宋_GBK"/>
          <w:sz w:val="32"/>
          <w:szCs w:val="32"/>
          <w:lang w:val="en-US" w:eastAsia="zh-CN"/>
        </w:rPr>
        <w:t>中规定</w:t>
      </w:r>
      <w:r>
        <w:rPr>
          <w:rFonts w:hint="eastAsia" w:ascii="方正仿宋_GBK" w:hAnsi="方正仿宋_GBK" w:eastAsia="方正仿宋_GBK" w:cs="方正仿宋_GBK"/>
          <w:sz w:val="32"/>
          <w:szCs w:val="32"/>
          <w:lang w:val="en-GB" w:eastAsia="zh-CN"/>
        </w:rPr>
        <w:t>，</w:t>
      </w:r>
      <w:r>
        <w:rPr>
          <w:rFonts w:hint="eastAsia" w:ascii="方正仿宋_GBK" w:hAnsi="方正仿宋_GBK" w:eastAsia="方正仿宋_GBK" w:cs="方正仿宋_GBK"/>
          <w:sz w:val="32"/>
          <w:szCs w:val="32"/>
          <w:lang w:val="en-US" w:eastAsia="zh-Hans"/>
        </w:rPr>
        <w:t>糕点</w:t>
      </w:r>
      <w:r>
        <w:rPr>
          <w:rFonts w:hint="eastAsia" w:ascii="方正仿宋_GBK" w:hAnsi="方正仿宋_GBK" w:eastAsia="方正仿宋_GBK" w:cs="方正仿宋_GBK"/>
          <w:sz w:val="32"/>
          <w:szCs w:val="32"/>
          <w:lang w:val="en-GB" w:eastAsia="zh-CN"/>
        </w:rPr>
        <w:t>中脱氢乙酸及其钠盐（以脱氢乙酸计）的最大使用量为0.5g/kg。</w:t>
      </w:r>
      <w:r>
        <w:rPr>
          <w:rFonts w:hint="eastAsia" w:ascii="方正仿宋_GBK" w:hAnsi="方正仿宋_GBK" w:eastAsia="方正仿宋_GBK" w:cs="方正仿宋_GBK"/>
          <w:sz w:val="32"/>
          <w:szCs w:val="32"/>
          <w:lang w:val="en-US" w:eastAsia="zh-Hans"/>
        </w:rPr>
        <w:t>糕点中</w:t>
      </w:r>
      <w:r>
        <w:rPr>
          <w:rFonts w:hint="default" w:ascii="方正仿宋_GBK" w:hAnsi="方正仿宋_GBK" w:eastAsia="方正仿宋_GBK" w:cs="方正仿宋_GBK"/>
          <w:sz w:val="32"/>
          <w:szCs w:val="32"/>
          <w:lang w:val="en-US" w:eastAsia="zh-CN"/>
        </w:rPr>
        <w:t>脱氢乙酸及其钠盐不合格的原因可能是个别生产企业为防止食品腐败变质，超限量使用了该添加剂，或者使用的复配添加剂中含有该添加剂使得重复使用而超限量，也可能是添加过程中未计量或计量不准确造成的。</w:t>
      </w:r>
    </w:p>
    <w:p>
      <w:pPr>
        <w:pStyle w:val="2"/>
        <w:keepNext w:val="0"/>
        <w:keepLines w:val="0"/>
        <w:pageBreakBefore w:val="0"/>
        <w:kinsoku/>
        <w:wordWrap/>
        <w:overflowPunct/>
        <w:topLinePunct w:val="0"/>
        <w:autoSpaceDE/>
        <w:autoSpaceDN/>
        <w:bidi w:val="0"/>
        <w:snapToGrid w:val="0"/>
        <w:spacing w:line="56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黑体" w:hAnsi="Times New Roman" w:eastAsia="黑体" w:cs="Times New Roman"/>
          <w:sz w:val="32"/>
          <w:szCs w:val="32"/>
          <w:lang w:val="en-US" w:eastAsia="zh-CN" w:bidi="ar"/>
        </w:rPr>
      </w:pPr>
      <w:r>
        <w:rPr>
          <w:rFonts w:hint="default" w:ascii="黑体" w:hAnsi="Times New Roman" w:eastAsia="黑体" w:cs="Times New Roman"/>
          <w:sz w:val="32"/>
          <w:szCs w:val="32"/>
          <w:lang w:val="en-US" w:eastAsia="zh-CN" w:bidi="ar"/>
        </w:rPr>
        <w:t>过氧化值</w:t>
      </w:r>
      <w:r>
        <w:rPr>
          <w:rFonts w:hint="eastAsia" w:ascii="黑体" w:hAnsi="Times New Roman" w:eastAsia="黑体" w:cs="Times New Roman"/>
          <w:sz w:val="32"/>
          <w:szCs w:val="32"/>
          <w:lang w:val="en-GB" w:eastAsia="zh-CN" w:bidi="ar"/>
        </w:rPr>
        <w:t>（</w:t>
      </w:r>
      <w:r>
        <w:rPr>
          <w:rFonts w:hint="default" w:ascii="黑体" w:hAnsi="Times New Roman" w:eastAsia="黑体" w:cs="Times New Roman"/>
          <w:sz w:val="32"/>
          <w:szCs w:val="32"/>
          <w:lang w:val="en-US" w:eastAsia="zh-CN" w:bidi="ar"/>
        </w:rPr>
        <w:t>以脂肪计</w:t>
      </w:r>
      <w:r>
        <w:rPr>
          <w:rFonts w:hint="eastAsia" w:ascii="黑体" w:hAnsi="Times New Roman" w:eastAsia="黑体" w:cs="Times New Roman"/>
          <w:sz w:val="32"/>
          <w:szCs w:val="32"/>
          <w:lang w:val="en-GB" w:eastAsia="zh-CN" w:bidi="ar"/>
        </w:rPr>
        <w:t>）</w:t>
      </w:r>
    </w:p>
    <w:p>
      <w:pPr>
        <w:pStyle w:val="2"/>
        <w:keepNext w:val="0"/>
        <w:keepLines w:val="0"/>
        <w:pageBreakBefore w:val="0"/>
        <w:kinsoku/>
        <w:wordWrap/>
        <w:overflowPunct/>
        <w:topLinePunct w:val="0"/>
        <w:autoSpaceDE/>
        <w:autoSpaceDN/>
        <w:bidi w:val="0"/>
        <w:snapToGrid w:val="0"/>
        <w:spacing w:line="560" w:lineRule="exact"/>
        <w:jc w:val="both"/>
        <w:textAlignment w:val="auto"/>
        <w:rPr>
          <w:rFonts w:hint="eastAsia" w:ascii="方正仿宋_GBK" w:hAnsi="方正仿宋_GBK" w:eastAsia="方正仿宋_GBK" w:cs="方正仿宋_GBK"/>
          <w:sz w:val="32"/>
          <w:szCs w:val="32"/>
          <w:lang w:val="en-US" w:eastAsia="zh-Hans"/>
        </w:rPr>
      </w:pPr>
      <w:r>
        <w:rPr>
          <w:rFonts w:hint="eastAsia" w:ascii="Times New Roman" w:hAnsi="Times New Roman" w:eastAsia="仿宋_GB2312" w:cs="Times New Roman"/>
          <w:sz w:val="32"/>
          <w:szCs w:val="32"/>
        </w:rPr>
        <w:t>过氧化值主要反映产品中油脂被氧化的程度。</w:t>
      </w:r>
      <w:r>
        <w:rPr>
          <w:rFonts w:hint="eastAsia" w:ascii="方正仿宋_GBK" w:hAnsi="方正仿宋_GBK" w:eastAsia="方正仿宋_GBK" w:cs="方正仿宋_GBK"/>
          <w:sz w:val="32"/>
          <w:szCs w:val="32"/>
          <w:lang w:val="en-US" w:eastAsia="zh-CN"/>
        </w:rPr>
        <w:t>《食品安全国家标准 坚果与籽类食品》（GB 19300</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2014）中规定，熟制葵花籽过氧化值的最大限量值为0.80 g/100g。一般情况下，消费者在食用过程中需避免食用能明显辨别出哈喇等异味的炒货食品。造成过氧化值超标的原因</w:t>
      </w:r>
      <w:r>
        <w:rPr>
          <w:rFonts w:hint="eastAsia" w:ascii="Times New Roman" w:hAnsi="Times New Roman" w:eastAsia="仿宋_GB2312" w:cs="Times New Roman"/>
          <w:sz w:val="32"/>
          <w:szCs w:val="32"/>
        </w:rPr>
        <w:t>可能是产品储存条件控制不当，导致油脂过度氧化；也可能是原料储存不当</w:t>
      </w:r>
      <w:r>
        <w:rPr>
          <w:rFonts w:hint="eastAsia" w:ascii="方正仿宋_GBK" w:hAnsi="方正仿宋_GBK" w:eastAsia="方正仿宋_GBK" w:cs="方正仿宋_GBK"/>
          <w:sz w:val="32"/>
          <w:szCs w:val="32"/>
          <w:lang w:val="en-US" w:eastAsia="zh-CN"/>
        </w:rPr>
        <w:t>或者生产用油变质</w:t>
      </w:r>
      <w:r>
        <w:rPr>
          <w:rFonts w:hint="eastAsia" w:ascii="Times New Roman" w:hAnsi="Times New Roman" w:eastAsia="仿宋_GB2312" w:cs="Times New Roman"/>
          <w:sz w:val="32"/>
          <w:szCs w:val="32"/>
        </w:rPr>
        <w:t>，导致脂肪过度氧化，使得终产品过氧化值超标</w:t>
      </w:r>
      <w:r>
        <w:rPr>
          <w:rFonts w:hint="eastAsia" w:ascii="方正仿宋_GBK" w:hAnsi="方正仿宋_GBK" w:eastAsia="方正仿宋_GBK" w:cs="方正仿宋_GBK"/>
          <w:sz w:val="32"/>
          <w:szCs w:val="32"/>
          <w:lang w:val="en-US" w:eastAsia="zh-Hans"/>
        </w:rPr>
        <w:t>。</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3000509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小标宋简体">
    <w:panose1 w:val="03000509000000000000"/>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00" w:usb3="00000000" w:csb0="00040000" w:csb1="00000000"/>
  </w:font>
  <w:font w:name="冬青黑体简体中文">
    <w:panose1 w:val="020B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BCC24"/>
    <w:multiLevelType w:val="singleLevel"/>
    <w:tmpl w:val="132BCC24"/>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C0D4647"/>
    <w:rsid w:val="1E526692"/>
    <w:rsid w:val="1F245FB8"/>
    <w:rsid w:val="1F5254D4"/>
    <w:rsid w:val="20734AD8"/>
    <w:rsid w:val="217B58C1"/>
    <w:rsid w:val="22EE5E6A"/>
    <w:rsid w:val="22FB77CB"/>
    <w:rsid w:val="23E40E7A"/>
    <w:rsid w:val="246868F4"/>
    <w:rsid w:val="24B40E16"/>
    <w:rsid w:val="24C105FB"/>
    <w:rsid w:val="25706FEB"/>
    <w:rsid w:val="27E90029"/>
    <w:rsid w:val="28926171"/>
    <w:rsid w:val="28F7C6EF"/>
    <w:rsid w:val="28FE5380"/>
    <w:rsid w:val="293C4333"/>
    <w:rsid w:val="2A266F86"/>
    <w:rsid w:val="2B453547"/>
    <w:rsid w:val="2D024FEE"/>
    <w:rsid w:val="2F3A64DA"/>
    <w:rsid w:val="313B60D6"/>
    <w:rsid w:val="343B3C9B"/>
    <w:rsid w:val="34A10D49"/>
    <w:rsid w:val="353051B6"/>
    <w:rsid w:val="39E4139A"/>
    <w:rsid w:val="3A066159"/>
    <w:rsid w:val="3BBF5734"/>
    <w:rsid w:val="3BE114CD"/>
    <w:rsid w:val="3BFF4D0F"/>
    <w:rsid w:val="3CBB6A1F"/>
    <w:rsid w:val="3D066ED4"/>
    <w:rsid w:val="3D5B7861"/>
    <w:rsid w:val="3D8A31F3"/>
    <w:rsid w:val="3DA70F84"/>
    <w:rsid w:val="3E573C31"/>
    <w:rsid w:val="3E692505"/>
    <w:rsid w:val="3F3EDA36"/>
    <w:rsid w:val="3FD02490"/>
    <w:rsid w:val="40DF5746"/>
    <w:rsid w:val="41011D84"/>
    <w:rsid w:val="426B3C81"/>
    <w:rsid w:val="43FFE3B4"/>
    <w:rsid w:val="449A0830"/>
    <w:rsid w:val="44CF69EE"/>
    <w:rsid w:val="45107FD3"/>
    <w:rsid w:val="46601D24"/>
    <w:rsid w:val="47075DCC"/>
    <w:rsid w:val="47811D3F"/>
    <w:rsid w:val="48655E99"/>
    <w:rsid w:val="488E348C"/>
    <w:rsid w:val="4AA63504"/>
    <w:rsid w:val="4C8B783D"/>
    <w:rsid w:val="4D920623"/>
    <w:rsid w:val="4FAD0645"/>
    <w:rsid w:val="4FC70334"/>
    <w:rsid w:val="4FD60C7C"/>
    <w:rsid w:val="52D4703A"/>
    <w:rsid w:val="534230F9"/>
    <w:rsid w:val="54D163A0"/>
    <w:rsid w:val="555B5CD3"/>
    <w:rsid w:val="575B13D1"/>
    <w:rsid w:val="57A53A3A"/>
    <w:rsid w:val="57CB2923"/>
    <w:rsid w:val="5AFFEA09"/>
    <w:rsid w:val="5C9E489B"/>
    <w:rsid w:val="5CC74388"/>
    <w:rsid w:val="5E0540D0"/>
    <w:rsid w:val="5E4907CD"/>
    <w:rsid w:val="5F7B3A23"/>
    <w:rsid w:val="5FF5D49C"/>
    <w:rsid w:val="61DD6D44"/>
    <w:rsid w:val="63DF171E"/>
    <w:rsid w:val="66023456"/>
    <w:rsid w:val="66325BC9"/>
    <w:rsid w:val="66B2626D"/>
    <w:rsid w:val="67282ECF"/>
    <w:rsid w:val="689C4C03"/>
    <w:rsid w:val="69F83E9D"/>
    <w:rsid w:val="6A945E1B"/>
    <w:rsid w:val="6BA279B0"/>
    <w:rsid w:val="6BB87E7B"/>
    <w:rsid w:val="6D0E14DC"/>
    <w:rsid w:val="730C532F"/>
    <w:rsid w:val="73B2774B"/>
    <w:rsid w:val="740B3C12"/>
    <w:rsid w:val="74E00729"/>
    <w:rsid w:val="75057978"/>
    <w:rsid w:val="75202347"/>
    <w:rsid w:val="7593147D"/>
    <w:rsid w:val="76246CC8"/>
    <w:rsid w:val="76D75FC2"/>
    <w:rsid w:val="77887501"/>
    <w:rsid w:val="77E37BF6"/>
    <w:rsid w:val="78971D8D"/>
    <w:rsid w:val="78EA5C2B"/>
    <w:rsid w:val="79464C25"/>
    <w:rsid w:val="79516C02"/>
    <w:rsid w:val="79CB70EC"/>
    <w:rsid w:val="7BC16283"/>
    <w:rsid w:val="7BE61DA8"/>
    <w:rsid w:val="7C6619F8"/>
    <w:rsid w:val="7DAB5A58"/>
    <w:rsid w:val="7DC149D8"/>
    <w:rsid w:val="7ECE4128"/>
    <w:rsid w:val="7F7F6AAB"/>
    <w:rsid w:val="7FAAA59C"/>
    <w:rsid w:val="7FD92FCE"/>
    <w:rsid w:val="7FDE0516"/>
    <w:rsid w:val="7FF6324C"/>
    <w:rsid w:val="7FFB63B1"/>
    <w:rsid w:val="89F22F62"/>
    <w:rsid w:val="8BE76863"/>
    <w:rsid w:val="ABCFB818"/>
    <w:rsid w:val="ABFBF616"/>
    <w:rsid w:val="BA7B23C6"/>
    <w:rsid w:val="BFD2767B"/>
    <w:rsid w:val="D5FE1140"/>
    <w:rsid w:val="E7FF09A6"/>
    <w:rsid w:val="E8FDFFC9"/>
    <w:rsid w:val="ED76D6E8"/>
    <w:rsid w:val="EDFD6938"/>
    <w:rsid w:val="F9D644EC"/>
    <w:rsid w:val="FEBD9270"/>
    <w:rsid w:val="FF5787E3"/>
    <w:rsid w:val="FF7E52F0"/>
    <w:rsid w:val="FFDAAA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2</Pages>
  <Words>703</Words>
  <Characters>769</Characters>
  <Lines>22</Lines>
  <Paragraphs>6</Paragraphs>
  <TotalTime>0</TotalTime>
  <ScaleCrop>false</ScaleCrop>
  <LinksUpToDate>false</LinksUpToDate>
  <CharactersWithSpaces>776</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2019-04-15T20:31:00Z</dcterms:created>
  <dc:creator>SDWM</dc:creator>
  <cp:lastModifiedBy>魏立慧</cp:lastModifiedBy>
  <cp:lastPrinted>2016-09-08T18:58:00Z</cp:lastPrinted>
  <dcterms:modified xsi:type="dcterms:W3CDTF">2022-11-28T15:02:45Z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F46EFFB5EC0D4DB5A641BE2063BCF22F</vt:lpwstr>
  </property>
</Properties>
</file>