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2021年新疆维吾尔自治区</w:t>
      </w:r>
      <w:r>
        <w:rPr>
          <w:rFonts w:hint="eastAsia" w:ascii="方正小标宋简体" w:hAnsi="方正小标宋简体" w:eastAsia="方正小标宋简体" w:cs="方正小标宋简体"/>
          <w:color w:val="000000"/>
          <w:sz w:val="44"/>
          <w:szCs w:val="44"/>
          <w:lang w:val="en-US" w:eastAsia="zh-CN"/>
        </w:rPr>
        <w:t>室内加热器</w:t>
      </w:r>
      <w:r>
        <w:rPr>
          <w:rFonts w:hint="eastAsia" w:ascii="方正小标宋简体" w:hAnsi="方正小标宋简体" w:eastAsia="方正小标宋简体" w:cs="方正小标宋简体"/>
          <w:color w:val="000000"/>
          <w:sz w:val="44"/>
          <w:szCs w:val="44"/>
        </w:rPr>
        <w:t>产品质量监督抽查实施细则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本细则适用于室内加热器产品质量监督抽查，监督抽查产品范围包括家用和类似用途室内加热器产品。本细则内容包括产品种类、检验依据、抽样、检验要求、判定原则、异议处理及附则。</w:t>
      </w:r>
    </w:p>
    <w:p>
      <w:pPr>
        <w:rPr>
          <w:rFonts w:ascii="黑体" w:hAnsi="黑体" w:eastAsia="黑体" w:cs="方正仿宋简体"/>
          <w:sz w:val="32"/>
          <w:szCs w:val="32"/>
        </w:rPr>
      </w:pPr>
      <w:r>
        <w:rPr>
          <w:rFonts w:hint="eastAsia" w:ascii="黑体" w:hAnsi="黑体" w:eastAsia="黑体" w:cs="方正仿宋简体"/>
          <w:sz w:val="32"/>
          <w:szCs w:val="32"/>
        </w:rPr>
        <w:t>二、产品种类</w:t>
      </w:r>
    </w:p>
    <w:p>
      <w:pPr>
        <w:ind w:firstLine="640" w:firstLineChars="200"/>
        <w:rPr>
          <w:rFonts w:ascii="仿宋_GB2312" w:hAnsi="仿宋" w:eastAsia="仿宋_GB2312"/>
          <w:sz w:val="32"/>
          <w:szCs w:val="32"/>
        </w:rPr>
      </w:pPr>
      <w:r>
        <w:rPr>
          <w:rFonts w:hint="eastAsia" w:ascii="仿宋_GB2312" w:hAnsi="仿宋" w:eastAsia="仿宋_GB2312"/>
          <w:sz w:val="32"/>
          <w:szCs w:val="32"/>
        </w:rPr>
        <w:t>室内加热器的产品种类有：对流式加热器、风扇式加热器、充液式散热器、辐射式加热器、板状加热器、管状加热器等。</w:t>
      </w:r>
    </w:p>
    <w:p>
      <w:pPr>
        <w:rPr>
          <w:rFonts w:ascii="黑体" w:hAnsi="黑体" w:eastAsia="黑体" w:cs="方正仿宋简体"/>
          <w:sz w:val="32"/>
          <w:szCs w:val="32"/>
        </w:rPr>
      </w:pPr>
      <w:r>
        <w:rPr>
          <w:rFonts w:hint="eastAsia" w:ascii="黑体" w:hAnsi="黑体" w:eastAsia="黑体" w:cs="方正仿宋简体"/>
          <w:sz w:val="32"/>
          <w:szCs w:val="32"/>
        </w:rPr>
        <w:t>三、检验依据</w:t>
      </w:r>
    </w:p>
    <w:p>
      <w:pPr>
        <w:ind w:firstLine="640" w:firstLineChars="200"/>
        <w:rPr>
          <w:rFonts w:ascii="仿宋_GB2312" w:hAnsi="仿宋" w:eastAsia="仿宋_GB2312"/>
          <w:sz w:val="32"/>
          <w:szCs w:val="32"/>
        </w:rPr>
      </w:pPr>
      <w:r>
        <w:rPr>
          <w:rFonts w:hint="eastAsia" w:ascii="仿宋_GB2312" w:hAnsi="仿宋" w:eastAsia="仿宋_GB2312"/>
          <w:sz w:val="32"/>
          <w:szCs w:val="32"/>
        </w:rPr>
        <w:t>GB 4706.23-2007《家用和类似用途电器的安全 第2部分：室内加热器的特殊要求》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GB 4706.1-2005《家用和类似用途电器的安全 第1部分通用要求》</w:t>
      </w:r>
    </w:p>
    <w:p>
      <w:pPr>
        <w:rPr>
          <w:rFonts w:ascii="黑体" w:hAnsi="黑体" w:eastAsia="黑体" w:cs="方正仿宋简体"/>
          <w:sz w:val="32"/>
          <w:szCs w:val="32"/>
        </w:rPr>
      </w:pPr>
      <w:r>
        <w:rPr>
          <w:rFonts w:hint="eastAsia" w:ascii="黑体" w:hAnsi="黑体" w:eastAsia="黑体" w:cs="方正仿宋简体"/>
          <w:sz w:val="32"/>
          <w:szCs w:val="32"/>
        </w:rPr>
        <w:t>四、抽样要求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（一）抽样领域</w:t>
      </w:r>
    </w:p>
    <w:p>
      <w:pPr>
        <w:ind w:firstLine="640" w:firstLineChars="200"/>
        <w:rPr>
          <w:rFonts w:ascii="仿宋_GB2312" w:hAnsi="仿宋" w:eastAsia="仿宋_GB2312"/>
          <w:sz w:val="32"/>
          <w:szCs w:val="32"/>
        </w:rPr>
      </w:pPr>
      <w:r>
        <w:rPr>
          <w:rFonts w:hint="eastAsia" w:ascii="仿宋_GB2312" w:hAnsi="仿宋" w:eastAsia="仿宋_GB2312"/>
          <w:sz w:val="32"/>
          <w:szCs w:val="32"/>
        </w:rPr>
        <w:t>室内加热器产品为流通领域(含网络电商)抽样。</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（二）抽样型号或规格</w:t>
      </w:r>
    </w:p>
    <w:p>
      <w:pPr>
        <w:ind w:firstLine="640" w:firstLineChars="200"/>
        <w:rPr>
          <w:rFonts w:ascii="仿宋_GB2312" w:hAnsi="仿宋" w:eastAsia="仿宋_GB2312"/>
          <w:sz w:val="32"/>
          <w:szCs w:val="32"/>
        </w:rPr>
      </w:pPr>
      <w:r>
        <w:rPr>
          <w:rFonts w:ascii="仿宋_GB2312" w:hAnsi="仿宋" w:eastAsia="仿宋_GB2312"/>
          <w:sz w:val="32"/>
          <w:szCs w:val="32"/>
        </w:rPr>
        <w:t>同一</w:t>
      </w:r>
      <w:r>
        <w:rPr>
          <w:rFonts w:hint="eastAsia" w:ascii="仿宋_GB2312" w:hAnsi="仿宋" w:eastAsia="仿宋_GB2312"/>
          <w:sz w:val="32"/>
          <w:szCs w:val="32"/>
        </w:rPr>
        <w:t>渠道的</w:t>
      </w:r>
      <w:r>
        <w:rPr>
          <w:rFonts w:ascii="仿宋_GB2312" w:hAnsi="仿宋" w:eastAsia="仿宋_GB2312"/>
          <w:sz w:val="32"/>
          <w:szCs w:val="32"/>
        </w:rPr>
        <w:t>采样中，同一企业、同一品牌的同一</w:t>
      </w:r>
      <w:r>
        <w:rPr>
          <w:rFonts w:hint="eastAsia" w:ascii="仿宋_GB2312" w:hAnsi="仿宋" w:eastAsia="仿宋_GB2312"/>
          <w:sz w:val="32"/>
          <w:szCs w:val="32"/>
        </w:rPr>
        <w:t>型号</w:t>
      </w:r>
      <w:r>
        <w:rPr>
          <w:rFonts w:ascii="仿宋_GB2312" w:hAnsi="仿宋" w:eastAsia="仿宋_GB2312"/>
          <w:sz w:val="32"/>
          <w:szCs w:val="32"/>
        </w:rPr>
        <w:t>产品不得重复</w:t>
      </w:r>
      <w:r>
        <w:rPr>
          <w:rFonts w:hint="eastAsia" w:ascii="仿宋_GB2312" w:hAnsi="仿宋" w:eastAsia="仿宋_GB2312"/>
          <w:sz w:val="32"/>
          <w:szCs w:val="32"/>
        </w:rPr>
        <w:t>采样</w:t>
      </w:r>
      <w:r>
        <w:rPr>
          <w:rFonts w:ascii="仿宋_GB2312" w:hAnsi="仿宋" w:eastAsia="仿宋_GB2312"/>
          <w:sz w:val="32"/>
          <w:szCs w:val="32"/>
        </w:rPr>
        <w:t>。</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（三）抽样方法、基数及数量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采购有产品质量检验合格证或者以其他形式表明合格的在售产品，若产品标注有效期，则有效期应在风险监测整体工作结束后。</w:t>
      </w:r>
      <w:r>
        <w:rPr>
          <w:rFonts w:ascii="仿宋_GB2312" w:hAnsi="仿宋" w:eastAsia="仿宋_GB2312"/>
          <w:sz w:val="32"/>
          <w:szCs w:val="32"/>
        </w:rPr>
        <w:t>为保证样品的代表性，采样应按随机的原则进行</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本次计划采样5批次，线下采样时，每批次采取1个样品为检验样品，另取1个样品作为备用样品封存于商户；线上采样时，每批次采取2个样品，其中1个作为检验样品，另1个作为备用样品封存于承检机构。采样基数满足采样数量即可。</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（四）样品处置</w:t>
      </w:r>
    </w:p>
    <w:p>
      <w:pPr>
        <w:ind w:firstLine="640" w:firstLineChars="200"/>
        <w:rPr>
          <w:rFonts w:ascii="仿宋_GB2312" w:hAnsi="仿宋" w:eastAsia="仿宋_GB2312"/>
          <w:sz w:val="32"/>
          <w:szCs w:val="32"/>
        </w:rPr>
      </w:pPr>
      <w:r>
        <w:rPr>
          <w:rFonts w:ascii="仿宋_GB2312" w:hAnsi="仿宋" w:eastAsia="仿宋_GB2312"/>
          <w:sz w:val="32"/>
          <w:szCs w:val="32"/>
        </w:rPr>
        <w:t>检验样品和备用样品应分别签封，封样箱或者封样袋的每个接缝处用一个封条签封并在封条上施加防拆封措施，使得不破坏封条签封便无法完整取下封条。要在封样箱或封样袋的显著</w:t>
      </w:r>
      <w:r>
        <w:rPr>
          <w:rFonts w:hint="eastAsia" w:ascii="仿宋_GB2312" w:hAnsi="仿宋" w:eastAsia="仿宋_GB2312"/>
          <w:sz w:val="32"/>
          <w:szCs w:val="32"/>
        </w:rPr>
        <w:t>位置</w:t>
      </w:r>
      <w:r>
        <w:rPr>
          <w:rFonts w:ascii="仿宋_GB2312" w:hAnsi="仿宋" w:eastAsia="仿宋_GB2312"/>
          <w:sz w:val="32"/>
          <w:szCs w:val="32"/>
        </w:rPr>
        <w:t>标明检验样品或备用样品。</w:t>
      </w:r>
      <w:r>
        <w:rPr>
          <w:rFonts w:hint="eastAsia" w:ascii="仿宋_GB2312" w:hAnsi="仿宋" w:eastAsia="仿宋_GB2312"/>
          <w:sz w:val="32"/>
          <w:szCs w:val="32"/>
        </w:rPr>
        <w:t>采</w:t>
      </w:r>
      <w:r>
        <w:rPr>
          <w:rFonts w:ascii="仿宋_GB2312" w:hAnsi="仿宋" w:eastAsia="仿宋_GB2312"/>
          <w:sz w:val="32"/>
          <w:szCs w:val="32"/>
        </w:rPr>
        <w:t>样完成后，将检验样品寄送到承检机构，备用样品封存在</w:t>
      </w:r>
      <w:r>
        <w:rPr>
          <w:rFonts w:hint="eastAsia" w:ascii="仿宋_GB2312" w:hAnsi="仿宋" w:eastAsia="仿宋_GB2312"/>
          <w:sz w:val="32"/>
          <w:szCs w:val="32"/>
        </w:rPr>
        <w:t>商户或</w:t>
      </w:r>
      <w:r>
        <w:rPr>
          <w:rFonts w:ascii="仿宋_GB2312" w:hAnsi="仿宋" w:eastAsia="仿宋_GB2312"/>
          <w:sz w:val="32"/>
          <w:szCs w:val="32"/>
        </w:rPr>
        <w:t>承检机构</w:t>
      </w:r>
      <w:r>
        <w:rPr>
          <w:rFonts w:hint="eastAsia" w:ascii="仿宋_GB2312" w:hAnsi="仿宋" w:eastAsia="仿宋_GB2312"/>
          <w:sz w:val="32"/>
          <w:szCs w:val="32"/>
        </w:rPr>
        <w:t>，商户应妥善保管，不得擅自更换、隐匿、处理已抽查封存的样品</w:t>
      </w:r>
      <w:r>
        <w:rPr>
          <w:rFonts w:ascii="仿宋_GB2312" w:hAnsi="仿宋" w:eastAsia="仿宋_GB2312"/>
          <w:sz w:val="32"/>
          <w:szCs w:val="32"/>
        </w:rPr>
        <w:t>。</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（五）抽样单</w:t>
      </w:r>
    </w:p>
    <w:p>
      <w:pPr>
        <w:ind w:firstLine="640" w:firstLineChars="200"/>
        <w:rPr>
          <w:rFonts w:ascii="仿宋_GB2312" w:hAnsi="仿宋" w:eastAsia="仿宋_GB2312"/>
          <w:sz w:val="32"/>
          <w:szCs w:val="32"/>
        </w:rPr>
      </w:pPr>
      <w:r>
        <w:rPr>
          <w:rFonts w:hint="eastAsia" w:ascii="仿宋_GB2312" w:hAnsi="仿宋" w:eastAsia="仿宋_GB2312"/>
          <w:sz w:val="32"/>
          <w:szCs w:val="32"/>
        </w:rPr>
        <w:t>应按有关规定填写抽样单，并记录被抽查产品及企业相关信息。</w:t>
      </w:r>
    </w:p>
    <w:p>
      <w:pPr>
        <w:rPr>
          <w:rFonts w:ascii="黑体" w:hAnsi="黑体" w:eastAsia="黑体" w:cs="方正仿宋简体"/>
          <w:sz w:val="32"/>
          <w:szCs w:val="32"/>
        </w:rPr>
      </w:pPr>
      <w:r>
        <w:rPr>
          <w:rFonts w:hint="eastAsia" w:ascii="黑体" w:hAnsi="黑体" w:eastAsia="黑体" w:cs="方正仿宋简体"/>
          <w:sz w:val="32"/>
          <w:szCs w:val="32"/>
        </w:rPr>
        <w:t>五、检验要求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（一）检验项目</w:t>
      </w:r>
    </w:p>
    <w:tbl>
      <w:tblPr>
        <w:tblStyle w:val="3"/>
        <w:tblW w:w="8533" w:type="dxa"/>
        <w:jc w:val="center"/>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17"/>
        <w:gridCol w:w="1960"/>
        <w:gridCol w:w="261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blHeader/>
          <w:jc w:val="center"/>
        </w:trPr>
        <w:tc>
          <w:tcPr>
            <w:tcW w:w="724"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产品名称</w:t>
            </w:r>
          </w:p>
        </w:tc>
        <w:tc>
          <w:tcPr>
            <w:tcW w:w="617"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1960"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c>
          <w:tcPr>
            <w:tcW w:w="2616"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依据标准</w:t>
            </w:r>
          </w:p>
        </w:tc>
        <w:tc>
          <w:tcPr>
            <w:tcW w:w="2616"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blHeade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Merge w:val="continue"/>
            <w:vAlign w:val="center"/>
          </w:tcPr>
          <w:p>
            <w:pPr>
              <w:snapToGrid w:val="0"/>
              <w:jc w:val="center"/>
              <w:rPr>
                <w:rFonts w:ascii="仿宋_GB2312" w:eastAsia="仿宋_GB2312"/>
                <w:spacing w:val="-20"/>
                <w:sz w:val="28"/>
                <w:szCs w:val="28"/>
              </w:rPr>
            </w:pPr>
          </w:p>
        </w:tc>
        <w:tc>
          <w:tcPr>
            <w:tcW w:w="1960" w:type="dxa"/>
            <w:vMerge w:val="continue"/>
            <w:vAlign w:val="center"/>
          </w:tcPr>
          <w:p>
            <w:pPr>
              <w:snapToGrid w:val="0"/>
              <w:jc w:val="center"/>
              <w:rPr>
                <w:rFonts w:ascii="仿宋_GB2312" w:eastAsia="仿宋_GB2312"/>
                <w:spacing w:val="-20"/>
                <w:sz w:val="28"/>
                <w:szCs w:val="28"/>
              </w:rPr>
            </w:pPr>
          </w:p>
        </w:tc>
        <w:tc>
          <w:tcPr>
            <w:tcW w:w="2616" w:type="dxa"/>
            <w:vMerge w:val="continue"/>
            <w:vAlign w:val="center"/>
          </w:tcPr>
          <w:p>
            <w:pPr>
              <w:snapToGrid w:val="0"/>
              <w:jc w:val="center"/>
              <w:rPr>
                <w:rFonts w:ascii="仿宋_GB2312" w:eastAsia="仿宋_GB2312"/>
                <w:spacing w:val="-20"/>
                <w:sz w:val="28"/>
                <w:szCs w:val="28"/>
              </w:rPr>
            </w:pPr>
          </w:p>
        </w:tc>
        <w:tc>
          <w:tcPr>
            <w:tcW w:w="2616" w:type="dxa"/>
            <w:vMerge w:val="continue"/>
            <w:vAlign w:val="center"/>
          </w:tcPr>
          <w:p>
            <w:pPr>
              <w:snapToGrid w:val="0"/>
              <w:jc w:val="center"/>
              <w:rPr>
                <w:rFonts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室内加热器</w:t>
            </w: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分类</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4706.1-2005/6</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4706.23-2007/6</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4706.1-2005/6</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2</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标志和说明</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4706.1-2005/7</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4706.23-2007/7</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4706.1-2005/7</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对触及带电部件的防护</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4706.1-2005/8</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4706.23-2007/8</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4706.1-2005/8</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4</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输入功率和电流</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4706.1-2005/10</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4706.23-2007/10</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4706.1-2005/10</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5</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工作温度下的泄漏电流和电气强度</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4706.1-2005/13</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4706.23-2007/13</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4706.1-2005/13</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6</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耐潮湿</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4706.1-2005/15</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4706.23-2007/15</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4706.1-2005/15</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7</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泄漏电流和电气强度</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4706.1-2005/16</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4706.23-2007/16</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4706.1-2005/16</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8</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机械强度（不包括第21.102、21.103条的试验）</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4706.1-2005/21</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4706.23-2007/21</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4706.1-2005/21</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9</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结构（不包括第22.46条的试验）</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4706.1-2005/22</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4706.23-2007/22</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4706.1-2005/22</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10</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内部布线</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4706.1-2005/23</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4706.23-2007/23</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4706.1-2005/23</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11</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电源连接和外部软线</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4706.1-2005/25</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4706.23-2007/25</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4706.1-2005/25</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12</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外部导线用接线端子</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4706.1-2005/26</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4706.23-2007/26</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4706.1-2005/26</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13</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接地措施</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4706.1-2005/27</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4706.23-2007/27</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4706.1-2005/27</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14</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螺钉和连接</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4706.1-2005/28</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4706.23-2007/28</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4706.1-2005/28</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napToGrid w:val="0"/>
              <w:jc w:val="center"/>
              <w:rPr>
                <w:rFonts w:ascii="仿宋_GB2312" w:eastAsia="仿宋_GB2312"/>
                <w:b/>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15</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电气间隙、爬电距离</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4706.1-2005/29</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4706.23-2007/29</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4706.1-2005/29</w:t>
            </w:r>
          </w:p>
          <w:p>
            <w:pPr>
              <w:snapToGrid w:val="0"/>
              <w:jc w:val="center"/>
              <w:rPr>
                <w:rFonts w:ascii="仿宋_GB2312" w:eastAsia="仿宋_GB2312"/>
                <w:spacing w:val="-20"/>
                <w:sz w:val="28"/>
                <w:szCs w:val="28"/>
              </w:rPr>
            </w:pPr>
            <w:r>
              <w:rPr>
                <w:rFonts w:hint="eastAsia" w:ascii="仿宋_GB2312" w:eastAsia="仿宋_GB2312"/>
                <w:spacing w:val="-20"/>
                <w:sz w:val="28"/>
                <w:szCs w:val="28"/>
              </w:rPr>
              <w:t>GB 4706.23-2007/29</w:t>
            </w:r>
          </w:p>
        </w:tc>
      </w:tr>
    </w:tbl>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（二）检验应注意的问题</w:t>
      </w:r>
    </w:p>
    <w:p>
      <w:pPr>
        <w:ind w:firstLine="640" w:firstLineChars="200"/>
        <w:rPr>
          <w:rFonts w:ascii="仿宋_GB2312" w:hAnsi="仿宋" w:eastAsia="仿宋_GB2312"/>
          <w:sz w:val="32"/>
          <w:szCs w:val="32"/>
        </w:rPr>
      </w:pPr>
      <w:r>
        <w:rPr>
          <w:rFonts w:hint="eastAsia" w:ascii="仿宋_GB2312" w:hAnsi="仿宋" w:eastAsia="仿宋_GB2312"/>
          <w:sz w:val="32"/>
          <w:szCs w:val="32"/>
        </w:rPr>
        <w:t>1.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rPr>
          <w:rFonts w:ascii="黑体" w:hAnsi="黑体" w:eastAsia="黑体" w:cs="方正仿宋简体"/>
          <w:sz w:val="32"/>
          <w:szCs w:val="32"/>
        </w:rPr>
      </w:pPr>
      <w:r>
        <w:rPr>
          <w:rFonts w:hint="eastAsia" w:ascii="黑体" w:hAnsi="黑体" w:eastAsia="黑体" w:cs="方正仿宋简体"/>
          <w:sz w:val="32"/>
          <w:szCs w:val="32"/>
        </w:rPr>
        <w:t>六、 判定规则</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（一）判定原则</w:t>
      </w:r>
    </w:p>
    <w:p>
      <w:pPr>
        <w:ind w:firstLine="640" w:firstLineChars="200"/>
        <w:rPr>
          <w:rFonts w:ascii="仿宋_GB2312" w:hAnsi="仿宋" w:eastAsia="仿宋_GB2312"/>
          <w:sz w:val="32"/>
          <w:szCs w:val="32"/>
        </w:rPr>
      </w:pPr>
      <w:r>
        <w:rPr>
          <w:rFonts w:hint="eastAsia" w:ascii="仿宋_GB2312" w:hAnsi="仿宋" w:eastAsia="仿宋_GB2312"/>
          <w:sz w:val="32"/>
          <w:szCs w:val="32"/>
        </w:rPr>
        <w:t>经检验，检验项目全部合格，判定被抽查产品合格；检验项目中任一项或一项以上不合格，判定被抽查产品不合格。</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（二）判定结论用语</w:t>
      </w:r>
    </w:p>
    <w:p>
      <w:pPr>
        <w:ind w:firstLine="640" w:firstLineChars="200"/>
        <w:rPr>
          <w:rFonts w:ascii="仿宋_GB2312" w:hAnsi="仿宋" w:eastAsia="仿宋_GB2312"/>
          <w:sz w:val="32"/>
          <w:szCs w:val="32"/>
        </w:rPr>
      </w:pPr>
      <w:r>
        <w:rPr>
          <w:rFonts w:hint="eastAsia" w:ascii="仿宋_GB2312" w:hAnsi="仿宋" w:eastAsia="仿宋_GB2312"/>
          <w:sz w:val="32"/>
          <w:szCs w:val="32"/>
        </w:rPr>
        <w:t>合格判定结论用语：经抽样检验，所检项目符合××（判定标准），依据××实施细则，判定为合格。</w:t>
      </w:r>
    </w:p>
    <w:p>
      <w:pPr>
        <w:ind w:firstLine="640" w:firstLineChars="200"/>
        <w:rPr>
          <w:rFonts w:ascii="仿宋_GB2312" w:hAnsi="仿宋" w:eastAsia="仿宋_GB2312"/>
          <w:sz w:val="32"/>
          <w:szCs w:val="32"/>
        </w:rPr>
      </w:pPr>
      <w:r>
        <w:rPr>
          <w:rFonts w:hint="eastAsia" w:ascii="仿宋_GB2312" w:hAnsi="仿宋" w:eastAsia="仿宋_GB2312"/>
          <w:sz w:val="32"/>
          <w:szCs w:val="32"/>
        </w:rPr>
        <w:t>不合格判定结论用语：经抽样检验，××项目不符合××（判定标准），依据××实施细则，判定为不合格。</w:t>
      </w:r>
    </w:p>
    <w:p>
      <w:pPr>
        <w:rPr>
          <w:rFonts w:ascii="黑体" w:hAnsi="黑体" w:eastAsia="黑体" w:cs="方正仿宋简体"/>
          <w:sz w:val="32"/>
          <w:szCs w:val="32"/>
        </w:rPr>
      </w:pPr>
      <w:r>
        <w:rPr>
          <w:rFonts w:hint="eastAsia" w:ascii="黑体" w:hAnsi="黑体" w:eastAsia="黑体" w:cs="方正仿宋简体"/>
          <w:sz w:val="32"/>
          <w:szCs w:val="32"/>
        </w:rPr>
        <w:t>七、异议处理</w:t>
      </w:r>
    </w:p>
    <w:p>
      <w:pPr>
        <w:ind w:firstLine="640" w:firstLineChars="200"/>
        <w:rPr>
          <w:rFonts w:ascii="仿宋_GB2312" w:hAnsi="仿宋" w:eastAsia="仿宋_GB2312"/>
          <w:sz w:val="32"/>
          <w:szCs w:val="32"/>
        </w:rPr>
      </w:pPr>
      <w:r>
        <w:rPr>
          <w:rFonts w:hint="eastAsia" w:ascii="仿宋_GB2312" w:hAnsi="仿宋" w:eastAsia="仿宋_GB2312"/>
          <w:sz w:val="32"/>
          <w:szCs w:val="32"/>
        </w:rPr>
        <w:t>对判定不合格产品进行异议处理时，按以下方式进行：</w:t>
      </w:r>
    </w:p>
    <w:p>
      <w:pPr>
        <w:ind w:firstLine="640" w:firstLineChars="200"/>
        <w:rPr>
          <w:rFonts w:ascii="仿宋_GB2312" w:hAnsi="仿宋" w:eastAsia="仿宋_GB2312"/>
          <w:sz w:val="32"/>
          <w:szCs w:val="32"/>
        </w:rPr>
      </w:pPr>
      <w:r>
        <w:rPr>
          <w:rFonts w:hint="eastAsia" w:ascii="仿宋_GB2312" w:hAnsi="黑体" w:eastAsia="仿宋_GB2312" w:cs="方正仿宋简体"/>
          <w:sz w:val="32"/>
          <w:szCs w:val="32"/>
        </w:rPr>
        <w:t>（一）核查不合格项目相关证据</w:t>
      </w:r>
      <w:r>
        <w:rPr>
          <w:rFonts w:hint="eastAsia" w:ascii="仿宋_GB2312" w:hAnsi="仿宋" w:eastAsia="仿宋_GB2312"/>
          <w:sz w:val="32"/>
          <w:szCs w:val="32"/>
        </w:rPr>
        <w:t>，能够以记录（纸质记录或电子记录或影像记录）或与不合格项目相关联的其他质量数据等检验证据证明。以此方式确定为不合格产品的不予复检。</w:t>
      </w:r>
    </w:p>
    <w:p>
      <w:pPr>
        <w:ind w:firstLine="640" w:firstLineChars="200"/>
        <w:rPr>
          <w:rFonts w:ascii="楷体_GB2312" w:hAnsi="黑体" w:eastAsia="楷体_GB2312" w:cs="方正仿宋简体"/>
          <w:b/>
          <w:sz w:val="32"/>
          <w:szCs w:val="32"/>
        </w:rPr>
      </w:pPr>
      <w:r>
        <w:rPr>
          <w:rFonts w:hint="eastAsia" w:ascii="仿宋_GB2312" w:hAnsi="仿宋" w:eastAsia="仿宋_GB2312"/>
          <w:sz w:val="32"/>
          <w:szCs w:val="32"/>
        </w:rPr>
        <w:t>（二）对需要复检并具备检验条件的，处理企业异议的市场监督管理部门或指定检验机构应当按原监督抽查方案对留存的样品或抽取的备用样品组织复检，并出具检验报告。附件结论为最终结论。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9473D"/>
    <w:rsid w:val="21B9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2021-07-15T13:17:00Z</dcterms:created>
  <dc:creator>邹思媛</dc:creator>
  <cp:lastModifiedBy>邹思媛</cp:lastModifiedBy>
  <dcterms:modified xsi:type="dcterms:W3CDTF">2021-07-15T13:17:53Z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