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2021年新疆维吾尔自治区</w:t>
      </w:r>
      <w:r>
        <w:rPr>
          <w:rFonts w:hint="eastAsia" w:ascii="方正小标宋简体" w:hAnsi="方正小标宋简体" w:eastAsia="方正小标宋简体" w:cs="方正小标宋简体"/>
          <w:color w:val="000000"/>
          <w:sz w:val="44"/>
          <w:szCs w:val="44"/>
          <w:lang w:val="en-US" w:eastAsia="zh-CN"/>
        </w:rPr>
        <w:t>家用燃气灶产品</w:t>
      </w:r>
      <w:r>
        <w:rPr>
          <w:rFonts w:hint="eastAsia" w:ascii="方正小标宋简体" w:hAnsi="方正小标宋简体" w:eastAsia="方正小标宋简体" w:cs="方正小标宋简体"/>
          <w:color w:val="000000"/>
          <w:sz w:val="44"/>
          <w:szCs w:val="44"/>
        </w:rPr>
        <w:t>质量监督抽查实施细则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监督抽查产品范围包括台式、嵌入式、落地式、组合式家用燃气灶。本规范内容包括产品分类、术语和定义、企业产品生产规模划分、检验依据、抽样、检验要求、判定原则、异议处理及附则。</w:t>
      </w:r>
    </w:p>
    <w:p>
      <w:pPr>
        <w:rPr>
          <w:rFonts w:ascii="黑体" w:hAnsi="黑体" w:eastAsia="黑体" w:cs="方正仿宋简体"/>
          <w:sz w:val="32"/>
          <w:szCs w:val="32"/>
        </w:rPr>
      </w:pPr>
      <w:r>
        <w:rPr>
          <w:rFonts w:hint="eastAsia" w:ascii="黑体" w:hAnsi="黑体" w:eastAsia="黑体" w:cs="方正仿宋简体"/>
          <w:sz w:val="32"/>
          <w:szCs w:val="32"/>
        </w:rPr>
        <w:t>二、产品分类</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 产品分类及代码</w:t>
      </w:r>
    </w:p>
    <w:p>
      <w:pPr>
        <w:ind w:firstLine="640" w:firstLineChars="200"/>
        <w:rPr>
          <w:rFonts w:ascii="仿宋_GB2312" w:hAnsi="仿宋" w:eastAsia="仿宋_GB2312"/>
          <w:sz w:val="32"/>
          <w:szCs w:val="32"/>
        </w:rPr>
      </w:pPr>
      <w:r>
        <w:rPr>
          <w:rFonts w:hint="eastAsia" w:ascii="仿宋_GB2312" w:hAnsi="仿宋" w:eastAsia="仿宋_GB2312"/>
          <w:sz w:val="32"/>
          <w:szCs w:val="32"/>
        </w:rPr>
        <w:t>产品分类及代码见表1 。</w:t>
      </w:r>
    </w:p>
    <w:p>
      <w:pPr>
        <w:snapToGrid w:val="0"/>
        <w:jc w:val="center"/>
        <w:rPr>
          <w:rFonts w:ascii="仿宋_GB2312" w:eastAsia="仿宋_GB2312"/>
          <w:spacing w:val="-20"/>
          <w:sz w:val="28"/>
          <w:szCs w:val="28"/>
        </w:rPr>
      </w:pPr>
      <w:r>
        <w:rPr>
          <w:rFonts w:hint="eastAsia" w:ascii="仿宋_GB2312" w:eastAsia="仿宋_GB2312"/>
          <w:spacing w:val="-20"/>
          <w:sz w:val="28"/>
          <w:szCs w:val="28"/>
        </w:rPr>
        <w:t>表1  产品分类及代码</w:t>
      </w:r>
    </w:p>
    <w:tbl>
      <w:tblPr>
        <w:tblStyle w:val="3"/>
        <w:tblW w:w="7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800"/>
        <w:gridCol w:w="2052"/>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产品分类</w:t>
            </w:r>
          </w:p>
        </w:tc>
        <w:tc>
          <w:tcPr>
            <w:tcW w:w="1800"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一级分类</w:t>
            </w:r>
          </w:p>
        </w:tc>
        <w:tc>
          <w:tcPr>
            <w:tcW w:w="2052"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二级分类</w:t>
            </w:r>
          </w:p>
        </w:tc>
        <w:tc>
          <w:tcPr>
            <w:tcW w:w="1822"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分类代码</w:t>
            </w:r>
          </w:p>
        </w:tc>
        <w:tc>
          <w:tcPr>
            <w:tcW w:w="180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205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302</w:t>
            </w:r>
          </w:p>
        </w:tc>
        <w:tc>
          <w:tcPr>
            <w:tcW w:w="182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分类名称</w:t>
            </w:r>
          </w:p>
        </w:tc>
        <w:tc>
          <w:tcPr>
            <w:tcW w:w="180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轻工产品</w:t>
            </w:r>
          </w:p>
        </w:tc>
        <w:tc>
          <w:tcPr>
            <w:tcW w:w="205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家用燃气用具</w:t>
            </w:r>
          </w:p>
        </w:tc>
        <w:tc>
          <w:tcPr>
            <w:tcW w:w="1822"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家用燃气灶</w:t>
            </w:r>
          </w:p>
        </w:tc>
      </w:tr>
    </w:tbl>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（二）产品种类</w:t>
      </w:r>
    </w:p>
    <w:p>
      <w:pPr>
        <w:ind w:firstLine="640" w:firstLineChars="200"/>
        <w:rPr>
          <w:rFonts w:ascii="仿宋_GB2312" w:hAnsi="仿宋" w:eastAsia="仿宋_GB2312"/>
          <w:sz w:val="32"/>
          <w:szCs w:val="32"/>
        </w:rPr>
      </w:pPr>
      <w:r>
        <w:rPr>
          <w:rFonts w:hint="eastAsia" w:ascii="仿宋_GB2312" w:hAnsi="仿宋" w:eastAsia="仿宋_GB2312"/>
          <w:sz w:val="32"/>
          <w:szCs w:val="32"/>
        </w:rPr>
        <w:t>家用燃气灶产品范围包括台式、嵌入式、落地式、组合式家用燃气灶。</w:t>
      </w:r>
    </w:p>
    <w:p>
      <w:pPr>
        <w:rPr>
          <w:rFonts w:ascii="黑体" w:hAnsi="黑体" w:eastAsia="黑体" w:cs="方正仿宋简体"/>
          <w:sz w:val="32"/>
          <w:szCs w:val="32"/>
        </w:rPr>
      </w:pPr>
      <w:r>
        <w:rPr>
          <w:rFonts w:hint="eastAsia" w:ascii="黑体" w:hAnsi="黑体" w:eastAsia="黑体" w:cs="方正仿宋简体"/>
          <w:sz w:val="32"/>
          <w:szCs w:val="32"/>
        </w:rPr>
        <w:t>三、术语和定义</w:t>
      </w:r>
    </w:p>
    <w:p>
      <w:pPr>
        <w:ind w:firstLine="640" w:firstLineChars="200"/>
        <w:rPr>
          <w:rFonts w:ascii="仿宋_GB2312" w:hAnsi="仿宋" w:eastAsia="仿宋_GB2312"/>
          <w:sz w:val="32"/>
          <w:szCs w:val="32"/>
        </w:rPr>
      </w:pPr>
      <w:r>
        <w:rPr>
          <w:rFonts w:hint="eastAsia" w:ascii="仿宋_GB2312" w:hAnsi="仿宋" w:eastAsia="仿宋_GB2312"/>
          <w:sz w:val="32"/>
          <w:szCs w:val="32"/>
        </w:rPr>
        <w:t>本规范中未列出的术语和定义同相关引用标准。</w:t>
      </w:r>
    </w:p>
    <w:p>
      <w:pPr>
        <w:rPr>
          <w:rFonts w:ascii="黑体" w:hAnsi="黑体" w:eastAsia="黑体" w:cs="方正仿宋简体"/>
          <w:sz w:val="32"/>
          <w:szCs w:val="32"/>
        </w:rPr>
      </w:pPr>
      <w:r>
        <w:rPr>
          <w:rFonts w:hint="eastAsia" w:ascii="黑体" w:hAnsi="黑体" w:eastAsia="黑体" w:cs="方正仿宋简体"/>
          <w:sz w:val="32"/>
          <w:szCs w:val="32"/>
        </w:rPr>
        <w:t>四、企业家用燃气灶产品生产规模划分</w:t>
      </w:r>
    </w:p>
    <w:p>
      <w:pPr>
        <w:ind w:firstLine="640" w:firstLineChars="200"/>
        <w:rPr>
          <w:rFonts w:ascii="仿宋_GB2312" w:hAnsi="仿宋" w:eastAsia="仿宋_GB2312"/>
          <w:sz w:val="32"/>
          <w:szCs w:val="32"/>
        </w:rPr>
      </w:pPr>
      <w:r>
        <w:rPr>
          <w:rFonts w:hint="eastAsia" w:ascii="仿宋_GB2312" w:hAnsi="仿宋" w:eastAsia="仿宋_GB2312"/>
          <w:sz w:val="32"/>
          <w:szCs w:val="32"/>
        </w:rPr>
        <w:t>根据家用燃气灶产品行业的实际情况，企业生产规模以家用燃气灶产品年销售额为标准划分为大、中、小型企业。见表2。</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表2  企业家用燃气灶产品生产规模划分</w:t>
      </w:r>
    </w:p>
    <w:tbl>
      <w:tblPr>
        <w:tblStyle w:val="3"/>
        <w:tblW w:w="8807" w:type="dxa"/>
        <w:jc w:val="center"/>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2139"/>
        <w:gridCol w:w="239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239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企业家用燃气灶</w:t>
            </w:r>
          </w:p>
          <w:p>
            <w:pPr>
              <w:snapToGrid w:val="0"/>
              <w:jc w:val="center"/>
              <w:rPr>
                <w:rFonts w:ascii="仿宋_GB2312" w:eastAsia="仿宋_GB2312"/>
                <w:b/>
                <w:spacing w:val="-20"/>
                <w:sz w:val="28"/>
                <w:szCs w:val="28"/>
              </w:rPr>
            </w:pPr>
            <w:r>
              <w:rPr>
                <w:rFonts w:hint="eastAsia" w:ascii="仿宋_GB2312" w:eastAsia="仿宋_GB2312"/>
                <w:b/>
                <w:spacing w:val="-20"/>
                <w:sz w:val="28"/>
                <w:szCs w:val="28"/>
              </w:rPr>
              <w:t>产品生产规模</w:t>
            </w:r>
          </w:p>
        </w:tc>
        <w:tc>
          <w:tcPr>
            <w:tcW w:w="2139"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大型企业</w:t>
            </w:r>
          </w:p>
        </w:tc>
        <w:tc>
          <w:tcPr>
            <w:tcW w:w="2398"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中型企业</w:t>
            </w:r>
          </w:p>
        </w:tc>
        <w:tc>
          <w:tcPr>
            <w:tcW w:w="1879"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91" w:type="dxa"/>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销售额/万元</w:t>
            </w:r>
          </w:p>
        </w:tc>
        <w:tc>
          <w:tcPr>
            <w:tcW w:w="2139"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≥10000</w:t>
            </w:r>
          </w:p>
        </w:tc>
        <w:tc>
          <w:tcPr>
            <w:tcW w:w="2398"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≥3000且＜10000</w:t>
            </w:r>
          </w:p>
        </w:tc>
        <w:tc>
          <w:tcPr>
            <w:tcW w:w="1879"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＜3000</w:t>
            </w:r>
          </w:p>
        </w:tc>
      </w:tr>
    </w:tbl>
    <w:p>
      <w:pPr>
        <w:snapToGrid w:val="0"/>
        <w:jc w:val="left"/>
        <w:rPr>
          <w:rFonts w:ascii="仿宋_GB2312" w:eastAsia="仿宋_GB2312"/>
          <w:spacing w:val="-20"/>
          <w:sz w:val="28"/>
          <w:szCs w:val="28"/>
        </w:rPr>
      </w:pPr>
      <w:r>
        <w:rPr>
          <w:rFonts w:hint="eastAsia" w:ascii="仿宋_GB2312" w:eastAsia="仿宋_GB2312"/>
          <w:spacing w:val="-20"/>
          <w:sz w:val="28"/>
          <w:szCs w:val="28"/>
        </w:rPr>
        <w:t>备注：年销售额包括该类产品的内销和外销总额。</w:t>
      </w:r>
    </w:p>
    <w:p>
      <w:pPr>
        <w:rPr>
          <w:rFonts w:ascii="黑体" w:hAnsi="黑体" w:eastAsia="黑体" w:cs="方正仿宋简体"/>
          <w:sz w:val="32"/>
          <w:szCs w:val="32"/>
        </w:rPr>
      </w:pPr>
      <w:r>
        <w:rPr>
          <w:rFonts w:hint="eastAsia" w:ascii="黑体" w:hAnsi="黑体" w:eastAsia="黑体" w:cs="方正仿宋简体"/>
          <w:sz w:val="32"/>
          <w:szCs w:val="32"/>
        </w:rPr>
        <w:t>五、检验依据</w:t>
      </w:r>
    </w:p>
    <w:p>
      <w:pPr>
        <w:ind w:firstLine="640" w:firstLineChars="200"/>
        <w:rPr>
          <w:rFonts w:ascii="仿宋_GB2312" w:hAnsi="仿宋" w:eastAsia="仿宋_GB2312"/>
          <w:sz w:val="32"/>
          <w:szCs w:val="32"/>
        </w:rPr>
      </w:pPr>
      <w:r>
        <w:rPr>
          <w:rFonts w:hint="eastAsia" w:ascii="仿宋_GB2312" w:hAnsi="仿宋" w:eastAsia="仿宋_GB2312"/>
          <w:sz w:val="32"/>
          <w:szCs w:val="32"/>
        </w:rPr>
        <w:t>凡是注日期的文件，其随后所有的修改单（不包括勘误的内容）或修订版不适用于本规范。凡是不注日期的文件，其最新版本适用于本规范。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GB </w:t>
      </w:r>
      <w:r>
        <w:rPr>
          <w:rFonts w:ascii="仿宋_GB2312" w:hAnsi="仿宋" w:eastAsia="仿宋_GB2312"/>
          <w:sz w:val="32"/>
          <w:szCs w:val="32"/>
        </w:rPr>
        <w:t>16410-2007</w:t>
      </w:r>
      <w:r>
        <w:rPr>
          <w:rFonts w:hint="eastAsia" w:ascii="仿宋_GB2312" w:hAnsi="仿宋" w:eastAsia="仿宋_GB2312"/>
          <w:sz w:val="32"/>
          <w:szCs w:val="32"/>
        </w:rPr>
        <w:t>《家用燃气灶具》</w:t>
      </w:r>
    </w:p>
    <w:p>
      <w:pPr>
        <w:ind w:firstLine="640" w:firstLineChars="200"/>
        <w:rPr>
          <w:rFonts w:ascii="仿宋_GB2312" w:hAnsi="仿宋" w:eastAsia="仿宋_GB2312"/>
          <w:sz w:val="32"/>
          <w:szCs w:val="32"/>
        </w:rPr>
      </w:pPr>
      <w:r>
        <w:rPr>
          <w:rFonts w:hint="eastAsia" w:ascii="仿宋_GB2312" w:hAnsi="仿宋" w:eastAsia="仿宋_GB2312"/>
          <w:sz w:val="32"/>
          <w:szCs w:val="32"/>
        </w:rPr>
        <w:t>GB 30720-2014 《家用燃气灶具能效限定值及能效等级》</w:t>
      </w:r>
    </w:p>
    <w:p>
      <w:pPr>
        <w:ind w:firstLine="640" w:firstLineChars="200"/>
        <w:rPr>
          <w:rFonts w:ascii="仿宋_GB2312" w:hAnsi="仿宋" w:eastAsia="仿宋_GB2312"/>
          <w:sz w:val="32"/>
          <w:szCs w:val="32"/>
        </w:rPr>
      </w:pPr>
      <w:r>
        <w:rPr>
          <w:rFonts w:hint="eastAsia" w:ascii="仿宋_GB2312" w:hAnsi="仿宋" w:eastAsia="仿宋_GB2312"/>
          <w:sz w:val="32"/>
          <w:szCs w:val="32"/>
        </w:rPr>
        <w:t>相关的法律法规、部门规章和规范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经备案现行有效的企业标准及产品明示质量要求</w:t>
      </w:r>
    </w:p>
    <w:p>
      <w:pPr>
        <w:rPr>
          <w:rFonts w:ascii="黑体" w:hAnsi="黑体" w:eastAsia="黑体" w:cs="方正仿宋简体"/>
          <w:sz w:val="32"/>
          <w:szCs w:val="32"/>
        </w:rPr>
      </w:pPr>
      <w:r>
        <w:rPr>
          <w:rFonts w:hint="eastAsia" w:ascii="黑体" w:hAnsi="黑体" w:eastAsia="黑体" w:cs="方正仿宋简体"/>
          <w:sz w:val="32"/>
          <w:szCs w:val="32"/>
        </w:rPr>
        <w:t>六、抽样</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（一）抽样型号或规格</w:t>
      </w:r>
    </w:p>
    <w:p>
      <w:pPr>
        <w:ind w:firstLine="640" w:firstLineChars="200"/>
        <w:rPr>
          <w:rFonts w:ascii="仿宋_GB2312" w:hAnsi="仿宋" w:eastAsia="仿宋_GB2312"/>
          <w:sz w:val="32"/>
          <w:szCs w:val="32"/>
        </w:rPr>
      </w:pPr>
      <w:r>
        <w:rPr>
          <w:rFonts w:hint="eastAsia" w:ascii="仿宋_GB2312" w:hAnsi="仿宋" w:eastAsia="仿宋_GB2312"/>
          <w:sz w:val="32"/>
          <w:szCs w:val="32"/>
        </w:rPr>
        <w:t>抽取样品应为同一型号规格、同一批次的产品，优先抽取企业的主导产品。</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（二）抽样方法、基数及数量</w:t>
      </w:r>
    </w:p>
    <w:p>
      <w:pPr>
        <w:ind w:firstLine="640" w:firstLineChars="200"/>
        <w:rPr>
          <w:rFonts w:ascii="仿宋_GB2312" w:hAnsi="黑体" w:eastAsia="仿宋_GB2312" w:cs="方正仿宋简体"/>
          <w:sz w:val="32"/>
          <w:szCs w:val="32"/>
        </w:rPr>
      </w:pPr>
      <w:r>
        <w:rPr>
          <w:rFonts w:hint="eastAsia" w:ascii="仿宋_GB2312" w:hAnsi="仿宋" w:eastAsia="仿宋_GB2312" w:cs="方正仿宋简体"/>
          <w:sz w:val="32"/>
          <w:szCs w:val="32"/>
        </w:rPr>
        <w:t>1.在企业的成品仓库或市场待销产品中随机抽取有产品质量检验合格证明或者以其他形式表明合格的、近期生产的产品（特殊情况除外）。</w:t>
      </w:r>
    </w:p>
    <w:p>
      <w:pPr>
        <w:ind w:firstLine="640" w:firstLineChars="200"/>
        <w:rPr>
          <w:rFonts w:ascii="仿宋_GB2312" w:hAnsi="仿宋" w:eastAsia="仿宋_GB2312" w:cs="方正仿宋简体"/>
          <w:sz w:val="32"/>
          <w:szCs w:val="32"/>
        </w:rPr>
      </w:pPr>
      <w:r>
        <w:rPr>
          <w:rFonts w:hint="eastAsia" w:ascii="仿宋_GB2312" w:hAnsi="仿宋" w:eastAsia="仿宋_GB2312" w:cs="方正仿宋简体"/>
          <w:sz w:val="32"/>
          <w:szCs w:val="32"/>
        </w:rPr>
        <w:t>2.抽样时，将所要抽取的产品码放成规整的长方体，通过使用随机骰子或扑克牌等工具来确定所要抽取的样品的三维坐标。</w:t>
      </w:r>
    </w:p>
    <w:p>
      <w:pPr>
        <w:ind w:firstLine="640" w:firstLineChars="200"/>
        <w:rPr>
          <w:rFonts w:ascii="仿宋_GB2312" w:hAnsi="仿宋" w:eastAsia="仿宋_GB2312" w:cs="方正仿宋简体"/>
          <w:sz w:val="32"/>
          <w:szCs w:val="32"/>
        </w:rPr>
      </w:pPr>
      <w:r>
        <w:rPr>
          <w:rFonts w:hint="eastAsia" w:ascii="仿宋_GB2312" w:hAnsi="仿宋" w:eastAsia="仿宋_GB2312" w:cs="方正仿宋简体"/>
          <w:sz w:val="32"/>
          <w:szCs w:val="32"/>
        </w:rPr>
        <w:t>3.在企业成品库抽样时，同一批次产品抽样基数应不少于10台，在市场上抽样时，抽样基数应不少于抽取样品数量。</w:t>
      </w:r>
    </w:p>
    <w:p>
      <w:pPr>
        <w:ind w:firstLine="640" w:firstLineChars="200"/>
        <w:rPr>
          <w:rFonts w:ascii="仿宋_GB2312" w:hAnsi="黑体" w:eastAsia="仿宋_GB2312" w:cs="方正仿宋简体"/>
          <w:sz w:val="32"/>
          <w:szCs w:val="32"/>
        </w:rPr>
      </w:pPr>
      <w:r>
        <w:rPr>
          <w:rFonts w:hint="eastAsia" w:ascii="仿宋_GB2312" w:hAnsi="仿宋" w:eastAsia="仿宋_GB2312" w:cs="方正仿宋简体"/>
          <w:sz w:val="32"/>
          <w:szCs w:val="32"/>
        </w:rPr>
        <w:t>4.在企业成品库抽样时，抽样数量为4台，其中2台作为检验用样品，2台作为备用样品。在市场抽样时，抽样数量为2台，其中1台作为检验样品，1台作为备用样品。</w:t>
      </w:r>
    </w:p>
    <w:p>
      <w:pPr>
        <w:tabs>
          <w:tab w:val="left" w:pos="3825"/>
        </w:tabs>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（三）样品处置</w:t>
      </w:r>
    </w:p>
    <w:p>
      <w:pPr>
        <w:ind w:firstLine="640" w:firstLineChars="200"/>
        <w:rPr>
          <w:rFonts w:ascii="仿宋_GB2312" w:hAnsi="仿宋" w:eastAsia="仿宋_GB2312"/>
          <w:sz w:val="32"/>
          <w:szCs w:val="32"/>
        </w:rPr>
      </w:pPr>
      <w:r>
        <w:rPr>
          <w:rFonts w:hint="eastAsia" w:ascii="仿宋_GB2312" w:hAnsi="仿宋" w:eastAsia="仿宋_GB2312"/>
          <w:sz w:val="32"/>
          <w:szCs w:val="32"/>
        </w:rPr>
        <w:t>检验用样品及备用样品应分别封样，并寄、送至指定的检验机构。应对样品包装箱进行完整签封（上下或左右），签封方式应有防拆封措施。</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（四）抽样单</w:t>
      </w:r>
    </w:p>
    <w:p>
      <w:pPr>
        <w:ind w:firstLine="640" w:firstLineChars="200"/>
        <w:rPr>
          <w:rFonts w:ascii="仿宋_GB2312" w:hAnsi="仿宋" w:eastAsia="仿宋_GB2312"/>
          <w:sz w:val="32"/>
          <w:szCs w:val="32"/>
        </w:rPr>
      </w:pPr>
      <w:r>
        <w:rPr>
          <w:rFonts w:hint="eastAsia" w:ascii="仿宋_GB2312" w:hAnsi="仿宋" w:eastAsia="仿宋_GB2312"/>
          <w:sz w:val="32"/>
          <w:szCs w:val="32"/>
        </w:rPr>
        <w:t>应按有关规定填写抽样单，并记录被抽查产品及企业相关信息。记录被抽查企业上一年度生产的家用燃气灶产品销售总额，以万元计；若企业上一年度未生产，则记录本年度实际销售额，并加以注明。对于产品检验所需的样品技术参数等信息，需要被抽企业提供的，应在抽样现场获取，并经企业确认。</w:t>
      </w:r>
    </w:p>
    <w:p>
      <w:pPr>
        <w:rPr>
          <w:rFonts w:ascii="黑体" w:hAnsi="黑体" w:eastAsia="黑体" w:cs="方正仿宋简体"/>
          <w:sz w:val="32"/>
          <w:szCs w:val="32"/>
        </w:rPr>
      </w:pPr>
      <w:r>
        <w:rPr>
          <w:rFonts w:hint="eastAsia" w:ascii="黑体" w:hAnsi="黑体" w:eastAsia="黑体" w:cs="方正仿宋简体"/>
          <w:sz w:val="32"/>
          <w:szCs w:val="32"/>
        </w:rPr>
        <w:t>七、检验要求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（一）检验项目及重要程度分类</w:t>
      </w:r>
    </w:p>
    <w:p>
      <w:pPr>
        <w:ind w:firstLine="560" w:firstLineChars="200"/>
        <w:rPr>
          <w:rFonts w:ascii="仿宋_GB2312" w:hAnsi="仿宋" w:eastAsia="仿宋_GB2312"/>
          <w:sz w:val="32"/>
          <w:szCs w:val="32"/>
        </w:rPr>
      </w:pPr>
      <w:r>
        <w:rPr>
          <w:rFonts w:hint="eastAsia" w:ascii="仿宋" w:hAnsi="仿宋" w:eastAsia="仿宋" w:cs="方正仿宋简体"/>
          <w:sz w:val="28"/>
          <w:szCs w:val="28"/>
        </w:rPr>
        <w:t xml:space="preserve">    </w:t>
      </w:r>
      <w:r>
        <w:rPr>
          <w:rFonts w:hint="eastAsia" w:ascii="仿宋_GB2312" w:hAnsi="仿宋" w:eastAsia="仿宋_GB2312"/>
          <w:sz w:val="32"/>
          <w:szCs w:val="32"/>
        </w:rPr>
        <w:t>检验项目及重要程度分类见表3。</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表3  检验项目及重要程度分类</w:t>
      </w:r>
    </w:p>
    <w:tbl>
      <w:tblPr>
        <w:tblStyle w:val="3"/>
        <w:tblW w:w="86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6"/>
        <w:gridCol w:w="1960"/>
        <w:gridCol w:w="2126"/>
        <w:gridCol w:w="2268"/>
        <w:gridCol w:w="851"/>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blHeader/>
          <w:jc w:val="center"/>
        </w:trPr>
        <w:tc>
          <w:tcPr>
            <w:tcW w:w="496"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序号</w:t>
            </w:r>
          </w:p>
        </w:tc>
        <w:tc>
          <w:tcPr>
            <w:tcW w:w="1960"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检验项目</w:t>
            </w:r>
          </w:p>
        </w:tc>
        <w:tc>
          <w:tcPr>
            <w:tcW w:w="2126"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依据标准</w:t>
            </w:r>
          </w:p>
        </w:tc>
        <w:tc>
          <w:tcPr>
            <w:tcW w:w="2268" w:type="dxa"/>
            <w:vMerge w:val="restart"/>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检验方法</w:t>
            </w:r>
          </w:p>
        </w:tc>
        <w:tc>
          <w:tcPr>
            <w:tcW w:w="1801" w:type="dxa"/>
            <w:gridSpan w:val="2"/>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重要程度或不合格程度分类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Merge w:val="continue"/>
            <w:vAlign w:val="center"/>
          </w:tcPr>
          <w:p>
            <w:pPr>
              <w:snapToGrid w:val="0"/>
              <w:jc w:val="center"/>
              <w:rPr>
                <w:rFonts w:hint="eastAsia" w:ascii="仿宋_GB2312" w:eastAsia="仿宋_GB2312"/>
                <w:b/>
                <w:spacing w:val="-20"/>
                <w:sz w:val="28"/>
                <w:szCs w:val="28"/>
              </w:rPr>
            </w:pPr>
          </w:p>
        </w:tc>
        <w:tc>
          <w:tcPr>
            <w:tcW w:w="1960" w:type="dxa"/>
            <w:vMerge w:val="continue"/>
            <w:vAlign w:val="center"/>
          </w:tcPr>
          <w:p>
            <w:pPr>
              <w:snapToGrid w:val="0"/>
              <w:jc w:val="center"/>
              <w:rPr>
                <w:rFonts w:hint="eastAsia" w:ascii="仿宋_GB2312" w:eastAsia="仿宋_GB2312"/>
                <w:b/>
                <w:spacing w:val="-20"/>
                <w:sz w:val="28"/>
                <w:szCs w:val="28"/>
              </w:rPr>
            </w:pPr>
          </w:p>
        </w:tc>
        <w:tc>
          <w:tcPr>
            <w:tcW w:w="2126" w:type="dxa"/>
            <w:vMerge w:val="continue"/>
            <w:vAlign w:val="center"/>
          </w:tcPr>
          <w:p>
            <w:pPr>
              <w:snapToGrid w:val="0"/>
              <w:jc w:val="center"/>
              <w:rPr>
                <w:rFonts w:hint="eastAsia" w:ascii="仿宋_GB2312" w:eastAsia="仿宋_GB2312"/>
                <w:b/>
                <w:spacing w:val="-20"/>
                <w:sz w:val="28"/>
                <w:szCs w:val="28"/>
              </w:rPr>
            </w:pPr>
          </w:p>
        </w:tc>
        <w:tc>
          <w:tcPr>
            <w:tcW w:w="2268" w:type="dxa"/>
            <w:vMerge w:val="continue"/>
            <w:vAlign w:val="center"/>
          </w:tcPr>
          <w:p>
            <w:pPr>
              <w:snapToGrid w:val="0"/>
              <w:jc w:val="center"/>
              <w:rPr>
                <w:rFonts w:hint="eastAsia" w:ascii="仿宋_GB2312" w:eastAsia="仿宋_GB2312"/>
                <w:b/>
                <w:spacing w:val="-20"/>
                <w:sz w:val="28"/>
                <w:szCs w:val="28"/>
              </w:rPr>
            </w:pPr>
          </w:p>
        </w:tc>
        <w:tc>
          <w:tcPr>
            <w:tcW w:w="851" w:type="dxa"/>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A类a</w:t>
            </w:r>
          </w:p>
        </w:tc>
        <w:tc>
          <w:tcPr>
            <w:tcW w:w="950" w:type="dxa"/>
            <w:vAlign w:val="center"/>
          </w:tcPr>
          <w:p>
            <w:pPr>
              <w:snapToGrid w:val="0"/>
              <w:jc w:val="center"/>
              <w:rPr>
                <w:rFonts w:hint="eastAsia" w:ascii="仿宋_GB2312" w:eastAsia="仿宋_GB2312"/>
                <w:b/>
                <w:spacing w:val="-20"/>
                <w:sz w:val="28"/>
                <w:szCs w:val="28"/>
              </w:rPr>
            </w:pPr>
            <w:r>
              <w:rPr>
                <w:rFonts w:hint="eastAsia" w:ascii="仿宋_GB2312" w:eastAsia="仿宋_GB2312"/>
                <w:b/>
                <w:spacing w:val="-20"/>
                <w:sz w:val="28"/>
                <w:szCs w:val="28"/>
              </w:rPr>
              <w:t>B类b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1</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气密性</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6.6</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2</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热负荷</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6.7</w:t>
            </w:r>
          </w:p>
        </w:tc>
        <w:tc>
          <w:tcPr>
            <w:tcW w:w="851" w:type="dxa"/>
            <w:vAlign w:val="center"/>
          </w:tcPr>
          <w:p>
            <w:pPr>
              <w:snapToGrid w:val="0"/>
              <w:jc w:val="center"/>
              <w:rPr>
                <w:rFonts w:hint="eastAsia" w:ascii="仿宋_GB2312" w:eastAsia="仿宋_GB2312"/>
                <w:spacing w:val="-20"/>
                <w:sz w:val="28"/>
                <w:szCs w:val="28"/>
              </w:rPr>
            </w:pPr>
          </w:p>
        </w:tc>
        <w:tc>
          <w:tcPr>
            <w:tcW w:w="95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3</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燃烧工况要求</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6.7</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4</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温升</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6.9</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5</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耐重力冲击</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6.11</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6</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熄火保护装置</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6.12</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7</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电点火装置</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16410-2007  6.13</w:t>
            </w:r>
          </w:p>
        </w:tc>
        <w:tc>
          <w:tcPr>
            <w:tcW w:w="851"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c>
          <w:tcPr>
            <w:tcW w:w="950" w:type="dxa"/>
            <w:vAlign w:val="center"/>
          </w:tcPr>
          <w:p>
            <w:pPr>
              <w:snapToGrid w:val="0"/>
              <w:jc w:val="center"/>
              <w:rPr>
                <w:rFonts w:hint="eastAsia" w:ascii="仿宋_GB2312" w:eastAsia="仿宋_GB2312"/>
                <w:spacing w:val="-2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49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8</w:t>
            </w:r>
          </w:p>
        </w:tc>
        <w:tc>
          <w:tcPr>
            <w:tcW w:w="196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热效率</w:t>
            </w:r>
          </w:p>
        </w:tc>
        <w:tc>
          <w:tcPr>
            <w:tcW w:w="2126"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30720-2014</w:t>
            </w:r>
          </w:p>
        </w:tc>
        <w:tc>
          <w:tcPr>
            <w:tcW w:w="2268"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GB 30720-2014  5.3</w:t>
            </w:r>
          </w:p>
        </w:tc>
        <w:tc>
          <w:tcPr>
            <w:tcW w:w="851" w:type="dxa"/>
            <w:vAlign w:val="center"/>
          </w:tcPr>
          <w:p>
            <w:pPr>
              <w:snapToGrid w:val="0"/>
              <w:jc w:val="center"/>
              <w:rPr>
                <w:rFonts w:hint="eastAsia" w:ascii="仿宋_GB2312" w:eastAsia="仿宋_GB2312"/>
                <w:spacing w:val="-20"/>
                <w:sz w:val="28"/>
                <w:szCs w:val="28"/>
              </w:rPr>
            </w:pPr>
          </w:p>
        </w:tc>
        <w:tc>
          <w:tcPr>
            <w:tcW w:w="950" w:type="dxa"/>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8651" w:type="dxa"/>
            <w:gridSpan w:val="6"/>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a 极重要质量项目</w:t>
            </w:r>
          </w:p>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b 重要质量项目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8651" w:type="dxa"/>
            <w:gridSpan w:val="6"/>
            <w:vAlign w:val="center"/>
          </w:tcPr>
          <w:p>
            <w:pPr>
              <w:snapToGrid w:val="0"/>
              <w:jc w:val="center"/>
              <w:rPr>
                <w:rFonts w:hint="eastAsia" w:ascii="仿宋_GB2312" w:eastAsia="仿宋_GB2312"/>
                <w:spacing w:val="-20"/>
                <w:sz w:val="28"/>
                <w:szCs w:val="28"/>
              </w:rPr>
            </w:pPr>
            <w:r>
              <w:rPr>
                <w:rFonts w:hint="eastAsia" w:ascii="仿宋_GB2312" w:eastAsia="仿宋_GB2312"/>
                <w:spacing w:val="-20"/>
                <w:sz w:val="28"/>
                <w:szCs w:val="28"/>
              </w:rPr>
              <w:t>备注：检验项目针对标准中强制性条文要求。</w:t>
            </w:r>
          </w:p>
        </w:tc>
      </w:tr>
    </w:tbl>
    <w:p>
      <w:pPr>
        <w:snapToGrid w:val="0"/>
        <w:jc w:val="left"/>
        <w:rPr>
          <w:rFonts w:hint="eastAsia" w:ascii="仿宋_GB2312" w:eastAsia="仿宋_GB2312"/>
          <w:spacing w:val="-20"/>
          <w:sz w:val="28"/>
          <w:szCs w:val="28"/>
        </w:rPr>
      </w:pPr>
      <w:r>
        <w:rPr>
          <w:rFonts w:hint="eastAsia" w:ascii="仿宋_GB2312" w:eastAsia="仿宋_GB2312"/>
          <w:spacing w:val="-20"/>
          <w:sz w:val="28"/>
          <w:szCs w:val="28"/>
        </w:rPr>
        <w:t>注：①极重要质量项目是指直接涉及人体健康、使用安全的指标；重要质量项目是指产品涉及环保、能效、关键性能或特征值的指标。</w:t>
      </w:r>
    </w:p>
    <w:p>
      <w:pPr>
        <w:snapToGrid w:val="0"/>
        <w:jc w:val="left"/>
        <w:rPr>
          <w:rFonts w:ascii="仿宋_GB2312" w:eastAsia="仿宋_GB2312"/>
          <w:spacing w:val="-20"/>
          <w:sz w:val="28"/>
          <w:szCs w:val="28"/>
        </w:rPr>
      </w:pPr>
      <w:r>
        <w:rPr>
          <w:rFonts w:hint="eastAsia" w:ascii="仿宋_GB2312" w:eastAsia="仿宋_GB2312"/>
          <w:spacing w:val="-20"/>
          <w:sz w:val="28"/>
          <w:szCs w:val="28"/>
        </w:rPr>
        <w:t>②上表所列检验项目是有关法律法规、标准等规定的，重点涉及健康、安全、节能、环保</w:t>
      </w:r>
      <w:r>
        <w:rPr>
          <w:rFonts w:ascii="仿宋_GB2312" w:eastAsia="仿宋_GB2312"/>
          <w:spacing w:val="-20"/>
          <w:sz w:val="28"/>
          <w:szCs w:val="28"/>
        </w:rPr>
        <w:t>以及消费者、有关组织反映有质量问题</w:t>
      </w:r>
      <w:r>
        <w:rPr>
          <w:rFonts w:hint="eastAsia" w:ascii="仿宋_GB2312" w:eastAsia="仿宋_GB2312"/>
          <w:spacing w:val="-20"/>
          <w:sz w:val="28"/>
          <w:szCs w:val="28"/>
        </w:rPr>
        <w:t>的重要项目。</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（二）检验应注意的问题</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若被检产品明示的质量要求高于本规范中检验项目依据的标准要求时，应按被检产品明示的质量要求判定。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若被检产品明示的质量要求低于本规范中检验项目依据的强制性标准要求时，应按照强制性标准要求判定。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若被检产品明示的质量要求低于或包含规范中检验项目依据的推荐性标准要求时，应以被检产品明示的质量要求判定。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若被检产品明示的质量要求缺少本规范中检验项目依据的强制性标准要求时，应按照强制性标准要求判定。</w:t>
      </w:r>
    </w:p>
    <w:p>
      <w:pPr>
        <w:ind w:firstLine="640" w:firstLineChars="200"/>
        <w:rPr>
          <w:rFonts w:ascii="仿宋_GB2312" w:hAnsi="仿宋" w:eastAsia="仿宋_GB2312"/>
          <w:sz w:val="32"/>
          <w:szCs w:val="32"/>
        </w:rPr>
      </w:pPr>
      <w:r>
        <w:rPr>
          <w:rFonts w:hint="eastAsia" w:ascii="仿宋_GB2312" w:hAnsi="仿宋" w:eastAsia="仿宋_GB2312"/>
          <w:sz w:val="32"/>
          <w:szCs w:val="32"/>
        </w:rPr>
        <w:t>若被检产品明示的质量要求缺少本规范中检验项目依据的推荐性标准要求时，该项目不参与判定，但应在检验报告备注中进行说明。</w:t>
      </w:r>
    </w:p>
    <w:p>
      <w:pPr>
        <w:rPr>
          <w:rFonts w:ascii="黑体" w:hAnsi="黑体" w:eastAsia="黑体" w:cs="方正仿宋简体"/>
          <w:sz w:val="32"/>
          <w:szCs w:val="32"/>
        </w:rPr>
      </w:pPr>
      <w:r>
        <w:rPr>
          <w:rFonts w:hint="eastAsia" w:ascii="黑体" w:hAnsi="黑体" w:eastAsia="黑体" w:cs="方正仿宋简体"/>
          <w:sz w:val="32"/>
          <w:szCs w:val="32"/>
        </w:rPr>
        <w:t>八、判定原则</w:t>
      </w:r>
    </w:p>
    <w:p>
      <w:pPr>
        <w:ind w:firstLine="640" w:firstLineChars="200"/>
        <w:rPr>
          <w:rFonts w:ascii="楷体_GB2312" w:hAnsi="黑体" w:eastAsia="楷体_GB2312" w:cs="方正仿宋简体"/>
          <w:sz w:val="32"/>
          <w:szCs w:val="32"/>
        </w:rPr>
      </w:pPr>
      <w:r>
        <w:rPr>
          <w:rFonts w:hint="eastAsia" w:ascii="楷体_GB2312" w:hAnsi="黑体" w:eastAsia="楷体_GB2312" w:cs="方正仿宋简体"/>
          <w:sz w:val="32"/>
          <w:szCs w:val="32"/>
        </w:rPr>
        <w:t>（一）经检验，检验项目全部合格，判定为被抽查产品合格；检验项目中任一项或一项以上不合格，判定为被抽查产品不合格。</w:t>
      </w:r>
    </w:p>
    <w:p>
      <w:pPr>
        <w:ind w:firstLine="640" w:firstLineChars="200"/>
        <w:rPr>
          <w:rFonts w:ascii="楷体_GB2312" w:hAnsi="黑体" w:eastAsia="楷体_GB2312" w:cs="方正仿宋简体"/>
          <w:sz w:val="32"/>
          <w:szCs w:val="32"/>
        </w:rPr>
      </w:pPr>
      <w:r>
        <w:rPr>
          <w:rFonts w:hint="eastAsia" w:ascii="楷体_GB2312" w:hAnsi="黑体" w:eastAsia="楷体_GB2312" w:cs="方正仿宋简体"/>
          <w:sz w:val="32"/>
          <w:szCs w:val="32"/>
        </w:rPr>
        <w:t>（二）当产品存在A类项目不合格时，属于严重不合格；当产品仅有B类项目不合格时，属于一般不合格。</w:t>
      </w:r>
    </w:p>
    <w:p>
      <w:pPr>
        <w:rPr>
          <w:rFonts w:ascii="黑体" w:hAnsi="黑体" w:eastAsia="黑体" w:cs="方正仿宋简体"/>
          <w:sz w:val="32"/>
          <w:szCs w:val="32"/>
        </w:rPr>
      </w:pPr>
      <w:r>
        <w:rPr>
          <w:rFonts w:hint="eastAsia" w:ascii="黑体" w:hAnsi="黑体" w:eastAsia="黑体" w:cs="方正仿宋简体"/>
          <w:sz w:val="32"/>
          <w:szCs w:val="32"/>
        </w:rPr>
        <w:t>九、异议处理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对判定不合格产品进行异议处理时，按以下方式进行：</w:t>
      </w:r>
    </w:p>
    <w:p>
      <w:pPr>
        <w:ind w:firstLine="640" w:firstLineChars="200"/>
        <w:rPr>
          <w:rFonts w:ascii="楷体_GB2312" w:hAnsi="黑体" w:eastAsia="楷体_GB2312" w:cs="方正仿宋简体"/>
          <w:b/>
          <w:sz w:val="32"/>
          <w:szCs w:val="32"/>
        </w:rPr>
      </w:pPr>
      <w:r>
        <w:rPr>
          <w:rFonts w:hint="eastAsia" w:ascii="仿宋_GB2312" w:hAnsi="仿宋" w:eastAsia="仿宋_GB2312"/>
          <w:sz w:val="32"/>
          <w:szCs w:val="32"/>
        </w:rPr>
        <w:t>（一）核查不合格项目相关证据，能够以记录（纸质记录或电子记录或影像记录）或与不合格项目相关联的其它质量数据等检验证据证明。</w:t>
      </w:r>
    </w:p>
    <w:p>
      <w:pPr>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对需要复检并具备检验条件的</w:t>
      </w:r>
      <w:r>
        <w:rPr>
          <w:rFonts w:hint="eastAsia" w:ascii="仿宋_GB2312" w:hAnsi="仿宋" w:eastAsia="仿宋_GB2312"/>
          <w:sz w:val="32"/>
          <w:szCs w:val="32"/>
        </w:rPr>
        <w:t>，</w:t>
      </w:r>
      <w:r>
        <w:rPr>
          <w:rFonts w:ascii="仿宋_GB2312" w:hAnsi="仿宋" w:eastAsia="仿宋_GB2312"/>
          <w:sz w:val="32"/>
          <w:szCs w:val="32"/>
        </w:rPr>
        <w:t>处理企业异议的质量技术监督部门或者指定检验机构应当按原监督抽查方案对留存的样品或抽取的备用样品组织复检，并出具检验报告</w:t>
      </w:r>
      <w:r>
        <w:rPr>
          <w:rFonts w:hint="eastAsia" w:ascii="仿宋_GB2312" w:hAnsi="仿宋" w:eastAsia="仿宋_GB2312"/>
          <w:sz w:val="32"/>
          <w:szCs w:val="32"/>
        </w:rPr>
        <w:t>。</w:t>
      </w:r>
      <w:r>
        <w:rPr>
          <w:rFonts w:ascii="仿宋_GB2312" w:hAnsi="仿宋" w:eastAsia="仿宋_GB2312"/>
          <w:sz w:val="32"/>
          <w:szCs w:val="32"/>
        </w:rPr>
        <w:t>复检结论为最终结论。</w:t>
      </w:r>
    </w:p>
    <w:p>
      <w:r>
        <w:rPr>
          <w:rFonts w:ascii="黑体" w:hAnsi="黑体" w:eastAsia="黑体" w:cs="方正仿宋简体"/>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423A9"/>
    <w:rsid w:val="53E4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2021-07-15T13:25:00Z</dcterms:created>
  <dc:creator>邹思媛</dc:creator>
  <cp:lastModifiedBy>邹思媛</cp:lastModifiedBy>
  <dcterms:modified xsi:type="dcterms:W3CDTF">2021-07-15T13:26:08Z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