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2021年新疆维吾尔自治区</w:t>
      </w:r>
      <w:r>
        <w:rPr>
          <w:rFonts w:hint="eastAsia" w:ascii="方正小标宋简体" w:hAnsi="方正小标宋简体" w:eastAsia="方正小标宋简体" w:cs="方正小标宋简体"/>
          <w:color w:val="000000"/>
          <w:sz w:val="44"/>
          <w:szCs w:val="44"/>
          <w:lang w:val="en-US" w:eastAsia="zh-CN"/>
        </w:rPr>
        <w:t>机动车发动机冷却液</w:t>
      </w:r>
      <w:r>
        <w:rPr>
          <w:rFonts w:hint="eastAsia" w:ascii="方正小标宋简体" w:hAnsi="方正小标宋简体" w:eastAsia="方正小标宋简体" w:cs="方正小标宋简体"/>
          <w:color w:val="000000"/>
          <w:sz w:val="44"/>
          <w:szCs w:val="44"/>
        </w:rPr>
        <w:t>产品质量监督抽查实施细则</w:t>
      </w:r>
    </w:p>
    <w:p>
      <w:pPr>
        <w:rPr>
          <w:rFonts w:ascii="黑体" w:hAnsi="黑体" w:eastAsia="黑体" w:cs="方正仿宋简体"/>
          <w:sz w:val="32"/>
          <w:szCs w:val="32"/>
        </w:rPr>
      </w:pPr>
      <w:r>
        <w:rPr>
          <w:rFonts w:hint="eastAsia" w:ascii="黑体" w:hAnsi="黑体" w:eastAsia="黑体" w:cs="方正仿宋简体"/>
          <w:sz w:val="32"/>
          <w:szCs w:val="32"/>
        </w:rPr>
        <w:t>一、抽样方法</w:t>
      </w:r>
    </w:p>
    <w:p>
      <w:pPr>
        <w:ind w:firstLine="640" w:firstLineChars="200"/>
        <w:rPr>
          <w:rFonts w:ascii="仿宋_GB2312" w:hAnsi="仿宋" w:eastAsia="仿宋_GB2312"/>
          <w:sz w:val="32"/>
          <w:szCs w:val="32"/>
        </w:rPr>
      </w:pPr>
      <w:r>
        <w:rPr>
          <w:rFonts w:ascii="仿宋_GB2312" w:hAnsi="仿宋" w:eastAsia="仿宋_GB2312"/>
          <w:sz w:val="32"/>
          <w:szCs w:val="32"/>
        </w:rPr>
        <w:t>以随机抽样的方式在被抽样生产者、销售者的待销产品中抽取。</w:t>
      </w:r>
    </w:p>
    <w:p>
      <w:pPr>
        <w:ind w:firstLine="640" w:firstLineChars="200"/>
        <w:rPr>
          <w:rFonts w:ascii="仿宋_GB2312" w:hAnsi="仿宋" w:eastAsia="仿宋_GB2312"/>
          <w:sz w:val="32"/>
          <w:szCs w:val="32"/>
        </w:rPr>
      </w:pPr>
      <w:r>
        <w:rPr>
          <w:rFonts w:ascii="仿宋_GB2312" w:hAnsi="仿宋" w:eastAsia="仿宋_GB2312"/>
          <w:sz w:val="32"/>
          <w:szCs w:val="32"/>
        </w:rPr>
        <w:t>随机数一般可使用随机数表等方法产生。</w:t>
      </w:r>
    </w:p>
    <w:p>
      <w:pPr>
        <w:ind w:firstLine="640" w:firstLineChars="200"/>
        <w:rPr>
          <w:rFonts w:ascii="仿宋_GB2312" w:hAnsi="仿宋" w:eastAsia="仿宋_GB2312"/>
          <w:sz w:val="32"/>
          <w:szCs w:val="32"/>
        </w:rPr>
      </w:pPr>
      <w:r>
        <w:rPr>
          <w:rFonts w:hint="eastAsia" w:ascii="仿宋_GB2312" w:hAnsi="仿宋" w:eastAsia="仿宋_GB2312"/>
          <w:sz w:val="32"/>
          <w:szCs w:val="32"/>
        </w:rPr>
        <w:t>每批次产品抽取样品不少于2个独立包装、总量不小于3L的样品，其中1/2作为检验样品、1/2作为备用样品。</w:t>
      </w:r>
    </w:p>
    <w:p>
      <w:pPr>
        <w:rPr>
          <w:rFonts w:ascii="黑体" w:hAnsi="黑体" w:eastAsia="黑体" w:cs="方正仿宋简体"/>
          <w:sz w:val="32"/>
          <w:szCs w:val="32"/>
        </w:rPr>
      </w:pPr>
      <w:r>
        <w:rPr>
          <w:rFonts w:hint="eastAsia" w:ascii="黑体" w:hAnsi="黑体" w:eastAsia="黑体" w:cs="方正仿宋简体"/>
          <w:sz w:val="32"/>
          <w:szCs w:val="32"/>
        </w:rPr>
        <w:t>二、检验依据</w:t>
      </w:r>
    </w:p>
    <w:p>
      <w:pPr>
        <w:snapToGrid w:val="0"/>
        <w:jc w:val="center"/>
        <w:rPr>
          <w:rFonts w:ascii="仿宋_GB2312" w:eastAsia="仿宋_GB2312"/>
          <w:spacing w:val="-20"/>
          <w:sz w:val="28"/>
          <w:szCs w:val="28"/>
        </w:rPr>
      </w:pPr>
      <w:r>
        <w:rPr>
          <w:rFonts w:hint="eastAsia" w:ascii="仿宋_GB2312" w:eastAsia="仿宋_GB2312"/>
          <w:spacing w:val="-20"/>
          <w:sz w:val="28"/>
          <w:szCs w:val="28"/>
        </w:rPr>
        <w:t>表1 执行GB29743-2013</w:t>
      </w:r>
      <w:r>
        <w:rPr>
          <w:rFonts w:ascii="仿宋_GB2312" w:eastAsia="仿宋_GB2312"/>
          <w:spacing w:val="-20"/>
          <w:sz w:val="28"/>
          <w:szCs w:val="28"/>
        </w:rPr>
        <w:t>标准产品检验项目</w:t>
      </w:r>
    </w:p>
    <w:tbl>
      <w:tblPr>
        <w:tblStyle w:val="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062"/>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81" w:type="dxa"/>
            <w:vAlign w:val="center"/>
          </w:tcPr>
          <w:p>
            <w:pPr>
              <w:snapToGrid w:val="0"/>
              <w:jc w:val="center"/>
              <w:rPr>
                <w:rFonts w:ascii="仿宋_GB2312" w:eastAsia="仿宋_GB2312"/>
                <w:b/>
                <w:spacing w:val="-20"/>
                <w:sz w:val="28"/>
                <w:szCs w:val="28"/>
              </w:rPr>
            </w:pPr>
            <w:r>
              <w:rPr>
                <w:rFonts w:hint="eastAsia" w:ascii="仿宋_GB2312" w:eastAsia="仿宋_GB2312"/>
                <w:b/>
                <w:spacing w:val="-20"/>
                <w:sz w:val="28"/>
                <w:szCs w:val="28"/>
              </w:rPr>
              <w:t>产品名称</w:t>
            </w:r>
          </w:p>
        </w:tc>
        <w:tc>
          <w:tcPr>
            <w:tcW w:w="4062" w:type="dxa"/>
            <w:vAlign w:val="center"/>
          </w:tcPr>
          <w:p>
            <w:pPr>
              <w:snapToGrid w:val="0"/>
              <w:jc w:val="center"/>
              <w:rPr>
                <w:rFonts w:ascii="仿宋_GB2312" w:eastAsia="仿宋_GB2312"/>
                <w:b/>
                <w:spacing w:val="-20"/>
                <w:sz w:val="28"/>
                <w:szCs w:val="28"/>
              </w:rPr>
            </w:pPr>
            <w:r>
              <w:rPr>
                <w:rFonts w:hint="eastAsia" w:ascii="仿宋_GB2312" w:eastAsia="仿宋_GB2312"/>
                <w:b/>
                <w:spacing w:val="-20"/>
                <w:sz w:val="28"/>
                <w:szCs w:val="28"/>
              </w:rPr>
              <w:t>序号</w:t>
            </w:r>
          </w:p>
        </w:tc>
        <w:tc>
          <w:tcPr>
            <w:tcW w:w="3754" w:type="dxa"/>
            <w:vAlign w:val="center"/>
          </w:tcPr>
          <w:p>
            <w:pPr>
              <w:snapToGrid w:val="0"/>
              <w:jc w:val="center"/>
              <w:rPr>
                <w:rFonts w:ascii="仿宋_GB2312" w:eastAsia="仿宋_GB2312"/>
                <w:b/>
                <w:spacing w:val="-20"/>
                <w:sz w:val="28"/>
                <w:szCs w:val="28"/>
              </w:rPr>
            </w:pPr>
            <w:r>
              <w:rPr>
                <w:rFonts w:hint="eastAsia" w:ascii="仿宋_GB2312" w:eastAsia="仿宋_GB2312"/>
                <w:b/>
                <w:spacing w:val="-20"/>
                <w:sz w:val="28"/>
                <w:szCs w:val="2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81" w:type="dxa"/>
            <w:vMerge w:val="restart"/>
            <w:vAlign w:val="center"/>
          </w:tcPr>
          <w:p>
            <w:pPr>
              <w:snapToGrid w:val="0"/>
              <w:jc w:val="center"/>
              <w:rPr>
                <w:rFonts w:ascii="仿宋_GB2312" w:eastAsia="仿宋_GB2312"/>
                <w:b/>
                <w:spacing w:val="-20"/>
                <w:sz w:val="28"/>
                <w:szCs w:val="28"/>
              </w:rPr>
            </w:pPr>
            <w:r>
              <w:rPr>
                <w:rFonts w:hint="eastAsia" w:ascii="仿宋_GB2312" w:eastAsia="仿宋_GB2312"/>
                <w:b/>
                <w:spacing w:val="-20"/>
                <w:sz w:val="28"/>
                <w:szCs w:val="28"/>
              </w:rPr>
              <w:t>机车发动机冷却液</w:t>
            </w:r>
          </w:p>
        </w:tc>
        <w:tc>
          <w:tcPr>
            <w:tcW w:w="4062" w:type="dxa"/>
            <w:vAlign w:val="center"/>
          </w:tcPr>
          <w:p>
            <w:pPr>
              <w:snapToGrid w:val="0"/>
              <w:jc w:val="center"/>
              <w:rPr>
                <w:rFonts w:ascii="仿宋_GB2312" w:eastAsia="仿宋_GB2312"/>
                <w:spacing w:val="-20"/>
                <w:sz w:val="28"/>
                <w:szCs w:val="28"/>
              </w:rPr>
            </w:pPr>
            <w:r>
              <w:rPr>
                <w:rFonts w:hint="eastAsia" w:ascii="仿宋_GB2312" w:eastAsia="仿宋_GB2312"/>
                <w:spacing w:val="-20"/>
                <w:sz w:val="28"/>
                <w:szCs w:val="28"/>
              </w:rPr>
              <w:t>冰点</w:t>
            </w:r>
          </w:p>
        </w:tc>
        <w:tc>
          <w:tcPr>
            <w:tcW w:w="3754"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SH/T 0090</w:t>
            </w:r>
            <w:r>
              <w:rPr>
                <w:rFonts w:hint="eastAsia" w:ascii="仿宋_GB2312" w:eastAsia="仿宋_GB2312"/>
                <w:spacing w:val="-20"/>
                <w:sz w:val="28"/>
                <w:szCs w:val="28"/>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81" w:type="dxa"/>
            <w:vMerge w:val="continue"/>
            <w:vAlign w:val="center"/>
          </w:tcPr>
          <w:p>
            <w:pPr>
              <w:snapToGrid w:val="0"/>
              <w:jc w:val="center"/>
              <w:rPr>
                <w:rFonts w:ascii="仿宋_GB2312" w:eastAsia="仿宋_GB2312"/>
                <w:spacing w:val="-20"/>
                <w:sz w:val="28"/>
                <w:szCs w:val="28"/>
              </w:rPr>
            </w:pPr>
          </w:p>
        </w:tc>
        <w:tc>
          <w:tcPr>
            <w:tcW w:w="4062" w:type="dxa"/>
            <w:vAlign w:val="center"/>
          </w:tcPr>
          <w:p>
            <w:pPr>
              <w:snapToGrid w:val="0"/>
              <w:jc w:val="center"/>
              <w:rPr>
                <w:rFonts w:ascii="仿宋_GB2312" w:eastAsia="仿宋_GB2312"/>
                <w:spacing w:val="-20"/>
                <w:sz w:val="28"/>
                <w:szCs w:val="28"/>
              </w:rPr>
            </w:pPr>
            <w:r>
              <w:rPr>
                <w:rFonts w:hint="eastAsia" w:ascii="仿宋_GB2312" w:eastAsia="仿宋_GB2312"/>
                <w:spacing w:val="-20"/>
                <w:sz w:val="28"/>
                <w:szCs w:val="28"/>
              </w:rPr>
              <w:t>沸点</w:t>
            </w:r>
          </w:p>
        </w:tc>
        <w:tc>
          <w:tcPr>
            <w:tcW w:w="3754"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SH/T 0089</w:t>
            </w:r>
            <w:r>
              <w:rPr>
                <w:rFonts w:hint="eastAsia" w:ascii="仿宋_GB2312" w:eastAsia="仿宋_GB2312"/>
                <w:spacing w:val="-20"/>
                <w:sz w:val="28"/>
                <w:szCs w:val="28"/>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81" w:type="dxa"/>
            <w:vMerge w:val="continue"/>
            <w:vAlign w:val="center"/>
          </w:tcPr>
          <w:p>
            <w:pPr>
              <w:snapToGrid w:val="0"/>
              <w:jc w:val="center"/>
              <w:rPr>
                <w:rFonts w:ascii="仿宋_GB2312" w:eastAsia="仿宋_GB2312"/>
                <w:spacing w:val="-20"/>
                <w:sz w:val="28"/>
                <w:szCs w:val="28"/>
              </w:rPr>
            </w:pPr>
          </w:p>
        </w:tc>
        <w:tc>
          <w:tcPr>
            <w:tcW w:w="4062"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 xml:space="preserve">pH </w:t>
            </w:r>
            <w:r>
              <w:rPr>
                <w:rFonts w:hint="eastAsia" w:ascii="仿宋_GB2312" w:eastAsia="仿宋_GB2312"/>
                <w:spacing w:val="-20"/>
                <w:sz w:val="28"/>
                <w:szCs w:val="28"/>
              </w:rPr>
              <w:t>值</w:t>
            </w:r>
          </w:p>
        </w:tc>
        <w:tc>
          <w:tcPr>
            <w:tcW w:w="3754"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SH/T 0069</w:t>
            </w:r>
            <w:r>
              <w:rPr>
                <w:rFonts w:hint="eastAsia" w:ascii="仿宋_GB2312" w:eastAsia="仿宋_GB2312"/>
                <w:spacing w:val="-20"/>
                <w:sz w:val="28"/>
                <w:szCs w:val="28"/>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81" w:type="dxa"/>
            <w:vMerge w:val="continue"/>
            <w:vAlign w:val="center"/>
          </w:tcPr>
          <w:p>
            <w:pPr>
              <w:snapToGrid w:val="0"/>
              <w:jc w:val="center"/>
              <w:rPr>
                <w:rFonts w:ascii="仿宋_GB2312" w:eastAsia="仿宋_GB2312"/>
                <w:spacing w:val="-20"/>
                <w:sz w:val="28"/>
                <w:szCs w:val="28"/>
              </w:rPr>
            </w:pPr>
          </w:p>
        </w:tc>
        <w:tc>
          <w:tcPr>
            <w:tcW w:w="4062" w:type="dxa"/>
            <w:vAlign w:val="center"/>
          </w:tcPr>
          <w:p>
            <w:pPr>
              <w:snapToGrid w:val="0"/>
              <w:jc w:val="center"/>
              <w:rPr>
                <w:rFonts w:ascii="仿宋_GB2312" w:eastAsia="仿宋_GB2312"/>
                <w:spacing w:val="-20"/>
                <w:sz w:val="28"/>
                <w:szCs w:val="28"/>
              </w:rPr>
            </w:pPr>
            <w:r>
              <w:rPr>
                <w:rFonts w:hint="eastAsia" w:ascii="仿宋_GB2312" w:eastAsia="仿宋_GB2312"/>
                <w:spacing w:val="-20"/>
                <w:sz w:val="28"/>
                <w:szCs w:val="28"/>
              </w:rPr>
              <w:t>玻璃器皿腐蚀</w:t>
            </w:r>
          </w:p>
        </w:tc>
        <w:tc>
          <w:tcPr>
            <w:tcW w:w="3754"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SH/T 0085</w:t>
            </w:r>
            <w:r>
              <w:rPr>
                <w:rFonts w:hint="eastAsia" w:ascii="仿宋_GB2312" w:eastAsia="仿宋_GB2312"/>
                <w:spacing w:val="-20"/>
                <w:sz w:val="28"/>
                <w:szCs w:val="28"/>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281" w:type="dxa"/>
            <w:vMerge w:val="continue"/>
            <w:vAlign w:val="center"/>
          </w:tcPr>
          <w:p>
            <w:pPr>
              <w:snapToGrid w:val="0"/>
              <w:jc w:val="center"/>
              <w:rPr>
                <w:rFonts w:ascii="仿宋_GB2312" w:eastAsia="仿宋_GB2312"/>
                <w:spacing w:val="-20"/>
                <w:sz w:val="28"/>
                <w:szCs w:val="28"/>
              </w:rPr>
            </w:pPr>
          </w:p>
        </w:tc>
        <w:tc>
          <w:tcPr>
            <w:tcW w:w="4062" w:type="dxa"/>
            <w:vAlign w:val="center"/>
          </w:tcPr>
          <w:p>
            <w:pPr>
              <w:snapToGrid w:val="0"/>
              <w:jc w:val="center"/>
              <w:rPr>
                <w:rFonts w:ascii="仿宋_GB2312" w:eastAsia="仿宋_GB2312"/>
                <w:spacing w:val="-20"/>
                <w:sz w:val="28"/>
                <w:szCs w:val="28"/>
              </w:rPr>
            </w:pPr>
            <w:r>
              <w:rPr>
                <w:rFonts w:hint="eastAsia" w:ascii="仿宋_GB2312" w:eastAsia="仿宋_GB2312"/>
                <w:spacing w:val="-20"/>
                <w:sz w:val="28"/>
                <w:szCs w:val="28"/>
              </w:rPr>
              <w:t>泡沫倾向</w:t>
            </w:r>
          </w:p>
        </w:tc>
        <w:tc>
          <w:tcPr>
            <w:tcW w:w="3754" w:type="dxa"/>
            <w:vAlign w:val="center"/>
          </w:tcPr>
          <w:p>
            <w:pPr>
              <w:snapToGrid w:val="0"/>
              <w:jc w:val="center"/>
              <w:rPr>
                <w:rFonts w:ascii="仿宋_GB2312" w:eastAsia="仿宋_GB2312"/>
                <w:spacing w:val="-20"/>
                <w:sz w:val="28"/>
                <w:szCs w:val="28"/>
              </w:rPr>
            </w:pPr>
            <w:r>
              <w:rPr>
                <w:rFonts w:ascii="仿宋_GB2312" w:eastAsia="仿宋_GB2312"/>
                <w:spacing w:val="-20"/>
                <w:sz w:val="28"/>
                <w:szCs w:val="28"/>
              </w:rPr>
              <w:t>SH/T 0066</w:t>
            </w:r>
            <w:r>
              <w:rPr>
                <w:rFonts w:hint="eastAsia" w:ascii="仿宋_GB2312" w:eastAsia="仿宋_GB2312"/>
                <w:spacing w:val="-20"/>
                <w:sz w:val="28"/>
                <w:szCs w:val="28"/>
              </w:rPr>
              <w:t>-2002</w:t>
            </w:r>
          </w:p>
        </w:tc>
      </w:tr>
    </w:tbl>
    <w:p>
      <w:pPr>
        <w:ind w:firstLine="640" w:firstLineChars="200"/>
        <w:rPr>
          <w:rFonts w:ascii="仿宋_GB2312" w:hAnsi="仿宋" w:eastAsia="仿宋_GB2312"/>
          <w:sz w:val="32"/>
          <w:szCs w:val="32"/>
        </w:rPr>
      </w:pPr>
      <w:r>
        <w:rPr>
          <w:rFonts w:hint="eastAsia" w:ascii="仿宋_GB2312" w:hAnsi="仿宋" w:eastAsia="仿宋_GB2312"/>
          <w:sz w:val="32"/>
          <w:szCs w:val="32"/>
        </w:rPr>
        <w:t>执行企业标准、团体标准、地方标准的产品，检验项目参照上述内容执行。</w:t>
      </w:r>
    </w:p>
    <w:p>
      <w:pPr>
        <w:rPr>
          <w:rFonts w:ascii="黑体" w:hAnsi="黑体" w:eastAsia="黑体" w:cs="方正仿宋简体"/>
          <w:sz w:val="32"/>
          <w:szCs w:val="32"/>
        </w:rPr>
      </w:pPr>
      <w:r>
        <w:rPr>
          <w:rFonts w:hint="eastAsia" w:ascii="黑体" w:hAnsi="黑体" w:eastAsia="黑体" w:cs="方正仿宋简体"/>
          <w:sz w:val="32"/>
          <w:szCs w:val="32"/>
        </w:rPr>
        <w:t>三、 判定规则</w:t>
      </w:r>
    </w:p>
    <w:p>
      <w:pPr>
        <w:ind w:firstLine="643" w:firstLineChars="200"/>
        <w:rPr>
          <w:rFonts w:ascii="楷体_GB2312" w:hAnsi="仿宋" w:eastAsia="楷体_GB2312" w:cs="方正仿宋简体"/>
          <w:b/>
          <w:sz w:val="32"/>
          <w:szCs w:val="32"/>
        </w:rPr>
      </w:pPr>
      <w:r>
        <w:rPr>
          <w:rFonts w:hint="eastAsia" w:ascii="楷体_GB2312" w:hAnsi="仿宋" w:eastAsia="楷体_GB2312" w:cs="方正仿宋简体"/>
          <w:b/>
          <w:sz w:val="32"/>
          <w:szCs w:val="32"/>
        </w:rPr>
        <w:t>（一）依据标准</w:t>
      </w:r>
    </w:p>
    <w:p>
      <w:pPr>
        <w:ind w:firstLine="640" w:firstLineChars="200"/>
        <w:rPr>
          <w:rFonts w:ascii="仿宋_GB2312" w:hAnsi="仿宋" w:eastAsia="仿宋_GB2312"/>
          <w:sz w:val="32"/>
          <w:szCs w:val="32"/>
        </w:rPr>
      </w:pPr>
      <w:r>
        <w:rPr>
          <w:rFonts w:hint="eastAsia" w:ascii="仿宋_GB2312" w:hAnsi="仿宋" w:eastAsia="仿宋_GB2312"/>
          <w:sz w:val="32"/>
          <w:szCs w:val="32"/>
        </w:rPr>
        <w:t>GB 29743-2013《机动车发动机冷却液》</w:t>
      </w:r>
    </w:p>
    <w:p>
      <w:pPr>
        <w:ind w:firstLine="640" w:firstLineChars="200"/>
        <w:rPr>
          <w:rFonts w:ascii="仿宋_GB2312" w:hAnsi="仿宋" w:eastAsia="仿宋_GB2312"/>
          <w:sz w:val="32"/>
          <w:szCs w:val="32"/>
        </w:rPr>
      </w:pPr>
      <w:r>
        <w:rPr>
          <w:rFonts w:hint="eastAsia" w:ascii="仿宋_GB2312" w:hAnsi="仿宋" w:eastAsia="仿宋_GB2312"/>
          <w:sz w:val="32"/>
          <w:szCs w:val="32"/>
        </w:rPr>
        <w:t>现行有效的企业标准、团体标准、地方标准及产品明示质量要求。</w:t>
      </w:r>
    </w:p>
    <w:p>
      <w:pPr>
        <w:ind w:firstLine="643" w:firstLineChars="200"/>
        <w:rPr>
          <w:rFonts w:ascii="楷体_GB2312" w:hAnsi="仿宋" w:eastAsia="楷体_GB2312" w:cs="方正仿宋简体"/>
          <w:b/>
          <w:sz w:val="32"/>
          <w:szCs w:val="32"/>
        </w:rPr>
      </w:pPr>
      <w:r>
        <w:rPr>
          <w:rFonts w:hint="eastAsia" w:ascii="楷体_GB2312" w:hAnsi="仿宋" w:eastAsia="楷体_GB2312" w:cs="方正仿宋简体"/>
          <w:b/>
          <w:sz w:val="32"/>
          <w:szCs w:val="32"/>
        </w:rPr>
        <w:t>（二）</w:t>
      </w:r>
      <w:r>
        <w:rPr>
          <w:rFonts w:ascii="楷体_GB2312" w:hAnsi="仿宋" w:eastAsia="楷体_GB2312" w:cs="方正仿宋简体"/>
          <w:b/>
          <w:sz w:val="32"/>
          <w:szCs w:val="32"/>
        </w:rPr>
        <w:t>判定原则</w:t>
      </w:r>
    </w:p>
    <w:p>
      <w:pPr>
        <w:ind w:firstLine="640" w:firstLineChars="200"/>
        <w:rPr>
          <w:rFonts w:ascii="仿宋_GB2312" w:hAnsi="仿宋" w:eastAsia="仿宋_GB2312"/>
          <w:sz w:val="32"/>
          <w:szCs w:val="32"/>
        </w:rPr>
      </w:pPr>
      <w:r>
        <w:rPr>
          <w:rFonts w:ascii="仿宋_GB2312" w:hAnsi="仿宋" w:eastAsia="仿宋_GB2312"/>
          <w:sz w:val="32"/>
          <w:szCs w:val="32"/>
        </w:rPr>
        <w:t>经检验，检验项目全部合格，判定为被抽查产品合格；检验项目中任一项或一项以上不合格，判定为被抽查产品不合格。</w:t>
      </w:r>
    </w:p>
    <w:p>
      <w:pPr>
        <w:ind w:firstLine="640" w:firstLineChars="200"/>
        <w:rPr>
          <w:rFonts w:ascii="仿宋_GB2312" w:hAnsi="仿宋" w:eastAsia="仿宋_GB2312"/>
          <w:sz w:val="32"/>
          <w:szCs w:val="32"/>
        </w:rPr>
      </w:pPr>
      <w:r>
        <w:rPr>
          <w:rFonts w:ascii="仿宋_GB2312" w:hAnsi="仿宋" w:eastAsia="仿宋_GB2312"/>
          <w:sz w:val="32"/>
          <w:szCs w:val="32"/>
        </w:rPr>
        <w:t>若被检产品明示的质量要求高于本细则中检验项目依据的标准要求时，应按被检产品明示的质量要求判定。</w:t>
      </w:r>
    </w:p>
    <w:p>
      <w:pPr>
        <w:ind w:firstLine="640" w:firstLineChars="200"/>
        <w:rPr>
          <w:rFonts w:ascii="仿宋_GB2312" w:hAnsi="仿宋" w:eastAsia="仿宋_GB2312"/>
          <w:sz w:val="32"/>
          <w:szCs w:val="32"/>
        </w:rPr>
      </w:pPr>
      <w:r>
        <w:rPr>
          <w:rFonts w:ascii="仿宋_GB2312" w:hAnsi="仿宋" w:eastAsia="仿宋_GB2312"/>
          <w:sz w:val="32"/>
          <w:szCs w:val="32"/>
        </w:rPr>
        <w:t>若被检产品明示的质量要求低于本细则中检验项目依据的强制性标准要求时，应按照强制性标准要求判定。</w:t>
      </w:r>
    </w:p>
    <w:p>
      <w:pPr>
        <w:ind w:firstLine="640" w:firstLineChars="200"/>
        <w:rPr>
          <w:rFonts w:ascii="仿宋_GB2312" w:hAnsi="仿宋" w:eastAsia="仿宋_GB2312"/>
          <w:sz w:val="32"/>
          <w:szCs w:val="32"/>
        </w:rPr>
      </w:pPr>
      <w:r>
        <w:rPr>
          <w:rFonts w:ascii="仿宋_GB2312" w:hAnsi="仿宋" w:eastAsia="仿宋_GB2312"/>
          <w:sz w:val="32"/>
          <w:szCs w:val="32"/>
        </w:rPr>
        <w:t>若被检产品明示的质量要求低于或包含本细则中检验项目依据的推荐性标准要求时，应以被检产品明示的质量要求判定。</w:t>
      </w:r>
    </w:p>
    <w:p>
      <w:pPr>
        <w:ind w:firstLine="640" w:firstLineChars="200"/>
        <w:rPr>
          <w:rFonts w:ascii="仿宋_GB2312" w:hAnsi="仿宋" w:eastAsia="仿宋_GB2312"/>
          <w:sz w:val="32"/>
          <w:szCs w:val="32"/>
        </w:rPr>
      </w:pPr>
      <w:r>
        <w:rPr>
          <w:rFonts w:ascii="仿宋_GB2312" w:hAnsi="仿宋" w:eastAsia="仿宋_GB2312"/>
          <w:sz w:val="32"/>
          <w:szCs w:val="32"/>
        </w:rPr>
        <w:t>若被检产品明示的质量要求缺少本细则中检验项目依据的强制性标准要求时，应按照强制性标准要求判定。</w:t>
      </w:r>
    </w:p>
    <w:p>
      <w:pPr>
        <w:ind w:firstLine="640" w:firstLineChars="200"/>
        <w:rPr>
          <w:rFonts w:ascii="仿宋_GB2312" w:hAnsi="仿宋" w:eastAsia="仿宋_GB2312"/>
          <w:sz w:val="32"/>
          <w:szCs w:val="32"/>
        </w:rPr>
      </w:pPr>
      <w:r>
        <w:rPr>
          <w:rFonts w:ascii="仿宋_GB2312" w:hAnsi="仿宋" w:eastAsia="仿宋_GB2312"/>
          <w:sz w:val="32"/>
          <w:szCs w:val="32"/>
        </w:rPr>
        <w:t>若被检产品明示的质量要求缺少本细则中检验项目依据的推荐性标准要求时，该项目不参与判定。</w:t>
      </w:r>
    </w:p>
    <w:p>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943A8"/>
    <w:rsid w:val="7739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2021-07-15T13:27:00Z</dcterms:created>
  <dc:creator>邹思媛</dc:creator>
  <cp:lastModifiedBy>邹思媛</cp:lastModifiedBy>
  <dcterms:modified xsi:type="dcterms:W3CDTF">2021-07-15T13:27:55Z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