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2021年</w:t>
      </w:r>
      <w:r>
        <w:rPr>
          <w:rFonts w:hint="eastAsia" w:ascii="方正小标宋简体" w:eastAsia="方正小标宋简体"/>
          <w:sz w:val="44"/>
          <w:szCs w:val="44"/>
        </w:rPr>
        <w:t>新疆维吾尔自治区市场监督管理局</w:t>
      </w:r>
      <w:bookmarkStart w:id="0" w:name="_Hlk77058749"/>
      <w:r>
        <w:rPr>
          <w:rFonts w:hint="eastAsia" w:ascii="方正小标宋简体" w:hAnsi="仿宋" w:eastAsia="方正小标宋简体"/>
          <w:sz w:val="44"/>
          <w:szCs w:val="44"/>
        </w:rPr>
        <w:t>LED照明产品</w:t>
      </w:r>
      <w:r>
        <w:rPr>
          <w:rFonts w:hint="eastAsia" w:ascii="方正小标宋简体" w:hAnsi="方正小标宋简体" w:eastAsia="方正小标宋简体" w:cs="方正小标宋简体"/>
          <w:color w:val="000000"/>
          <w:sz w:val="44"/>
          <w:szCs w:val="44"/>
        </w:rPr>
        <w:t>产品</w:t>
      </w:r>
      <w:bookmarkEnd w:id="0"/>
      <w:r>
        <w:rPr>
          <w:rFonts w:hint="eastAsia" w:ascii="方正小标宋简体" w:hAnsi="方正小标宋简体" w:eastAsia="方正小标宋简体" w:cs="方正小标宋简体"/>
          <w:color w:val="000000"/>
          <w:sz w:val="44"/>
          <w:szCs w:val="44"/>
        </w:rPr>
        <w:t>质量</w:t>
      </w:r>
    </w:p>
    <w:p>
      <w:pPr>
        <w:snapToGrid w:val="0"/>
        <w:jc w:val="center"/>
        <w:rPr>
          <w:rFonts w:ascii="方正小标宋简体" w:eastAsia="方正小标宋简体"/>
          <w:sz w:val="44"/>
          <w:szCs w:val="44"/>
        </w:rPr>
      </w:pPr>
      <w:bookmarkStart w:id="1" w:name="_GoBack"/>
      <w:bookmarkEnd w:id="1"/>
      <w:r>
        <w:rPr>
          <w:rFonts w:hint="eastAsia" w:ascii="方正小标宋简体" w:hAnsi="方正小标宋简体" w:eastAsia="方正小标宋简体" w:cs="方正小标宋简体"/>
          <w:color w:val="000000"/>
          <w:sz w:val="44"/>
          <w:szCs w:val="44"/>
        </w:rPr>
        <w:t>监督抽查实施细则</w:t>
      </w:r>
    </w:p>
    <w:p>
      <w:pPr>
        <w:rPr>
          <w:rFonts w:ascii="黑体" w:hAnsi="黑体" w:eastAsia="黑体" w:cs="方正仿宋简体"/>
          <w:sz w:val="32"/>
          <w:szCs w:val="32"/>
        </w:rPr>
      </w:pPr>
      <w:r>
        <w:rPr>
          <w:rFonts w:hint="eastAsia" w:ascii="黑体" w:hAnsi="黑体" w:eastAsia="黑体" w:cs="方正仿宋简体"/>
          <w:sz w:val="32"/>
          <w:szCs w:val="32"/>
        </w:rPr>
        <w:t>一、范围</w:t>
      </w:r>
    </w:p>
    <w:p>
      <w:pPr>
        <w:ind w:firstLine="640" w:firstLineChars="200"/>
        <w:rPr>
          <w:rFonts w:ascii="仿宋_GB2312" w:hAnsi="仿宋" w:eastAsia="仿宋_GB2312"/>
          <w:sz w:val="32"/>
          <w:szCs w:val="32"/>
        </w:rPr>
      </w:pPr>
      <w:r>
        <w:rPr>
          <w:rFonts w:hint="eastAsia" w:ascii="仿宋_GB2312" w:hAnsi="仿宋" w:eastAsia="仿宋_GB2312"/>
          <w:sz w:val="32"/>
          <w:szCs w:val="32"/>
        </w:rPr>
        <w:t>本细则适用于LED照明产品质量监督抽查，监督抽查产品范围包括家用和类似场合作为普通照明用、把稳定燃点部件集成为一体的非定向自镇流LED灯（额定功率不大于60W;额定电压AC220V/频率50Hz；采用符合GB/T 1406.1的螺口式灯头）。本细则内容包括产品种类、检验依据、抽样、检验要求、判定原则、异议处理及附则。</w:t>
      </w:r>
    </w:p>
    <w:p>
      <w:pPr>
        <w:rPr>
          <w:rFonts w:ascii="黑体" w:hAnsi="黑体" w:eastAsia="黑体" w:cs="方正仿宋简体"/>
          <w:sz w:val="32"/>
          <w:szCs w:val="32"/>
        </w:rPr>
      </w:pPr>
      <w:r>
        <w:rPr>
          <w:rFonts w:hint="eastAsia" w:ascii="黑体" w:hAnsi="黑体" w:eastAsia="黑体" w:cs="方正仿宋简体"/>
          <w:sz w:val="32"/>
          <w:szCs w:val="32"/>
        </w:rPr>
        <w:t>二、产品种类</w:t>
      </w:r>
    </w:p>
    <w:p>
      <w:pPr>
        <w:ind w:firstLine="640" w:firstLineChars="200"/>
        <w:rPr>
          <w:rFonts w:ascii="仿宋_GB2312" w:hAnsi="仿宋" w:eastAsia="仿宋_GB2312"/>
          <w:sz w:val="32"/>
          <w:szCs w:val="32"/>
        </w:rPr>
      </w:pPr>
      <w:r>
        <w:rPr>
          <w:rFonts w:hint="eastAsia" w:ascii="仿宋_GB2312" w:hAnsi="仿宋" w:eastAsia="仿宋_GB2312"/>
          <w:sz w:val="32"/>
          <w:szCs w:val="32"/>
        </w:rPr>
        <w:t>本次抽查LED照明产品种类有：LED球泡、LED节能灯。</w:t>
      </w:r>
    </w:p>
    <w:p>
      <w:pPr>
        <w:rPr>
          <w:rFonts w:ascii="黑体" w:hAnsi="黑体" w:eastAsia="黑体" w:cs="方正仿宋简体"/>
          <w:sz w:val="32"/>
          <w:szCs w:val="32"/>
        </w:rPr>
      </w:pPr>
      <w:r>
        <w:rPr>
          <w:rFonts w:hint="eastAsia" w:ascii="黑体" w:hAnsi="黑体" w:eastAsia="黑体" w:cs="方正仿宋简体"/>
          <w:sz w:val="32"/>
          <w:szCs w:val="32"/>
        </w:rPr>
        <w:t>三、检验依据</w:t>
      </w:r>
    </w:p>
    <w:p>
      <w:pPr>
        <w:ind w:firstLine="736" w:firstLineChars="230"/>
        <w:rPr>
          <w:rFonts w:ascii="仿宋_GB2312" w:hAnsi="仿宋" w:eastAsia="仿宋_GB2312"/>
          <w:sz w:val="32"/>
          <w:szCs w:val="32"/>
        </w:rPr>
      </w:pPr>
      <w:r>
        <w:rPr>
          <w:rFonts w:ascii="仿宋_GB2312" w:hAnsi="仿宋" w:eastAsia="仿宋_GB2312"/>
          <w:sz w:val="32"/>
          <w:szCs w:val="32"/>
        </w:rPr>
        <w:t>GB/T 24908-2014</w:t>
      </w:r>
      <w:r>
        <w:rPr>
          <w:rFonts w:hint="eastAsia" w:ascii="仿宋_GB2312" w:hAnsi="仿宋" w:eastAsia="仿宋_GB2312"/>
          <w:sz w:val="32"/>
          <w:szCs w:val="32"/>
        </w:rPr>
        <w:t xml:space="preserve"> 《普通照明用非定向自镇流LED灯 性能要求》</w:t>
      </w:r>
    </w:p>
    <w:p>
      <w:pPr>
        <w:rPr>
          <w:rFonts w:ascii="黑体" w:hAnsi="黑体" w:eastAsia="黑体" w:cs="方正仿宋简体"/>
          <w:sz w:val="32"/>
          <w:szCs w:val="32"/>
        </w:rPr>
      </w:pPr>
      <w:r>
        <w:rPr>
          <w:rFonts w:hint="eastAsia" w:ascii="黑体" w:hAnsi="黑体" w:eastAsia="黑体" w:cs="方正仿宋简体"/>
          <w:sz w:val="32"/>
          <w:szCs w:val="32"/>
        </w:rPr>
        <w:t>四、抽样要求</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w:t>
      </w:r>
      <w:r>
        <w:rPr>
          <w:rFonts w:hint="eastAsia" w:ascii="楷体_GB2312" w:hAnsi="楷体" w:eastAsia="楷体_GB2312"/>
          <w:b/>
          <w:sz w:val="32"/>
          <w:szCs w:val="32"/>
        </w:rPr>
        <w:t>一）抽样领域</w:t>
      </w:r>
    </w:p>
    <w:p>
      <w:pPr>
        <w:ind w:firstLine="640" w:firstLineChars="200"/>
        <w:rPr>
          <w:rFonts w:ascii="黑体" w:hAnsi="黑体" w:eastAsia="黑体" w:cs="方正仿宋简体"/>
          <w:sz w:val="32"/>
          <w:szCs w:val="32"/>
        </w:rPr>
      </w:pPr>
      <w:r>
        <w:rPr>
          <w:rFonts w:hint="eastAsia" w:ascii="仿宋_GB2312" w:hAnsi="仿宋" w:eastAsia="仿宋_GB2312"/>
          <w:sz w:val="32"/>
          <w:szCs w:val="32"/>
        </w:rPr>
        <w:t>LED照明产品为流通领域(含网络电商)抽样。</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（二）抽样型号或规格</w:t>
      </w:r>
    </w:p>
    <w:p>
      <w:pPr>
        <w:ind w:firstLine="640" w:firstLineChars="200"/>
        <w:rPr>
          <w:rFonts w:ascii="仿宋_GB2312" w:hAnsi="仿宋" w:eastAsia="仿宋_GB2312"/>
          <w:sz w:val="32"/>
          <w:szCs w:val="32"/>
        </w:rPr>
      </w:pPr>
      <w:r>
        <w:rPr>
          <w:rFonts w:ascii="仿宋_GB2312" w:hAnsi="仿宋" w:eastAsia="仿宋_GB2312"/>
          <w:sz w:val="32"/>
          <w:szCs w:val="32"/>
        </w:rPr>
        <w:t>同一</w:t>
      </w:r>
      <w:r>
        <w:rPr>
          <w:rFonts w:hint="eastAsia" w:ascii="仿宋_GB2312" w:hAnsi="仿宋" w:eastAsia="仿宋_GB2312"/>
          <w:sz w:val="32"/>
          <w:szCs w:val="32"/>
        </w:rPr>
        <w:t>渠道的</w:t>
      </w:r>
      <w:r>
        <w:rPr>
          <w:rFonts w:ascii="仿宋_GB2312" w:hAnsi="仿宋" w:eastAsia="仿宋_GB2312"/>
          <w:sz w:val="32"/>
          <w:szCs w:val="32"/>
        </w:rPr>
        <w:t>采样中，同一企业、同一品牌的同一</w:t>
      </w:r>
      <w:r>
        <w:rPr>
          <w:rFonts w:hint="eastAsia" w:ascii="仿宋_GB2312" w:hAnsi="仿宋" w:eastAsia="仿宋_GB2312"/>
          <w:sz w:val="32"/>
          <w:szCs w:val="32"/>
        </w:rPr>
        <w:t>型号</w:t>
      </w:r>
      <w:r>
        <w:rPr>
          <w:rFonts w:ascii="仿宋_GB2312" w:hAnsi="仿宋" w:eastAsia="仿宋_GB2312"/>
          <w:sz w:val="32"/>
          <w:szCs w:val="32"/>
        </w:rPr>
        <w:t>产品不得重复</w:t>
      </w:r>
      <w:r>
        <w:rPr>
          <w:rFonts w:hint="eastAsia" w:ascii="仿宋_GB2312" w:hAnsi="仿宋" w:eastAsia="仿宋_GB2312"/>
          <w:sz w:val="32"/>
          <w:szCs w:val="32"/>
        </w:rPr>
        <w:t>采样</w:t>
      </w:r>
      <w:r>
        <w:rPr>
          <w:rFonts w:ascii="仿宋_GB2312" w:hAnsi="仿宋" w:eastAsia="仿宋_GB2312"/>
          <w:sz w:val="32"/>
          <w:szCs w:val="32"/>
        </w:rPr>
        <w:t>。</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（三）抽样方法、基数及数量</w:t>
      </w:r>
    </w:p>
    <w:p>
      <w:pPr>
        <w:ind w:firstLine="640" w:firstLineChars="200"/>
        <w:rPr>
          <w:rFonts w:ascii="仿宋_GB2312" w:hAnsi="仿宋" w:eastAsia="仿宋_GB2312"/>
          <w:sz w:val="32"/>
          <w:szCs w:val="32"/>
        </w:rPr>
      </w:pPr>
      <w:r>
        <w:rPr>
          <w:rFonts w:hint="eastAsia" w:ascii="仿宋_GB2312" w:hAnsi="仿宋" w:eastAsia="仿宋_GB2312"/>
          <w:sz w:val="32"/>
          <w:szCs w:val="32"/>
        </w:rPr>
        <w:t>采购有产品质量检验合格证或者以其他形式表明合格的在售产品，若产品标注有效期，则有效期应在风险监测整体工作结束后。</w:t>
      </w:r>
      <w:r>
        <w:rPr>
          <w:rFonts w:ascii="仿宋_GB2312" w:hAnsi="仿宋" w:eastAsia="仿宋_GB2312"/>
          <w:sz w:val="32"/>
          <w:szCs w:val="32"/>
        </w:rPr>
        <w:t>为保证样品的代表性，采样应按随机的原则进行</w:t>
      </w:r>
      <w:r>
        <w:rPr>
          <w:rFonts w:hint="eastAsia" w:ascii="仿宋_GB2312" w:hAnsi="仿宋" w:eastAsia="仿宋_GB2312"/>
          <w:sz w:val="32"/>
          <w:szCs w:val="32"/>
        </w:rPr>
        <w:t>。</w:t>
      </w:r>
    </w:p>
    <w:p>
      <w:pPr>
        <w:ind w:firstLine="640" w:firstLineChars="200"/>
        <w:rPr>
          <w:rFonts w:ascii="仿宋_GB2312" w:hAnsi="仿宋" w:eastAsia="仿宋_GB2312"/>
          <w:sz w:val="32"/>
          <w:szCs w:val="32"/>
        </w:rPr>
      </w:pPr>
      <w:r>
        <w:rPr>
          <w:rFonts w:hint="eastAsia" w:ascii="仿宋_GB2312" w:hAnsi="仿宋" w:eastAsia="仿宋_GB2312"/>
          <w:sz w:val="32"/>
          <w:szCs w:val="32"/>
        </w:rPr>
        <w:t>本次计划采样10批次，线下采样时，每批次采取2个样品为检验样品，另取1个样品作为备用样品封存于商户；线上采样时，每批次采取3个样品，其中2个作为检验样品，另1个作为备用样品封存于承检机构。采样基数满足采样数量即可。</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（四）样品处置</w:t>
      </w:r>
    </w:p>
    <w:p>
      <w:pPr>
        <w:ind w:firstLine="640" w:firstLineChars="200"/>
        <w:rPr>
          <w:rFonts w:ascii="仿宋_GB2312" w:hAnsi="仿宋" w:eastAsia="仿宋_GB2312"/>
          <w:sz w:val="32"/>
          <w:szCs w:val="32"/>
        </w:rPr>
      </w:pPr>
      <w:r>
        <w:rPr>
          <w:rFonts w:ascii="仿宋_GB2312" w:hAnsi="仿宋" w:eastAsia="仿宋_GB2312"/>
          <w:sz w:val="32"/>
          <w:szCs w:val="32"/>
        </w:rPr>
        <w:t>检验样品和备用样品应分别签封，封样箱或者封样袋的每个接缝处用一个封条签封并在封条上施加防拆封措施，使得不破坏封条签封便无法完整取下封条。要在封样箱或封样袋的显著</w:t>
      </w:r>
      <w:r>
        <w:rPr>
          <w:rFonts w:hint="eastAsia" w:ascii="仿宋_GB2312" w:hAnsi="仿宋" w:eastAsia="仿宋_GB2312"/>
          <w:sz w:val="32"/>
          <w:szCs w:val="32"/>
        </w:rPr>
        <w:t>位置</w:t>
      </w:r>
      <w:r>
        <w:rPr>
          <w:rFonts w:ascii="仿宋_GB2312" w:hAnsi="仿宋" w:eastAsia="仿宋_GB2312"/>
          <w:sz w:val="32"/>
          <w:szCs w:val="32"/>
        </w:rPr>
        <w:t>标明检验样品或备用样品。</w:t>
      </w:r>
      <w:r>
        <w:rPr>
          <w:rFonts w:hint="eastAsia" w:ascii="仿宋_GB2312" w:hAnsi="仿宋" w:eastAsia="仿宋_GB2312"/>
          <w:sz w:val="32"/>
          <w:szCs w:val="32"/>
        </w:rPr>
        <w:t>采</w:t>
      </w:r>
      <w:r>
        <w:rPr>
          <w:rFonts w:ascii="仿宋_GB2312" w:hAnsi="仿宋" w:eastAsia="仿宋_GB2312"/>
          <w:sz w:val="32"/>
          <w:szCs w:val="32"/>
        </w:rPr>
        <w:t>样完成后，将检验样品寄送到承检机构，备用样品封存在</w:t>
      </w:r>
      <w:r>
        <w:rPr>
          <w:rFonts w:hint="eastAsia" w:ascii="仿宋_GB2312" w:hAnsi="仿宋" w:eastAsia="仿宋_GB2312"/>
          <w:sz w:val="32"/>
          <w:szCs w:val="32"/>
        </w:rPr>
        <w:t>商户或</w:t>
      </w:r>
      <w:r>
        <w:rPr>
          <w:rFonts w:ascii="仿宋_GB2312" w:hAnsi="仿宋" w:eastAsia="仿宋_GB2312"/>
          <w:sz w:val="32"/>
          <w:szCs w:val="32"/>
        </w:rPr>
        <w:t>承检机构</w:t>
      </w:r>
      <w:r>
        <w:rPr>
          <w:rFonts w:hint="eastAsia" w:ascii="仿宋_GB2312" w:hAnsi="仿宋" w:eastAsia="仿宋_GB2312"/>
          <w:sz w:val="32"/>
          <w:szCs w:val="32"/>
        </w:rPr>
        <w:t>，商户应妥善保管，不得擅自更换、隐匿、处理已抽查封存的样品</w:t>
      </w:r>
      <w:r>
        <w:rPr>
          <w:rFonts w:ascii="仿宋_GB2312" w:hAnsi="仿宋" w:eastAsia="仿宋_GB2312"/>
          <w:sz w:val="32"/>
          <w:szCs w:val="32"/>
        </w:rPr>
        <w:t>。</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（五）抽样单</w:t>
      </w:r>
    </w:p>
    <w:p>
      <w:pPr>
        <w:ind w:firstLine="640" w:firstLineChars="200"/>
        <w:rPr>
          <w:rFonts w:ascii="仿宋_GB2312" w:hAnsi="仿宋" w:eastAsia="仿宋_GB2312"/>
          <w:sz w:val="32"/>
          <w:szCs w:val="32"/>
        </w:rPr>
      </w:pPr>
      <w:r>
        <w:rPr>
          <w:rFonts w:hint="eastAsia" w:ascii="仿宋_GB2312" w:hAnsi="仿宋" w:eastAsia="仿宋_GB2312"/>
          <w:sz w:val="32"/>
          <w:szCs w:val="32"/>
        </w:rPr>
        <w:t>应按有关规定填写抽样单，并记录被抽查产品及企业相关信息。</w:t>
      </w:r>
    </w:p>
    <w:p>
      <w:pPr>
        <w:rPr>
          <w:rFonts w:ascii="黑体" w:hAnsi="黑体" w:eastAsia="黑体" w:cs="方正仿宋简体"/>
          <w:sz w:val="32"/>
          <w:szCs w:val="32"/>
        </w:rPr>
      </w:pPr>
      <w:r>
        <w:rPr>
          <w:rFonts w:hint="eastAsia" w:ascii="黑体" w:hAnsi="黑体" w:eastAsia="黑体" w:cs="方正仿宋简体"/>
          <w:sz w:val="32"/>
          <w:szCs w:val="32"/>
        </w:rPr>
        <w:t>五、检验要求</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（一）检验项目</w:t>
      </w:r>
    </w:p>
    <w:tbl>
      <w:tblPr>
        <w:tblStyle w:val="3"/>
        <w:tblW w:w="8533" w:type="dxa"/>
        <w:jc w:val="center"/>
        <w:tblInd w:w="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617"/>
        <w:gridCol w:w="1960"/>
        <w:gridCol w:w="2616"/>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724" w:type="dxa"/>
            <w:vMerge w:val="restart"/>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产品名称</w:t>
            </w:r>
          </w:p>
        </w:tc>
        <w:tc>
          <w:tcPr>
            <w:tcW w:w="617" w:type="dxa"/>
            <w:vMerge w:val="restart"/>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序号</w:t>
            </w:r>
          </w:p>
        </w:tc>
        <w:tc>
          <w:tcPr>
            <w:tcW w:w="1960" w:type="dxa"/>
            <w:vMerge w:val="restart"/>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检验项目</w:t>
            </w:r>
          </w:p>
        </w:tc>
        <w:tc>
          <w:tcPr>
            <w:tcW w:w="2616" w:type="dxa"/>
            <w:vMerge w:val="restart"/>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依据标准</w:t>
            </w:r>
          </w:p>
        </w:tc>
        <w:tc>
          <w:tcPr>
            <w:tcW w:w="2616" w:type="dxa"/>
            <w:vMerge w:val="restart"/>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blHeader/>
          <w:jc w:val="center"/>
        </w:trPr>
        <w:tc>
          <w:tcPr>
            <w:tcW w:w="724" w:type="dxa"/>
            <w:vMerge w:val="continue"/>
            <w:vAlign w:val="center"/>
          </w:tcPr>
          <w:p>
            <w:pPr>
              <w:snapToGrid w:val="0"/>
              <w:jc w:val="center"/>
              <w:rPr>
                <w:rFonts w:ascii="仿宋_GB2312" w:eastAsia="仿宋_GB2312"/>
                <w:spacing w:val="-20"/>
                <w:sz w:val="28"/>
                <w:szCs w:val="28"/>
              </w:rPr>
            </w:pPr>
          </w:p>
        </w:tc>
        <w:tc>
          <w:tcPr>
            <w:tcW w:w="617" w:type="dxa"/>
            <w:vMerge w:val="continue"/>
            <w:vAlign w:val="center"/>
          </w:tcPr>
          <w:p>
            <w:pPr>
              <w:snapToGrid w:val="0"/>
              <w:jc w:val="center"/>
              <w:rPr>
                <w:rFonts w:ascii="仿宋_GB2312" w:eastAsia="仿宋_GB2312"/>
                <w:spacing w:val="-20"/>
                <w:sz w:val="28"/>
                <w:szCs w:val="28"/>
              </w:rPr>
            </w:pPr>
          </w:p>
        </w:tc>
        <w:tc>
          <w:tcPr>
            <w:tcW w:w="1960" w:type="dxa"/>
            <w:vMerge w:val="continue"/>
            <w:vAlign w:val="center"/>
          </w:tcPr>
          <w:p>
            <w:pPr>
              <w:snapToGrid w:val="0"/>
              <w:jc w:val="center"/>
              <w:rPr>
                <w:rFonts w:ascii="仿宋_GB2312" w:eastAsia="仿宋_GB2312"/>
                <w:spacing w:val="-20"/>
                <w:sz w:val="28"/>
                <w:szCs w:val="28"/>
              </w:rPr>
            </w:pPr>
          </w:p>
        </w:tc>
        <w:tc>
          <w:tcPr>
            <w:tcW w:w="2616" w:type="dxa"/>
            <w:vMerge w:val="continue"/>
            <w:vAlign w:val="center"/>
          </w:tcPr>
          <w:p>
            <w:pPr>
              <w:snapToGrid w:val="0"/>
              <w:jc w:val="center"/>
              <w:rPr>
                <w:rFonts w:ascii="仿宋_GB2312" w:eastAsia="仿宋_GB2312"/>
                <w:spacing w:val="-20"/>
                <w:sz w:val="28"/>
                <w:szCs w:val="28"/>
              </w:rPr>
            </w:pPr>
          </w:p>
        </w:tc>
        <w:tc>
          <w:tcPr>
            <w:tcW w:w="2616" w:type="dxa"/>
            <w:vMerge w:val="continue"/>
            <w:vAlign w:val="center"/>
          </w:tcPr>
          <w:p>
            <w:pPr>
              <w:snapToGrid w:val="0"/>
              <w:jc w:val="center"/>
              <w:rPr>
                <w:rFonts w:ascii="仿宋_GB2312" w:eastAsia="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4" w:type="dxa"/>
            <w:vMerge w:val="restart"/>
            <w:vAlign w:val="center"/>
          </w:tcPr>
          <w:p>
            <w:pPr>
              <w:snapToGrid w:val="0"/>
              <w:jc w:val="center"/>
              <w:rPr>
                <w:rFonts w:ascii="仿宋_GB2312" w:eastAsia="仿宋_GB2312"/>
                <w:b/>
                <w:spacing w:val="-20"/>
                <w:sz w:val="28"/>
                <w:szCs w:val="28"/>
              </w:rPr>
            </w:pPr>
            <w:r>
              <w:rPr>
                <w:rFonts w:hint="eastAsia" w:ascii="仿宋_GB2312" w:eastAsia="仿宋_GB2312"/>
                <w:b/>
                <w:spacing w:val="-20"/>
                <w:sz w:val="28"/>
                <w:szCs w:val="28"/>
              </w:rPr>
              <w:t>LED照明产品</w:t>
            </w:r>
          </w:p>
        </w:tc>
        <w:tc>
          <w:tcPr>
            <w:tcW w:w="6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1</w:t>
            </w:r>
          </w:p>
        </w:tc>
        <w:tc>
          <w:tcPr>
            <w:tcW w:w="1960"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灯功率</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GB/T 24908-2014/5.3</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GB/T 24908-2014/6.3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4" w:type="dxa"/>
            <w:vMerge w:val="continue"/>
            <w:vAlign w:val="center"/>
          </w:tcPr>
          <w:p>
            <w:pPr>
              <w:snapToGrid w:val="0"/>
              <w:jc w:val="center"/>
              <w:rPr>
                <w:rFonts w:ascii="仿宋_GB2312" w:eastAsia="仿宋_GB2312"/>
                <w:spacing w:val="-20"/>
                <w:sz w:val="28"/>
                <w:szCs w:val="28"/>
              </w:rPr>
            </w:pPr>
          </w:p>
        </w:tc>
        <w:tc>
          <w:tcPr>
            <w:tcW w:w="6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2</w:t>
            </w:r>
          </w:p>
        </w:tc>
        <w:tc>
          <w:tcPr>
            <w:tcW w:w="1960"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功率因数</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GB/T 24908-2014/5.4</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GB/T 24908-2014/6.3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4" w:type="dxa"/>
            <w:vMerge w:val="continue"/>
            <w:vAlign w:val="center"/>
          </w:tcPr>
          <w:p>
            <w:pPr>
              <w:snapToGrid w:val="0"/>
              <w:jc w:val="center"/>
              <w:rPr>
                <w:rFonts w:ascii="仿宋_GB2312" w:eastAsia="仿宋_GB2312"/>
                <w:spacing w:val="-20"/>
                <w:sz w:val="28"/>
                <w:szCs w:val="28"/>
              </w:rPr>
            </w:pPr>
          </w:p>
        </w:tc>
        <w:tc>
          <w:tcPr>
            <w:tcW w:w="6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3</w:t>
            </w:r>
          </w:p>
        </w:tc>
        <w:tc>
          <w:tcPr>
            <w:tcW w:w="1960"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初始光效/光通量</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GB/T 24908-2014/5.5</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GB/T 24908-2014/6.3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4" w:type="dxa"/>
            <w:vMerge w:val="continue"/>
            <w:vAlign w:val="center"/>
          </w:tcPr>
          <w:p>
            <w:pPr>
              <w:snapToGrid w:val="0"/>
              <w:jc w:val="center"/>
              <w:rPr>
                <w:rFonts w:ascii="仿宋_GB2312" w:eastAsia="仿宋_GB2312"/>
                <w:spacing w:val="-20"/>
                <w:sz w:val="28"/>
                <w:szCs w:val="28"/>
              </w:rPr>
            </w:pPr>
          </w:p>
        </w:tc>
        <w:tc>
          <w:tcPr>
            <w:tcW w:w="6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4</w:t>
            </w:r>
          </w:p>
        </w:tc>
        <w:tc>
          <w:tcPr>
            <w:tcW w:w="1960"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颜色特征</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GB/T 24908-2014/5.6</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GB/T 24908-2014/6.3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4" w:type="dxa"/>
            <w:vMerge w:val="continue"/>
            <w:vAlign w:val="center"/>
          </w:tcPr>
          <w:p>
            <w:pPr>
              <w:snapToGrid w:val="0"/>
              <w:jc w:val="center"/>
              <w:rPr>
                <w:rFonts w:ascii="仿宋_GB2312" w:eastAsia="仿宋_GB2312"/>
                <w:spacing w:val="-20"/>
                <w:sz w:val="28"/>
                <w:szCs w:val="28"/>
              </w:rPr>
            </w:pPr>
          </w:p>
        </w:tc>
        <w:tc>
          <w:tcPr>
            <w:tcW w:w="617"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5</w:t>
            </w:r>
          </w:p>
        </w:tc>
        <w:tc>
          <w:tcPr>
            <w:tcW w:w="1960"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谐波</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GB/T 24908-2014/5.8.2</w:t>
            </w:r>
          </w:p>
        </w:tc>
        <w:tc>
          <w:tcPr>
            <w:tcW w:w="2616" w:type="dxa"/>
            <w:vAlign w:val="center"/>
          </w:tcPr>
          <w:p>
            <w:pPr>
              <w:snapToGrid w:val="0"/>
              <w:jc w:val="center"/>
              <w:rPr>
                <w:rFonts w:ascii="仿宋_GB2312" w:eastAsia="仿宋_GB2312"/>
                <w:spacing w:val="-20"/>
                <w:sz w:val="28"/>
                <w:szCs w:val="28"/>
              </w:rPr>
            </w:pPr>
            <w:r>
              <w:rPr>
                <w:rFonts w:hint="eastAsia" w:ascii="仿宋_GB2312" w:eastAsia="仿宋_GB2312"/>
                <w:spacing w:val="-20"/>
                <w:sz w:val="28"/>
                <w:szCs w:val="28"/>
              </w:rPr>
              <w:t>GB/T 24908-2014/6.5</w:t>
            </w:r>
          </w:p>
        </w:tc>
      </w:tr>
    </w:tbl>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（二）检验应注意的问题</w:t>
      </w:r>
    </w:p>
    <w:p>
      <w:pPr>
        <w:ind w:firstLine="640" w:firstLineChars="200"/>
        <w:rPr>
          <w:rFonts w:ascii="仿宋_GB2312" w:hAnsi="仿宋" w:eastAsia="仿宋_GB2312"/>
          <w:sz w:val="32"/>
          <w:szCs w:val="32"/>
        </w:rPr>
      </w:pPr>
      <w:r>
        <w:rPr>
          <w:rFonts w:hint="eastAsia" w:ascii="仿宋_GB2312" w:hAnsi="仿宋" w:eastAsia="仿宋_GB2312"/>
          <w:sz w:val="32"/>
          <w:szCs w:val="32"/>
        </w:rPr>
        <w:t>1.检验机构接收样品应当有专人负责检查、记录样品的外观、状态、封条有无破损及其他可能对检测结果或者综合判定产生影响的情况，并确认样品与抽样单的记录是否相符，对检测和备用样品分别加贴相应标识后入库。</w:t>
      </w:r>
    </w:p>
    <w:p>
      <w:pPr>
        <w:rPr>
          <w:rFonts w:ascii="黑体" w:hAnsi="黑体" w:eastAsia="黑体" w:cs="方正仿宋简体"/>
          <w:sz w:val="32"/>
          <w:szCs w:val="32"/>
        </w:rPr>
      </w:pPr>
      <w:r>
        <w:rPr>
          <w:rFonts w:hint="eastAsia" w:ascii="黑体" w:hAnsi="黑体" w:eastAsia="黑体" w:cs="方正仿宋简体"/>
          <w:sz w:val="32"/>
          <w:szCs w:val="32"/>
        </w:rPr>
        <w:t>六、判定规则</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（一）判定原则</w:t>
      </w:r>
    </w:p>
    <w:p>
      <w:pPr>
        <w:ind w:firstLine="640" w:firstLineChars="200"/>
        <w:rPr>
          <w:rFonts w:ascii="仿宋_GB2312" w:hAnsi="仿宋" w:eastAsia="仿宋_GB2312"/>
          <w:sz w:val="32"/>
          <w:szCs w:val="32"/>
        </w:rPr>
      </w:pPr>
      <w:r>
        <w:rPr>
          <w:rFonts w:hint="eastAsia" w:ascii="仿宋_GB2312" w:hAnsi="仿宋" w:eastAsia="仿宋_GB2312"/>
          <w:sz w:val="32"/>
          <w:szCs w:val="32"/>
        </w:rPr>
        <w:t>经检验，检验项目全部合格，判定被抽查产品合格；检验项目中任一项或一项以上不合格，判定被抽查产品不合格。任何一项在三个检验样品中出现一个样品不合格即判定为该项不合格。</w:t>
      </w:r>
    </w:p>
    <w:p>
      <w:pPr>
        <w:ind w:firstLine="643" w:firstLineChars="200"/>
        <w:rPr>
          <w:rFonts w:ascii="楷体_GB2312" w:hAnsi="黑体" w:eastAsia="楷体_GB2312" w:cs="方正仿宋简体"/>
          <w:b/>
          <w:sz w:val="32"/>
          <w:szCs w:val="32"/>
        </w:rPr>
      </w:pPr>
      <w:r>
        <w:rPr>
          <w:rFonts w:hint="eastAsia" w:ascii="楷体_GB2312" w:hAnsi="黑体" w:eastAsia="楷体_GB2312" w:cs="方正仿宋简体"/>
          <w:b/>
          <w:sz w:val="32"/>
          <w:szCs w:val="32"/>
        </w:rPr>
        <w:t>（二）判定结论用语</w:t>
      </w:r>
    </w:p>
    <w:p>
      <w:pPr>
        <w:ind w:firstLine="640" w:firstLineChars="200"/>
        <w:rPr>
          <w:rFonts w:ascii="仿宋_GB2312" w:hAnsi="仿宋" w:eastAsia="仿宋_GB2312"/>
          <w:sz w:val="32"/>
          <w:szCs w:val="32"/>
        </w:rPr>
      </w:pPr>
      <w:r>
        <w:rPr>
          <w:rFonts w:hint="eastAsia" w:ascii="仿宋_GB2312" w:hAnsi="仿宋" w:eastAsia="仿宋_GB2312"/>
          <w:sz w:val="32"/>
          <w:szCs w:val="32"/>
        </w:rPr>
        <w:t>合格判定结论用语：经抽样检验，所检项目符合××（判定标准），依据××实施细则，判定为合格。</w:t>
      </w:r>
    </w:p>
    <w:p>
      <w:pPr>
        <w:ind w:firstLine="640" w:firstLineChars="200"/>
        <w:rPr>
          <w:rFonts w:ascii="仿宋_GB2312" w:hAnsi="仿宋" w:eastAsia="仿宋_GB2312"/>
          <w:sz w:val="32"/>
          <w:szCs w:val="32"/>
        </w:rPr>
      </w:pPr>
      <w:r>
        <w:rPr>
          <w:rFonts w:hint="eastAsia" w:ascii="仿宋_GB2312" w:hAnsi="仿宋" w:eastAsia="仿宋_GB2312"/>
          <w:sz w:val="32"/>
          <w:szCs w:val="32"/>
        </w:rPr>
        <w:t>不合格判定结论用语：经抽样检验，××项目不符合××（判定标准），依据××实施细则，判定为不合格。</w:t>
      </w:r>
    </w:p>
    <w:p>
      <w:pPr>
        <w:rPr>
          <w:rFonts w:ascii="黑体" w:hAnsi="黑体" w:eastAsia="黑体" w:cs="方正仿宋简体"/>
          <w:sz w:val="32"/>
          <w:szCs w:val="32"/>
        </w:rPr>
      </w:pPr>
      <w:r>
        <w:rPr>
          <w:rFonts w:hint="eastAsia" w:ascii="黑体" w:hAnsi="黑体" w:eastAsia="黑体" w:cs="方正仿宋简体"/>
          <w:sz w:val="32"/>
          <w:szCs w:val="32"/>
        </w:rPr>
        <w:t>七、 异议处理</w:t>
      </w:r>
    </w:p>
    <w:p>
      <w:pPr>
        <w:ind w:firstLine="640" w:firstLineChars="200"/>
        <w:rPr>
          <w:rFonts w:ascii="仿宋_GB2312" w:hAnsi="仿宋" w:eastAsia="仿宋_GB2312"/>
          <w:sz w:val="32"/>
          <w:szCs w:val="32"/>
        </w:rPr>
      </w:pPr>
      <w:r>
        <w:rPr>
          <w:rFonts w:hint="eastAsia" w:ascii="仿宋_GB2312" w:hAnsi="仿宋" w:eastAsia="仿宋_GB2312"/>
          <w:sz w:val="32"/>
          <w:szCs w:val="32"/>
        </w:rPr>
        <w:t>对判定不合格产品进行异议处理时，按以下方式进行：</w:t>
      </w:r>
    </w:p>
    <w:p>
      <w:pPr>
        <w:ind w:firstLine="640" w:firstLineChars="200"/>
        <w:rPr>
          <w:rFonts w:ascii="楷体_GB2312" w:hAnsi="黑体" w:eastAsia="楷体_GB2312" w:cs="方正仿宋简体"/>
          <w:b/>
          <w:sz w:val="32"/>
          <w:szCs w:val="32"/>
        </w:rPr>
      </w:pPr>
      <w:r>
        <w:rPr>
          <w:rFonts w:hint="eastAsia" w:ascii="仿宋_GB2312" w:hAnsi="仿宋" w:eastAsia="仿宋_GB2312"/>
          <w:sz w:val="32"/>
          <w:szCs w:val="32"/>
        </w:rPr>
        <w:t>（一）核查不合格项目相关证据，能够以记录（纸质记录或电子记录或影像记录）或与不合格项目相关联的其他质量数据等检验证据证明。以此方式确定为不合格产品的不予复检。</w:t>
      </w:r>
    </w:p>
    <w:p>
      <w:pPr>
        <w:ind w:firstLine="640" w:firstLineChars="200"/>
        <w:rPr>
          <w:rFonts w:ascii="仿宋_GB2312" w:hAnsi="仿宋" w:eastAsia="仿宋_GB2312"/>
          <w:sz w:val="32"/>
          <w:szCs w:val="32"/>
        </w:rPr>
      </w:pPr>
      <w:r>
        <w:rPr>
          <w:rFonts w:hint="eastAsia" w:ascii="仿宋_GB2312" w:hAnsi="仿宋" w:eastAsia="仿宋_GB2312"/>
          <w:sz w:val="32"/>
          <w:szCs w:val="32"/>
        </w:rPr>
        <w:t>（二）对需要复检并具备检验条件的，处理企业异议的市场监督管理部门或指定检验机构应当按原监督抽查方案对留存的样品或抽取的备用样品组织复检，并出具检验报告。附件结论为最终结论。</w:t>
      </w:r>
    </w:p>
    <w:p>
      <w:pPr>
        <w:widowControl/>
        <w:jc w:val="left"/>
        <w:rPr>
          <w:rFonts w:ascii="仿宋_GB2312" w:hAnsi="仿宋" w:eastAsia="仿宋_GB2312"/>
          <w:sz w:val="32"/>
          <w:szCs w:val="32"/>
        </w:rPr>
      </w:pPr>
      <w:r>
        <w:rPr>
          <w:rFonts w:ascii="仿宋_GB2312" w:hAnsi="仿宋" w:eastAsia="仿宋_GB2312"/>
          <w:sz w:val="32"/>
          <w:szCs w:val="32"/>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A6379"/>
    <w:rsid w:val="1EEA6379"/>
    <w:rsid w:val="24865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2021-07-15T13:18:00Z</dcterms:created>
  <dc:creator>邹思媛</dc:creator>
  <cp:lastModifiedBy>邹思媛</cp:lastModifiedBy>
  <dcterms:modified xsi:type="dcterms:W3CDTF">2021-07-15T13:25:18Z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